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843280</wp:posOffset>
            </wp:positionV>
            <wp:extent cx="693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800735</wp:posOffset>
            </wp:positionV>
            <wp:extent cx="6934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1, 2022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AMKOR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20"/>
                <w:szCs w:val="20"/>
                <w:color w:val="auto"/>
              </w:rPr>
            </w:pPr>
          </w:p>
        </w:tc>
        <w:tc>
          <w:tcPr>
            <w:tcW w:w="328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000-29472</w:t>
            </w: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23-1722724</w:t>
            </w:r>
          </w:p>
        </w:tc>
      </w:tr>
      <w:tr>
        <w:trPr>
          <w:trHeight w:val="237"/>
        </w:trPr>
        <w:tc>
          <w:tcPr>
            <w:tcW w:w="32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40" w:type="dxa"/>
            <w:vAlign w:val="bottom"/>
          </w:tcPr>
          <w:p>
            <w:pPr>
              <w:spacing w:after="0"/>
              <w:rPr>
                <w:sz w:val="20"/>
                <w:szCs w:val="20"/>
                <w:color w:val="auto"/>
              </w:rPr>
            </w:pPr>
          </w:p>
        </w:tc>
        <w:tc>
          <w:tcPr>
            <w:tcW w:w="41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(Commission File Number)</w:t>
            </w:r>
          </w:p>
        </w:tc>
        <w:tc>
          <w:tcPr>
            <w:tcW w:w="3020" w:type="dxa"/>
            <w:vAlign w:val="bottom"/>
          </w:tcPr>
          <w:p>
            <w:pPr>
              <w:jc w:val="center"/>
              <w:ind w:right="1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8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34"/>
        </w:trPr>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2045 EAST INNOVATION CIRCLE</w:t>
            </w:r>
          </w:p>
        </w:tc>
        <w:tc>
          <w:tcPr>
            <w:tcW w:w="302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7"/>
              </w:rPr>
              <w:t>TEMPE, AZ 85284</w:t>
            </w:r>
          </w:p>
        </w:tc>
        <w:tc>
          <w:tcPr>
            <w:tcW w:w="302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020" w:type="dxa"/>
            <w:vAlign w:val="bottom"/>
          </w:tcPr>
          <w:p>
            <w:pPr>
              <w:spacing w:after="0"/>
              <w:rPr>
                <w:sz w:val="20"/>
                <w:szCs w:val="20"/>
                <w:color w:val="auto"/>
              </w:rPr>
            </w:pPr>
          </w:p>
        </w:tc>
      </w:tr>
      <w:tr>
        <w:trPr>
          <w:trHeight w:val="445"/>
        </w:trPr>
        <w:tc>
          <w:tcPr>
            <w:tcW w:w="3280" w:type="dxa"/>
            <w:vAlign w:val="bottom"/>
          </w:tcPr>
          <w:p>
            <w:pPr>
              <w:spacing w:after="0"/>
              <w:rPr>
                <w:sz w:val="24"/>
                <w:szCs w:val="24"/>
                <w:color w:val="auto"/>
              </w:rPr>
            </w:pPr>
          </w:p>
        </w:tc>
        <w:tc>
          <w:tcPr>
            <w:tcW w:w="382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0"/>
              </w:rPr>
              <w:t>(480) 821-5000</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3020" w:type="dxa"/>
            <w:vAlign w:val="bottom"/>
          </w:tcPr>
          <w:p>
            <w:pPr>
              <w:spacing w:after="0"/>
              <w:rPr>
                <w:sz w:val="20"/>
                <w:szCs w:val="20"/>
                <w:color w:val="auto"/>
              </w:rPr>
            </w:pPr>
          </w:p>
        </w:tc>
      </w:tr>
    </w:tbl>
    <w:p>
      <w:pPr>
        <w:spacing w:after="0" w:line="28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7680" w:type="dxa"/>
            <w:vAlign w:val="bottom"/>
            <w:gridSpan w:val="2"/>
          </w:tcPr>
          <w:p>
            <w:pPr>
              <w:ind w:left="32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403"/>
        </w:trPr>
        <w:tc>
          <w:tcPr>
            <w:tcW w:w="35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9"/>
              </w:rPr>
              <w:t>Title of Each Class</w:t>
            </w:r>
          </w:p>
        </w:tc>
        <w:tc>
          <w:tcPr>
            <w:tcW w:w="2800" w:type="dxa"/>
            <w:vAlign w:val="bottom"/>
            <w:tcBorders>
              <w:bottom w:val="single" w:sz="8" w:color="auto"/>
            </w:tcBorders>
          </w:tcPr>
          <w:p>
            <w:pPr>
              <w:jc w:val="center"/>
              <w:ind w:left="236"/>
              <w:spacing w:after="0"/>
              <w:rPr>
                <w:sz w:val="20"/>
                <w:szCs w:val="20"/>
                <w:color w:val="auto"/>
              </w:rPr>
            </w:pPr>
            <w:r>
              <w:rPr>
                <w:rFonts w:ascii="Arial" w:cs="Arial" w:eastAsia="Arial" w:hAnsi="Arial"/>
                <w:sz w:val="18"/>
                <w:szCs w:val="18"/>
                <w:b w:val="1"/>
                <w:bCs w:val="1"/>
                <w:color w:val="auto"/>
                <w:w w:val="91"/>
              </w:rPr>
              <w:t>Trading Symbol</w:t>
            </w:r>
          </w:p>
        </w:tc>
        <w:tc>
          <w:tcPr>
            <w:tcW w:w="4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20" w:type="dxa"/>
            <w:vAlign w:val="bottom"/>
          </w:tcPr>
          <w:p>
            <w:pPr>
              <w:jc w:val="center"/>
              <w:ind w:left="370"/>
              <w:spacing w:after="0"/>
              <w:rPr>
                <w:sz w:val="20"/>
                <w:szCs w:val="20"/>
                <w:color w:val="auto"/>
              </w:rPr>
            </w:pPr>
            <w:r>
              <w:rPr>
                <w:rFonts w:ascii="Arial" w:cs="Arial" w:eastAsia="Arial" w:hAnsi="Arial"/>
                <w:sz w:val="18"/>
                <w:szCs w:val="18"/>
                <w:color w:val="auto"/>
                <w:w w:val="90"/>
              </w:rPr>
              <w:t>Common Stock, $0.001 par value</w:t>
            </w:r>
          </w:p>
        </w:tc>
        <w:tc>
          <w:tcPr>
            <w:tcW w:w="2800" w:type="dxa"/>
            <w:vAlign w:val="bottom"/>
          </w:tcPr>
          <w:p>
            <w:pPr>
              <w:jc w:val="center"/>
              <w:ind w:left="256"/>
              <w:spacing w:after="0"/>
              <w:rPr>
                <w:sz w:val="20"/>
                <w:szCs w:val="20"/>
                <w:color w:val="auto"/>
              </w:rPr>
            </w:pPr>
            <w:r>
              <w:rPr>
                <w:rFonts w:ascii="Arial" w:cs="Arial" w:eastAsia="Arial" w:hAnsi="Arial"/>
                <w:sz w:val="18"/>
                <w:szCs w:val="18"/>
                <w:color w:val="auto"/>
              </w:rPr>
              <w:t>AMKR</w:t>
            </w:r>
          </w:p>
        </w:tc>
        <w:tc>
          <w:tcPr>
            <w:tcW w:w="4880" w:type="dxa"/>
            <w:vAlign w:val="bottom"/>
          </w:tcPr>
          <w:p>
            <w:pPr>
              <w:jc w:val="center"/>
              <w:ind w:right="10"/>
              <w:spacing w:after="0"/>
              <w:rPr>
                <w:sz w:val="20"/>
                <w:szCs w:val="20"/>
                <w:color w:val="auto"/>
              </w:rPr>
            </w:pPr>
            <w:r>
              <w:rPr>
                <w:rFonts w:ascii="Arial" w:cs="Arial" w:eastAsia="Arial" w:hAnsi="Arial"/>
                <w:sz w:val="18"/>
                <w:szCs w:val="18"/>
                <w:color w:val="auto"/>
                <w:w w:val="93"/>
              </w:rPr>
              <w:t>The NASDAQ Global Select Market</w:t>
            </w:r>
          </w:p>
        </w:tc>
      </w:tr>
    </w:tbl>
    <w:p>
      <w:pPr>
        <w:spacing w:after="0" w:line="66"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0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August 1, 2022, Amkor Technology, Inc. announced in a press release its financial performance for the three and six months ended June 30, 2022. The information in this Current Report on Form 8-K, including the exhibit attached hereto, is being furnished and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regardless of any general incorporation language in such filing.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6" w:lineRule="exact"/>
        <w:rPr>
          <w:sz w:val="20"/>
          <w:szCs w:val="20"/>
          <w:color w:val="auto"/>
        </w:rPr>
      </w:pPr>
    </w:p>
    <w:p>
      <w:pPr>
        <w:ind w:left="260"/>
        <w:spacing w:after="0"/>
        <w:tabs>
          <w:tab w:leader="none" w:pos="57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 xml:space="preserve">Press Release dated August </w:t>
        </w:r>
      </w:hyperlink>
      <w:r>
        <w:rPr>
          <w:rFonts w:ascii="Arial" w:cs="Arial" w:eastAsia="Arial" w:hAnsi="Arial"/>
          <w:sz w:val="16"/>
          <w:szCs w:val="16"/>
          <w:u w:val="single" w:color="auto"/>
          <w:color w:val="0000FF"/>
        </w:rPr>
        <w:t xml:space="preserve">1, </w:t>
      </w:r>
      <w:hyperlink w:anchor="page4">
        <w:r>
          <w:rPr>
            <w:rFonts w:ascii="Arial" w:cs="Arial" w:eastAsia="Arial" w:hAnsi="Arial"/>
            <w:sz w:val="16"/>
            <w:szCs w:val="16"/>
            <w:u w:val="single" w:color="auto"/>
            <w:color w:val="0000FF"/>
          </w:rPr>
          <w:t>2022, which is furnished (not filed) herewith.</w:t>
        </w:r>
      </w:hyperlink>
    </w:p>
    <w:p>
      <w:pPr>
        <w:spacing w:after="0" w:line="23" w:lineRule="exact"/>
        <w:rPr>
          <w:rFonts w:ascii="Arial" w:cs="Arial" w:eastAsia="Arial" w:hAnsi="Arial"/>
          <w:sz w:val="18"/>
          <w:szCs w:val="18"/>
          <w:u w:val="single" w:color="auto"/>
          <w:color w:val="0000FF"/>
        </w:rPr>
      </w:pPr>
    </w:p>
    <w:p>
      <w:pPr>
        <w:ind w:left="34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tbl>
      <w:tblPr>
        <w:tblLayout w:type="fixed"/>
        <w:tblInd w:w="3700" w:type="dxa"/>
        <w:tblCellMar>
          <w:top w:w="0" w:type="dxa"/>
          <w:left w:w="0" w:type="dxa"/>
          <w:bottom w:w="0" w:type="dxa"/>
          <w:right w:w="0" w:type="dxa"/>
        </w:tblCellMar>
      </w:tblPr>
      <w:tr>
        <w:trPr>
          <w:trHeight w:val="22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Megan Faust</w:t>
            </w:r>
          </w:p>
        </w:tc>
      </w:tr>
      <w:tr>
        <w:trPr>
          <w:trHeight w:val="222"/>
        </w:trPr>
        <w:tc>
          <w:tcPr>
            <w:tcW w:w="62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Megan Faust</w:t>
            </w:r>
          </w:p>
        </w:tc>
      </w:tr>
      <w:tr>
        <w:trPr>
          <w:trHeight w:val="230"/>
        </w:trPr>
        <w:tc>
          <w:tcPr>
            <w:tcW w:w="6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2022</w:t>
      </w:r>
    </w:p>
    <w:p>
      <w:pPr>
        <w:sectPr>
          <w:pgSz w:w="11900" w:h="16838" w:orient="portrait"/>
          <w:cols w:equalWidth="0" w:num="1">
            <w:col w:w="11240"/>
          </w:cols>
          <w:pgMar w:left="320" w:top="1255"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852170</wp:posOffset>
            </wp:positionV>
            <wp:extent cx="66865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68655" cy="25717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Amkor Technology Reports Financial Results for the Second Quarter 2022</w:t>
      </w:r>
    </w:p>
    <w:p>
      <w:pPr>
        <w:spacing w:after="0" w:line="2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TEMPE, Ariz. -- August 1, 2022 -- Amkor Technology, Inc. (Nasdaq: AMKR), a leading provider of semiconductor packaging and test services, today announced financial results for the second quarter ended June 30,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Highlights</w:t>
      </w:r>
    </w:p>
    <w:p>
      <w:pPr>
        <w:spacing w:after="0" w:line="3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sales $1.5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$125 million, earnings per diluted share $0.51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$302 million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“Amkor delivered record second quarter revenue of $1.5 billion. Demand for Advanced packaging solutions remained strong and drove our Automotive &amp; Industrial end market to 16% year-on-year growth and a new record,” said Giel Rutten, Amkor’s president and chief executive officer. “We have returned to normal output levels in Shanghai after a government mandated COVID-19 lockdown, and our global factory network is prepared to support the growth expected in the second half of the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20" w:type="dxa"/>
            <w:vAlign w:val="bottom"/>
          </w:tcPr>
          <w:p>
            <w:pPr>
              <w:spacing w:after="0"/>
              <w:rPr>
                <w:sz w:val="20"/>
                <w:szCs w:val="20"/>
                <w:color w:val="auto"/>
              </w:rPr>
            </w:pPr>
            <w:r>
              <w:rPr>
                <w:rFonts w:ascii="Arial" w:cs="Arial" w:eastAsia="Arial" w:hAnsi="Arial"/>
                <w:sz w:val="18"/>
                <w:szCs w:val="18"/>
                <w:b w:val="1"/>
                <w:bCs w:val="1"/>
                <w:color w:val="auto"/>
              </w:rPr>
              <w:t>Quarterly Financial Results</w:t>
            </w:r>
          </w:p>
        </w:tc>
        <w:tc>
          <w:tcPr>
            <w:tcW w:w="3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86"/>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millions, except per share data)</w:t>
            </w:r>
          </w:p>
        </w:tc>
        <w:tc>
          <w:tcPr>
            <w:tcW w:w="3260" w:type="dxa"/>
            <w:vAlign w:val="bottom"/>
            <w:tcBorders>
              <w:bottom w:val="single" w:sz="8" w:color="auto"/>
            </w:tcBorders>
          </w:tcPr>
          <w:p>
            <w:pPr>
              <w:jc w:val="center"/>
              <w:ind w:left="1730"/>
              <w:spacing w:after="0"/>
              <w:rPr>
                <w:sz w:val="20"/>
                <w:szCs w:val="20"/>
                <w:color w:val="auto"/>
              </w:rPr>
            </w:pPr>
            <w:r>
              <w:rPr>
                <w:rFonts w:ascii="Arial" w:cs="Arial" w:eastAsia="Arial" w:hAnsi="Arial"/>
                <w:sz w:val="18"/>
                <w:szCs w:val="18"/>
                <w:b w:val="1"/>
                <w:bCs w:val="1"/>
                <w:color w:val="auto"/>
                <w:w w:val="98"/>
              </w:rPr>
              <w:t>Q2 2022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Q1 2022</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Q2 2021</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rPr>
              <w:t>$1,505</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$1,597</w:t>
            </w: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$1,407</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rPr>
              <w:t>16.6%</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20.4%</w:t>
            </w:r>
          </w:p>
        </w:tc>
        <w:tc>
          <w:tcPr>
            <w:tcW w:w="1380" w:type="dxa"/>
            <w:vAlign w:val="bottom"/>
          </w:tcPr>
          <w:p>
            <w:pPr>
              <w:jc w:val="center"/>
              <w:spacing w:after="0"/>
              <w:rPr>
                <w:sz w:val="20"/>
                <w:szCs w:val="20"/>
                <w:color w:val="auto"/>
              </w:rPr>
            </w:pPr>
            <w:r>
              <w:rPr>
                <w:rFonts w:ascii="Arial" w:cs="Arial" w:eastAsia="Arial" w:hAnsi="Arial"/>
                <w:sz w:val="18"/>
                <w:szCs w:val="18"/>
                <w:color w:val="auto"/>
                <w:w w:val="97"/>
              </w:rPr>
              <w:t>19.4%</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w w:val="99"/>
              </w:rPr>
              <w:t>$143</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$210</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$155</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w w:val="97"/>
              </w:rPr>
              <w:t>9.5%</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13.2%</w:t>
            </w:r>
          </w:p>
        </w:tc>
        <w:tc>
          <w:tcPr>
            <w:tcW w:w="1380" w:type="dxa"/>
            <w:vAlign w:val="bottom"/>
          </w:tcPr>
          <w:p>
            <w:pPr>
              <w:jc w:val="center"/>
              <w:spacing w:after="0"/>
              <w:rPr>
                <w:sz w:val="20"/>
                <w:szCs w:val="20"/>
                <w:color w:val="auto"/>
              </w:rPr>
            </w:pPr>
            <w:r>
              <w:rPr>
                <w:rFonts w:ascii="Arial" w:cs="Arial" w:eastAsia="Arial" w:hAnsi="Arial"/>
                <w:sz w:val="18"/>
                <w:szCs w:val="18"/>
                <w:color w:val="auto"/>
                <w:w w:val="97"/>
              </w:rPr>
              <w:t>11.0%</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Net income attributable to Amkor</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w w:val="99"/>
              </w:rPr>
              <w:t>$125</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$171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$126</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Earnings per diluted share</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w w:val="97"/>
              </w:rPr>
              <w:t>$0.51</w:t>
            </w:r>
          </w:p>
        </w:tc>
        <w:tc>
          <w:tcPr>
            <w:tcW w:w="1440" w:type="dxa"/>
            <w:vAlign w:val="bottom"/>
          </w:tcPr>
          <w:p>
            <w:pPr>
              <w:jc w:val="center"/>
              <w:spacing w:after="0"/>
              <w:rPr>
                <w:sz w:val="20"/>
                <w:szCs w:val="20"/>
                <w:color w:val="auto"/>
              </w:rPr>
            </w:pPr>
            <w:r>
              <w:rPr>
                <w:rFonts w:ascii="Arial" w:cs="Arial" w:eastAsia="Arial" w:hAnsi="Arial"/>
                <w:sz w:val="18"/>
                <w:szCs w:val="18"/>
                <w:color w:val="auto"/>
              </w:rPr>
              <w:t>$0.69</w:t>
            </w:r>
          </w:p>
        </w:tc>
        <w:tc>
          <w:tcPr>
            <w:tcW w:w="1380" w:type="dxa"/>
            <w:vAlign w:val="bottom"/>
          </w:tcPr>
          <w:p>
            <w:pPr>
              <w:jc w:val="center"/>
              <w:spacing w:after="0"/>
              <w:rPr>
                <w:sz w:val="20"/>
                <w:szCs w:val="20"/>
                <w:color w:val="auto"/>
              </w:rPr>
            </w:pPr>
            <w:r>
              <w:rPr>
                <w:rFonts w:ascii="Arial" w:cs="Arial" w:eastAsia="Arial" w:hAnsi="Arial"/>
                <w:sz w:val="18"/>
                <w:szCs w:val="18"/>
                <w:color w:val="auto"/>
              </w:rPr>
              <w:t>$0.51</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EBITDA (1)</w:t>
            </w:r>
          </w:p>
        </w:tc>
        <w:tc>
          <w:tcPr>
            <w:tcW w:w="3260" w:type="dxa"/>
            <w:vAlign w:val="bottom"/>
          </w:tcPr>
          <w:p>
            <w:pPr>
              <w:jc w:val="center"/>
              <w:ind w:left="1730"/>
              <w:spacing w:after="0"/>
              <w:rPr>
                <w:sz w:val="20"/>
                <w:szCs w:val="20"/>
                <w:color w:val="auto"/>
              </w:rPr>
            </w:pPr>
            <w:r>
              <w:rPr>
                <w:rFonts w:ascii="Arial" w:cs="Arial" w:eastAsia="Arial" w:hAnsi="Arial"/>
                <w:sz w:val="18"/>
                <w:szCs w:val="18"/>
                <w:color w:val="auto"/>
                <w:w w:val="99"/>
              </w:rPr>
              <w:t>$302</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$363</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$295</w:t>
            </w:r>
          </w:p>
        </w:tc>
      </w:tr>
    </w:tbl>
    <w:p>
      <w:pPr>
        <w:spacing w:after="0" w:line="323" w:lineRule="exact"/>
        <w:rPr>
          <w:sz w:val="20"/>
          <w:szCs w:val="20"/>
          <w:color w:val="auto"/>
        </w:rPr>
      </w:pPr>
    </w:p>
    <w:p>
      <w:pPr>
        <w:ind w:right="20" w:firstLine="8"/>
        <w:spacing w:after="0" w:line="261" w:lineRule="auto"/>
        <w:tabs>
          <w:tab w:leader="none" w:pos="276"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is a non-GAAP financial measure. The reconciliation to the most directly comparable GAAP financial measure is included below under “Selected Operating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total cash and short-term investments was $1.1 billion, and total debt was $1.1 billion.</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paid a quarterly dividend of $0.05 per share on June 27, 2022. The declaration and payment of future dividends, as well as any record and payment dates, are subject to the approval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Amkor’s guidance for the third quarter 2022 (unless otherwise noted):</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of $1.88 billion to $1.98 billion, a sequential increase of 25% to 32% and a year-on-year increase of 12% to 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of 19.0% to 21.0%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of $200 million to $250 million, or $0.82 to $1.02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 year 2022 capital expenditures of approximately $950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Amkor will conduct a conference call on Monday, August 1, 2022, at 5:00 p.m. Eastern Time. This call may include material information not included in this press release. To access the live audio webcast and the accompanying slide presentation, visit the Investor Relations section of Amkor’s website, located at ir.amkor.com. The live call can also be accessed by dialing 1-877-407-4019 or 1-201-689-8337.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Amkor Technology, Inc.</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Amkor Technology, Inc. is one of the world’s largest providers of outsourced semiconductor packaging and test services. Founded in 1968, Amkor pioneered the outsourcing of IC packaging and test and is now a strategic manufacturing partner for the world’s leading semiconductor companies, foundries and electronics OEMs. Amkor’s operational base includes production facilities, product development centers, and sales and support offices located in key electronics manufacturing regions in Asia, Europe and the USA. For more information visit amkor.com.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Jennifer Jue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Investor Relations and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480-786-7594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jennifer.jue@amkor.com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Q2 2022</w:t>
            </w: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Q1 2022</w:t>
            </w:r>
          </w:p>
        </w:tc>
        <w:tc>
          <w:tcPr>
            <w:tcW w:w="3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Q2 2021</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 Data:</w:t>
            </w:r>
          </w:p>
        </w:tc>
        <w:tc>
          <w:tcPr>
            <w:tcW w:w="2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Net sales (in millions):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Advanced products (1)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980</w:t>
            </w:r>
          </w:p>
        </w:tc>
      </w:tr>
      <w:tr>
        <w:trPr>
          <w:trHeight w:val="230"/>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Mainstream products (2)</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427</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1,407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 services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Test services</w:t>
            </w:r>
          </w:p>
        </w:tc>
        <w:tc>
          <w:tcPr>
            <w:tcW w:w="16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03"/>
        </w:trPr>
        <w:tc>
          <w:tcPr>
            <w:tcW w:w="6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Net sales from top ten customers</w:t>
            </w:r>
          </w:p>
        </w:tc>
        <w:tc>
          <w:tcPr>
            <w:tcW w:w="162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03"/>
        </w:trPr>
        <w:tc>
          <w:tcPr>
            <w:tcW w:w="6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End Market Data:</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 (smart phones, tablets)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Automotive, industrial and other (ADAS, electrification, infotainment, safety)</w:t>
            </w:r>
          </w:p>
        </w:tc>
        <w:tc>
          <w:tcPr>
            <w:tcW w:w="162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(AR &amp; gaming, connected home, home electronics, wearables)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Computing (data center, infrastructure, PC/laptop, storage)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Data:</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1620" w:type="dxa"/>
            <w:vAlign w:val="bottom"/>
          </w:tcPr>
          <w:p>
            <w:pPr>
              <w:jc w:val="right"/>
              <w:spacing w:after="0"/>
              <w:rPr>
                <w:sz w:val="20"/>
                <w:szCs w:val="20"/>
                <w:color w:val="auto"/>
              </w:rPr>
            </w:pPr>
            <w:r>
              <w:rPr>
                <w:rFonts w:ascii="Arial" w:cs="Arial" w:eastAsia="Arial" w:hAnsi="Arial"/>
                <w:sz w:val="18"/>
                <w:szCs w:val="18"/>
                <w:color w:val="auto"/>
              </w:rPr>
              <w:t>49.2 %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46.7 %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44.7 %</w:t>
            </w: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29"/>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manufacturing</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22.4 %</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22.8 %</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Advanced products include flip chip, memory and wafer-level processing and related test services.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this press release, we refer to EBITDA, which is not defined by U.S. GAAP. We define EBITDA as net income before interest expense, income tax expense and depreciation and amortization. We believe EBITDA to be relevant and useful information to our investors because it provides additional information in assessing our financial operating results. Our management uses EBITDA in evaluating our operating performance, and our ability to service debt, and our ability to fund capital expenditures and pay dividends. However, EBITDA has certain limitations in that it does not reflect the impact of certain expenses on our consolidated statements of income, including interest expense, which is a necessary element of our costs because we have borrowed money in order to finance our operations, income tax expense, which is a necessary element of our costs because taxes are imposed by law, and depreciation and amortization, which is a necessary element of our costs because we use capital assets to generate income. EBITDA should be considered in addition to, and not as a substitute for, or superior to, operating income, net income or other measures of financial performance prepared in accordance with U.S. GAAP. Furthermore, our definition of EBITDA may not be comparable to similarly titled measures reported by other companies. Below is our reconciliation of EBITDA to U.S. GAAP net income.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Non-GAAP Financial Measure Reconciliation:</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millions)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Q2 2022</w:t>
            </w: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Q1 2022</w:t>
            </w: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Q2 2021</w:t>
            </w:r>
          </w:p>
        </w:tc>
      </w:tr>
      <w:tr>
        <w:trPr>
          <w:trHeight w:val="20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EBITDA Data:</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Plus: Interest expense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Income tax expense</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Depreciation &amp; amortization</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8"/>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 June</w:t>
            </w:r>
          </w:p>
        </w:tc>
        <w:tc>
          <w:tcPr>
            <w:tcW w:w="314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30,</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1,504,868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2,732,685</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1,255,713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1,133,715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2,194,331</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538,354</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68,868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150,957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87,834</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238,791</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299,563</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25,437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taxes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274,133</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27,656</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246,477</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245,615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 per common share: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computing per common share amounts: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243,566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6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Short-term investments</w:t>
      </w:r>
    </w:p>
    <w:p>
      <w:pPr>
        <w:spacing w:after="0" w:line="23" w:lineRule="exact"/>
        <w:rPr>
          <w:sz w:val="20"/>
          <w:szCs w:val="20"/>
          <w:color w:val="auto"/>
        </w:rPr>
      </w:pPr>
    </w:p>
    <w:p>
      <w:pPr>
        <w:ind w:left="220" w:right="20"/>
        <w:spacing w:after="0" w:line="266" w:lineRule="auto"/>
        <w:rPr>
          <w:sz w:val="20"/>
          <w:szCs w:val="20"/>
          <w:color w:val="auto"/>
        </w:rPr>
      </w:pPr>
      <w:r>
        <w:rPr>
          <w:rFonts w:ascii="Arial" w:cs="Arial" w:eastAsia="Arial" w:hAnsi="Arial"/>
          <w:sz w:val="18"/>
          <w:szCs w:val="18"/>
          <w:color w:val="auto"/>
        </w:rPr>
        <w:t>Accounts receivable, net of allowances Inventories</w:t>
      </w:r>
    </w:p>
    <w:p>
      <w:pPr>
        <w:ind w:left="220"/>
        <w:spacing w:after="0"/>
        <w:rPr>
          <w:sz w:val="20"/>
          <w:szCs w:val="20"/>
          <w:color w:val="auto"/>
        </w:rPr>
      </w:pPr>
      <w:r>
        <w:rPr>
          <w:rFonts w:ascii="Arial" w:cs="Arial" w:eastAsia="Arial" w:hAnsi="Arial"/>
          <w:sz w:val="18"/>
          <w:szCs w:val="18"/>
          <w:color w:val="auto"/>
        </w:rPr>
        <w:t>Other current assets</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jc w:val="both"/>
        <w:ind w:left="20" w:right="540"/>
        <w:spacing w:after="0" w:line="276" w:lineRule="auto"/>
        <w:rPr>
          <w:sz w:val="20"/>
          <w:szCs w:val="20"/>
          <w:color w:val="auto"/>
        </w:rPr>
      </w:pPr>
      <w:r>
        <w:rPr>
          <w:rFonts w:ascii="Arial" w:cs="Arial" w:eastAsia="Arial" w:hAnsi="Arial"/>
          <w:sz w:val="18"/>
          <w:szCs w:val="18"/>
          <w:color w:val="auto"/>
        </w:rPr>
        <w:t>Property, plant and equipment, net Operating lease right of use assets Goodwill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ind w:right="406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(Unaudited)</w:t>
      </w:r>
    </w:p>
    <w:p>
      <w:pPr>
        <w:spacing w:after="0" w:line="379" w:lineRule="exact"/>
        <w:rPr>
          <w:sz w:val="20"/>
          <w:szCs w:val="20"/>
          <w:color w:val="auto"/>
        </w:rPr>
      </w:pPr>
    </w:p>
    <w:tbl>
      <w:tblPr>
        <w:tblLayout w:type="fixed"/>
        <w:tblInd w:w="1200" w:type="dxa"/>
        <w:tblCellMar>
          <w:top w:w="0" w:type="dxa"/>
          <w:left w:w="0" w:type="dxa"/>
          <w:bottom w:w="0" w:type="dxa"/>
          <w:right w:w="0" w:type="dxa"/>
        </w:tblCellMar>
      </w:tblPr>
      <w:tr>
        <w:trPr>
          <w:trHeight w:val="239"/>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0"/>
                <w:szCs w:val="20"/>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2022</w:t>
            </w:r>
          </w:p>
        </w:tc>
        <w:tc>
          <w:tcPr>
            <w:tcW w:w="220" w:type="dxa"/>
            <w:vAlign w:val="bottom"/>
          </w:tcPr>
          <w:p>
            <w:pPr>
              <w:spacing w:after="0"/>
              <w:rPr>
                <w:sz w:val="20"/>
                <w:szCs w:val="20"/>
                <w:color w:val="auto"/>
              </w:rPr>
            </w:pPr>
          </w:p>
        </w:tc>
        <w:tc>
          <w:tcPr>
            <w:tcW w:w="202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1400" w:type="dxa"/>
            <w:vAlign w:val="bottom"/>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733,922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826,744</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375,137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251,530</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1,169,028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1,258,767</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636,969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484,959</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2,963,887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2,856,563</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3,059,978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2,871,058</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168,618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159,742</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20,787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24,516</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0" w:type="dxa"/>
            <w:vAlign w:val="bottom"/>
          </w:tcPr>
          <w:p>
            <w:pPr>
              <w:spacing w:after="0"/>
              <w:rPr>
                <w:sz w:val="1"/>
                <w:szCs w:val="1"/>
                <w:color w:val="auto"/>
              </w:rPr>
            </w:pPr>
          </w:p>
        </w:tc>
      </w:tr>
      <w:tr>
        <w:trPr>
          <w:trHeight w:val="223"/>
        </w:trPr>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6,390,662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6,038,554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-2219325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-1927860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-1636395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-1344930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-1053465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-753745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-445135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-153670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-116205</wp:posOffset>
            </wp:positionV>
            <wp:extent cx="29057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3340" w:space="720"/>
            <w:col w:w="7180"/>
          </w:cols>
          <w:pgMar w:left="320" w:top="360"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127,998</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153,008</w:t>
            </w:r>
          </w:p>
        </w:tc>
      </w:tr>
      <w:tr>
        <w:trPr>
          <w:trHeight w:val="229"/>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859,455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828,727</w:t>
            </w: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Capital expenditures payable</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344,301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210,875</w:t>
            </w:r>
          </w:p>
        </w:tc>
      </w:tr>
      <w:tr>
        <w:trPr>
          <w:trHeight w:val="229"/>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operating lease liability</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64,233</w:t>
            </w:r>
          </w:p>
        </w:tc>
      </w:tr>
      <w:tr>
        <w:trPr>
          <w:trHeight w:val="230"/>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385,109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422,892</w:t>
            </w:r>
          </w:p>
        </w:tc>
      </w:tr>
      <w:tr>
        <w:trPr>
          <w:trHeight w:val="223"/>
        </w:trPr>
        <w:tc>
          <w:tcPr>
            <w:tcW w:w="6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1,784,962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1,679,735</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981,220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984,988</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severance obligations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120,472</w:t>
            </w:r>
          </w:p>
        </w:tc>
      </w:tr>
      <w:tr>
        <w:trPr>
          <w:trHeight w:val="257"/>
        </w:trPr>
        <w:tc>
          <w:tcPr>
            <w:tcW w:w="666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7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75,461</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83,937</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211,545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196,876</w:t>
            </w:r>
          </w:p>
        </w:tc>
      </w:tr>
      <w:tr>
        <w:trPr>
          <w:trHeight w:val="223"/>
        </w:trPr>
        <w:tc>
          <w:tcPr>
            <w:tcW w:w="66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3,163,112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3,066,008</w:t>
            </w:r>
          </w:p>
        </w:tc>
      </w:tr>
      <w:tr>
        <w:trPr>
          <w:trHeight w:val="236"/>
        </w:trPr>
        <w:tc>
          <w:tcPr>
            <w:tcW w:w="66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7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1,985,992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1,977,134</w:t>
            </w: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1,434,906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1,163,939</w:t>
            </w:r>
          </w:p>
        </w:tc>
      </w:tr>
      <w:tr>
        <w:trPr>
          <w:trHeight w:val="230"/>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19,978</w:t>
            </w:r>
          </w:p>
        </w:tc>
      </w:tr>
      <w:tr>
        <w:trPr>
          <w:trHeight w:val="230"/>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stock</w:t>
            </w: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(219,147)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(219,065)</w:t>
            </w:r>
          </w:p>
        </w:tc>
      </w:tr>
      <w:tr>
        <w:trPr>
          <w:trHeight w:val="223"/>
        </w:trPr>
        <w:tc>
          <w:tcPr>
            <w:tcW w:w="6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Amkor stockholders’ equity</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3,196,295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2,942,276</w:t>
            </w:r>
          </w:p>
        </w:tc>
      </w:tr>
      <w:tr>
        <w:trPr>
          <w:trHeight w:val="230"/>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 in subsidiaries</w:t>
            </w: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30,270</w:t>
            </w:r>
          </w:p>
        </w:tc>
      </w:tr>
      <w:tr>
        <w:trPr>
          <w:trHeight w:val="223"/>
        </w:trPr>
        <w:tc>
          <w:tcPr>
            <w:tcW w:w="6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3,227,550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2,972,546</w:t>
            </w:r>
          </w:p>
        </w:tc>
      </w:tr>
      <w:tr>
        <w:trPr>
          <w:trHeight w:val="223"/>
        </w:trPr>
        <w:tc>
          <w:tcPr>
            <w:tcW w:w="666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6,390,662</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6,038,554</w:t>
            </w: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60"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For the Six Months Ended June 30,</w:t>
            </w:r>
          </w:p>
        </w:tc>
      </w:tr>
      <w:tr>
        <w:trPr>
          <w:trHeight w:val="223"/>
        </w:trPr>
        <w:tc>
          <w:tcPr>
            <w:tcW w:w="7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296,697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246,477</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274,991</w:t>
            </w: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(65,442)</w:t>
            </w:r>
          </w:p>
        </w:tc>
      </w:tr>
      <w:tr>
        <w:trPr>
          <w:trHeight w:val="223"/>
        </w:trPr>
        <w:tc>
          <w:tcPr>
            <w:tcW w:w="7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456,331</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(340,208)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(273,617)</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Payments for short-term investments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(298,351)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(173,307)</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short-term investments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45,396</w:t>
            </w: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Proceeds from maturities of short-term investments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155,910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103,116</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(25,332)</w:t>
            </w:r>
          </w:p>
        </w:tc>
      </w:tr>
      <w:tr>
        <w:trPr>
          <w:trHeight w:val="223"/>
        </w:trPr>
        <w:tc>
          <w:tcPr>
            <w:tcW w:w="7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(321,495)</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Proceeds from short-term debt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3,679</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short-term debt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120,992</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(184,212)</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Payments of finance lease obligations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(6,633)</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dividends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w:t>
            </w:r>
          </w:p>
        </w:tc>
      </w:tr>
      <w:tr>
        <w:trPr>
          <w:trHeight w:val="229"/>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w:t>
            </w:r>
          </w:p>
        </w:tc>
      </w:tr>
      <w:tr>
        <w:trPr>
          <w:trHeight w:val="223"/>
        </w:trPr>
        <w:tc>
          <w:tcPr>
            <w:tcW w:w="7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(97,539)</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27,023</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702,197</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729,220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press release contains forward-looking statements within the meaning of the federal securities laws.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press release are made based on our</w:t>
      </w:r>
    </w:p>
    <w:p>
      <w:pPr>
        <w:spacing w:after="0" w:line="2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current expectations, forecasts, estimates and assumptions. Because such statements include risks and uncertainties, actual results may differ materially from those anticipated in such forward-looking statements as a result of various factors, including, but not limited to, the following:</w:t>
      </w:r>
    </w:p>
    <w:p>
      <w:pPr>
        <w:spacing w:after="0" w:line="80" w:lineRule="exact"/>
        <w:rPr>
          <w:sz w:val="20"/>
          <w:szCs w:val="20"/>
          <w:color w:val="auto"/>
        </w:rPr>
      </w:pPr>
    </w:p>
    <w:p>
      <w:pPr>
        <w:ind w:left="66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health conditions or pandemics, such as COVID-19, impacting labor availability and operating capacity, capital availability, the supply chain and consumer demand for our customers’ products and services;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dependence on the highly cyclical, volatile semiconductor industry;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industry downturns and declines in global economic and financial conditions;</w:t>
      </w:r>
    </w:p>
    <w:p>
      <w:pPr>
        <w:spacing w:after="0" w:line="93"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costs, quality, availability and delivery times of raw materials, components and equipment, including any disruption in the supply of certain materials due to regulations and customer requirements, as well as supply constraints, production delays, fluctuations in commodity prices and wage inflation;</w:t>
      </w:r>
    </w:p>
    <w:p>
      <w:pPr>
        <w:spacing w:after="0" w:line="5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dependence on international factories and operations and risks relating to our customers’ and vendors’ international operations;</w:t>
      </w:r>
    </w:p>
    <w:p>
      <w:pPr>
        <w:spacing w:after="0" w:line="53" w:lineRule="exact"/>
        <w:rPr>
          <w:rFonts w:ascii="Arial" w:cs="Arial" w:eastAsia="Arial" w:hAnsi="Arial"/>
          <w:sz w:val="22"/>
          <w:szCs w:val="22"/>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indebtedness and restrictive covenants in the indentures and agreements governing our current and future indebtedness;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fluctuations in interest rates and changes in credit risk;</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difficulty funding our liquidity needs;</w:t>
      </w:r>
    </w:p>
    <w:p>
      <w:pPr>
        <w:spacing w:after="0" w:line="9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dependence on key customers or concentration of customers in certain end markets, such as Communications and Automotive and Industrial;</w:t>
      </w:r>
    </w:p>
    <w:p>
      <w:pPr>
        <w:spacing w:after="0" w:line="95"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substantial investments in equipment and facilities to support the demand of our customers;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difficulty attracting, retaining or replacing qualified personnel;</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difficulty achieving high capacity utilization rates due to high percentage of fixed costs;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our capacity and capacity utilization rates and fluctuations in our manufacturing yields;</w:t>
      </w:r>
    </w:p>
    <w:p>
      <w:pPr>
        <w:spacing w:after="0" w:line="93"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competition with established competitors in the packaging and test business, the internal capabilities of integrated device manufacturers and new competitors, including foundries;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decisions by our integrated device manufacturer and foundry customers to curtail outsourcing;</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maintaining an effective system of internal controls;</w:t>
      </w:r>
    </w:p>
    <w:p>
      <w:pPr>
        <w:spacing w:after="0" w:line="93"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1" w:right="339" w:bottom="1440" w:gutter="0" w:footer="0" w:header="0"/>
        </w:sectPr>
      </w:pPr>
    </w:p>
    <w:bookmarkStart w:id="11" w:name="page12"/>
    <w:bookmarkEnd w:id="11"/>
    <w:p>
      <w:pPr>
        <w:jc w:val="both"/>
        <w:ind w:left="660" w:hanging="328"/>
        <w:spacing w:after="0" w:line="23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development, transition and ramp to high volume manufacture of more advanced silicon nodes and evolving wafer, packaging and test services technologies, which may cause production delays, lower manufacturing yields and supply constraints for new wafers and other materials;</w:t>
      </w:r>
    </w:p>
    <w:p>
      <w:pPr>
        <w:spacing w:after="0" w:line="58"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historical downward pressure on the prices of our packaging and test services;</w:t>
      </w:r>
    </w:p>
    <w:p>
      <w:pPr>
        <w:spacing w:after="0" w:line="93"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laws, rules, regulations and policies imposed by U.S. or other governments, such as tariffs, customs, duties and other restrictive trade barriers and national security, data privacy and cybersecurity, antitrust and competition, tax, currency and banking, labor, environmental, health and safety laws;</w:t>
      </w:r>
    </w:p>
    <w:p>
      <w:pPr>
        <w:spacing w:after="0" w:line="95"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9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any warranty claims, product return and liability risks, and the risk of negative publicity if our products fail, as well as the risk of litigation incident to our business;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possibility that we may decrease or suspend our quarterly dividend;</w:t>
      </w:r>
    </w:p>
    <w:p>
      <w:pPr>
        <w:spacing w:after="0" w:line="9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continuing development and implementation of changes to, and maintenance and security of, our information technology systems;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challenges with integrating diverse operations;</w:t>
      </w:r>
    </w:p>
    <w:p>
      <w:pPr>
        <w:spacing w:after="0" w:line="9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95"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significant severance plan obligations associated with our manufacturing operations in Korea;</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natural disasters and other calamities, political instability, hostilities or other disruptions; and</w:t>
      </w:r>
    </w:p>
    <w:p>
      <w:pPr>
        <w:spacing w:after="0" w:line="9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ability of certain of our stockholders to effectively determine or substantially influence the outcome of matters requiring stockholder approval.</w:t>
      </w:r>
    </w:p>
    <w:p>
      <w:pPr>
        <w:spacing w:after="0" w:line="5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Other important risk factors that could affect the outcome of the events set forth in these statements and that could affect our operating results and financial condition are discussed in the company’s Annual Report on Form 10-K for the year ended December 31, 2021 (the “Form 10-K”) and from time to time in our other reports filed with or furnished to the Securities and Exchange Commission (“SEC”). You should carefully consider the trends, risks and uncertainties described in this press release, the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press release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2022-08-01T15:15:04Z</dcterms:created>
  <dcterms:modified xsi:type="dcterms:W3CDTF">2022-08-01T15:15:04Z</dcterms:modified>
</cp:coreProperties>
</file>