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4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ANNUAL REPORT PURSUANT TO SECTION 13 OR 15(d)</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000-29472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Amkor Technology, Inc.</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ectPr>
          <w:pgSz w:w="11900" w:h="16838" w:orient="portrait"/>
          <w:cols w:equalWidth="0" w:num="1">
            <w:col w:w="11240"/>
          </w:cols>
          <w:pgMar w:left="320" w:top="1085" w:right="339" w:bottom="1440" w:gutter="0" w:footer="0" w:header="0"/>
        </w:sectPr>
      </w:pPr>
    </w:p>
    <w:p>
      <w:pPr>
        <w:spacing w:after="0" w:line="140"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23-1722724</w:t>
      </w:r>
    </w:p>
    <w:p>
      <w:pPr>
        <w:spacing w:after="0" w:line="28" w:lineRule="exact"/>
        <w:rPr>
          <w:sz w:val="24"/>
          <w:szCs w:val="24"/>
          <w:color w:val="auto"/>
        </w:rPr>
      </w:pPr>
    </w:p>
    <w:p>
      <w:pPr>
        <w:sectPr>
          <w:pgSz w:w="11900" w:h="16838" w:orient="portrait"/>
          <w:cols w:equalWidth="0" w:num="2">
            <w:col w:w="7880" w:space="720"/>
            <w:col w:w="2640"/>
          </w:cols>
          <w:pgMar w:left="320" w:top="1085"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(I.R.S. Employer Identification Number)</w:t>
      </w:r>
    </w:p>
    <w:p>
      <w:pPr>
        <w:spacing w:after="0" w:line="113" w:lineRule="exact"/>
        <w:rPr>
          <w:sz w:val="24"/>
          <w:szCs w:val="24"/>
          <w:color w:val="auto"/>
        </w:rPr>
      </w:pPr>
    </w:p>
    <w:p>
      <w:pPr>
        <w:sectPr>
          <w:pgSz w:w="11900" w:h="16838" w:orient="portrait"/>
          <w:cols w:equalWidth="0" w:num="2">
            <w:col w:w="7120" w:space="720"/>
            <w:col w:w="3400"/>
          </w:cols>
          <w:pgMar w:left="320" w:top="1085" w:right="339" w:bottom="1440" w:gutter="0" w:footer="0" w:header="0"/>
          <w:type w:val="continuous"/>
        </w:sectPr>
      </w:pPr>
    </w:p>
    <w:p>
      <w:pPr>
        <w:ind w:left="4660"/>
        <w:spacing w:after="0"/>
        <w:rPr>
          <w:sz w:val="20"/>
          <w:szCs w:val="20"/>
          <w:color w:val="auto"/>
        </w:rPr>
      </w:pPr>
      <w:r>
        <w:rPr>
          <w:rFonts w:ascii="Times New Roman" w:cs="Times New Roman" w:eastAsia="Times New Roman" w:hAnsi="Times New Roman"/>
          <w:sz w:val="16"/>
          <w:szCs w:val="16"/>
          <w:b w:val="1"/>
          <w:bCs w:val="1"/>
          <w:color w:val="auto"/>
        </w:rPr>
        <w:t>2045 East Innovation Circle</w:t>
      </w:r>
    </w:p>
    <w:p>
      <w:pPr>
        <w:spacing w:after="0" w:line="28"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6"/>
          <w:szCs w:val="16"/>
          <w:b w:val="1"/>
          <w:bCs w:val="1"/>
          <w:color w:val="auto"/>
        </w:rPr>
        <w:t>Tempe, AZ 85284</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 and zip code)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(480) 821-5000</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(Telephone number, including area code)</w:t>
      </w:r>
    </w:p>
    <w:p>
      <w:pPr>
        <w:sectPr>
          <w:pgSz w:w="11900" w:h="16838" w:orient="portrait"/>
          <w:cols w:equalWidth="0" w:num="1">
            <w:col w:w="11240"/>
          </w:cols>
          <w:pgMar w:left="320" w:top="1085" w:right="339" w:bottom="1440" w:gutter="0" w:footer="0" w:header="0"/>
          <w:type w:val="continuous"/>
        </w:sect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51" w:lineRule="exact"/>
        <w:rPr>
          <w:sz w:val="24"/>
          <w:szCs w:val="24"/>
          <w:color w:val="auto"/>
        </w:rPr>
      </w:pPr>
    </w:p>
    <w:tbl>
      <w:tblPr>
        <w:tblLayout w:type="fixed"/>
        <w:tblInd w:w="60" w:type="dxa"/>
        <w:tblCellMar>
          <w:top w:w="0" w:type="dxa"/>
          <w:left w:w="0" w:type="dxa"/>
          <w:bottom w:w="0" w:type="dxa"/>
          <w:right w:w="0" w:type="dxa"/>
        </w:tblCellMar>
      </w:tblPr>
      <w:tr>
        <w:trPr>
          <w:trHeight w:val="215"/>
        </w:trPr>
        <w:tc>
          <w:tcPr>
            <w:tcW w:w="3920" w:type="dxa"/>
            <w:vAlign w:val="bottom"/>
            <w:tcBorders>
              <w:bottom w:val="single" w:sz="8" w:color="auto"/>
            </w:tcBorders>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54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6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920" w:type="dxa"/>
            <w:vAlign w:val="bottom"/>
          </w:tcPr>
          <w:p>
            <w:pPr>
              <w:jc w:val="center"/>
              <w:ind w:left="139"/>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254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AMKR</w:t>
            </w:r>
          </w:p>
        </w:tc>
        <w:tc>
          <w:tcPr>
            <w:tcW w:w="468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ectPr>
          <w:pgSz w:w="11900" w:h="16838" w:orient="portrait"/>
          <w:cols w:equalWidth="0" w:num="1">
            <w:col w:w="11240"/>
          </w:cols>
          <w:pgMar w:left="320" w:top="1085" w:right="339" w:bottom="1440" w:gutter="0" w:footer="0" w:header="0"/>
          <w:type w:val="continuous"/>
        </w:sectPr>
      </w:pPr>
    </w:p>
    <w:p>
      <w:pPr>
        <w:spacing w:after="0" w:line="76"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92" w:lineRule="exact"/>
        <w:rPr>
          <w:sz w:val="24"/>
          <w:szCs w:val="24"/>
          <w:color w:val="auto"/>
        </w:rPr>
      </w:pPr>
    </w:p>
    <w:p>
      <w:pPr>
        <w:sectPr>
          <w:pgSz w:w="11900" w:h="16838" w:orient="portrait"/>
          <w:cols w:equalWidth="0" w:num="2">
            <w:col w:w="7200" w:space="180"/>
            <w:col w:w="3860"/>
          </w:cols>
          <w:pgMar w:left="320" w:top="1085" w:right="339" w:bottom="1440" w:gutter="0" w:footer="0" w:header="0"/>
          <w:type w:val="continuous"/>
        </w:sect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99" w:lineRule="exact"/>
        <w:rPr>
          <w:sz w:val="24"/>
          <w:szCs w:val="24"/>
          <w:color w:val="auto"/>
        </w:rPr>
      </w:pPr>
    </w:p>
    <w:p>
      <w:pPr>
        <w:sectPr>
          <w:pgSz w:w="11900" w:h="16838" w:orient="portrait"/>
          <w:cols w:equalWidth="0" w:num="2">
            <w:col w:w="7340" w:space="180"/>
            <w:col w:w="3720"/>
          </w:cols>
          <w:pgMar w:left="320" w:top="1085" w:right="339" w:bottom="1440" w:gutter="0" w:footer="0" w:header="0"/>
          <w:type w:val="continuous"/>
        </w:sectPr>
      </w:pPr>
    </w:p>
    <w:p>
      <w:pPr>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as amended,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 w:lineRule="exact"/>
        <w:rPr>
          <w:sz w:val="24"/>
          <w:szCs w:val="24"/>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 w:lineRule="exact"/>
        <w:rPr>
          <w:sz w:val="24"/>
          <w:szCs w:val="24"/>
          <w:color w:val="auto"/>
        </w:rPr>
      </w:pPr>
    </w:p>
    <w:tbl>
      <w:tblPr>
        <w:tblLayout w:type="fixed"/>
        <w:tblInd w:w="280" w:type="dxa"/>
        <w:tblCellMar>
          <w:top w:w="0" w:type="dxa"/>
          <w:left w:w="0" w:type="dxa"/>
          <w:bottom w:w="0" w:type="dxa"/>
          <w:right w:w="0" w:type="dxa"/>
        </w:tblCellMar>
      </w:tblPr>
      <w:tr>
        <w:trPr>
          <w:trHeight w:val="242"/>
        </w:trPr>
        <w:tc>
          <w:tcPr>
            <w:tcW w:w="14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5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140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Accelerated filer</w:t>
            </w:r>
          </w:p>
        </w:tc>
        <w:tc>
          <w:tcPr>
            <w:tcW w:w="520" w:type="dxa"/>
            <w:vAlign w:val="bottom"/>
            <w:vMerge w:val="restart"/>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15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Non-accelerated filer</w:t>
            </w:r>
          </w:p>
        </w:tc>
        <w:tc>
          <w:tcPr>
            <w:tcW w:w="520" w:type="dxa"/>
            <w:vAlign w:val="bottom"/>
            <w:vMerge w:val="restart"/>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19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40" w:type="dxa"/>
            <w:vAlign w:val="bottom"/>
            <w:vMerge w:val="restart"/>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19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Emerging growth company</w:t>
            </w:r>
          </w:p>
        </w:tc>
        <w:tc>
          <w:tcPr>
            <w:tcW w:w="280" w:type="dxa"/>
            <w:vAlign w:val="bottom"/>
            <w:vMerge w:val="restart"/>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95"/>
        </w:trPr>
        <w:tc>
          <w:tcPr>
            <w:tcW w:w="14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198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98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4"/>
          <w:szCs w:val="24"/>
          <w:color w:val="auto"/>
        </w:rPr>
      </w:pPr>
    </w:p>
    <w:p>
      <w:pPr>
        <w:spacing w:after="0" w:line="301"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right="2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 w:lineRule="exact"/>
        <w:rPr>
          <w:sz w:val="24"/>
          <w:szCs w:val="24"/>
          <w:color w:val="auto"/>
        </w:rPr>
      </w:pPr>
    </w:p>
    <w:p>
      <w:pPr>
        <w:spacing w:after="0" w:line="200"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7" w:lineRule="exact"/>
        <w:rPr>
          <w:sz w:val="24"/>
          <w:szCs w:val="24"/>
          <w:color w:val="auto"/>
        </w:rPr>
      </w:pPr>
    </w:p>
    <w:p>
      <w:pPr>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4"/>
          <w:szCs w:val="14"/>
          <w:color w:val="auto"/>
        </w:rPr>
        <w:t>☐</w:t>
      </w:r>
    </w:p>
    <w:p>
      <w:pPr>
        <w:spacing w:after="0" w:line="2" w:lineRule="exact"/>
        <w:rPr>
          <w:sz w:val="24"/>
          <w:szCs w:val="24"/>
          <w:color w:val="auto"/>
        </w:rPr>
      </w:pPr>
    </w:p>
    <w:p>
      <w:pPr>
        <w:spacing w:after="0" w:line="161" w:lineRule="exact"/>
        <w:tabs>
          <w:tab w:leader="none" w:pos="714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00" w:lineRule="exact"/>
        <w:rPr>
          <w:sz w:val="24"/>
          <w:szCs w:val="24"/>
          <w:color w:val="auto"/>
        </w:rPr>
      </w:pPr>
    </w:p>
    <w:p>
      <w:pPr>
        <w:ind w:right="20"/>
        <w:spacing w:after="0" w:line="291"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as of June 30, 2024, based upon the closing price of the common stock as reported by the Nasdaq Global Select Market on that date, was approximately $4,545 million.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outstanding of each of the issuer’s classes of common equity, as of February 14, 2025, was as follows: 246,731,692 shares of Common Stock, $0.001 par value.</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66" w:lineRule="exact"/>
        <w:rPr>
          <w:sz w:val="24"/>
          <w:szCs w:val="24"/>
          <w:color w:val="auto"/>
        </w:rPr>
      </w:pPr>
    </w:p>
    <w:p>
      <w:pPr>
        <w:ind w:right="560"/>
        <w:spacing w:after="0" w:line="282" w:lineRule="auto"/>
        <w:rPr>
          <w:sz w:val="20"/>
          <w:szCs w:val="20"/>
          <w:color w:val="auto"/>
        </w:rPr>
      </w:pPr>
      <w:r>
        <w:rPr>
          <w:rFonts w:ascii="Times New Roman" w:cs="Times New Roman" w:eastAsia="Times New Roman" w:hAnsi="Times New Roman"/>
          <w:sz w:val="14"/>
          <w:szCs w:val="14"/>
          <w:color w:val="auto"/>
        </w:rPr>
        <w:t>Portions of the registrant’s Proxy Statement relating to its 2025 Annual Meeting of Stockholders, to be filed subsequently, are incorporated by reference into Part III of this Report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7300" w:type="dxa"/>
            <w:vAlign w:val="bottom"/>
            <w:gridSpan w:val="2"/>
          </w:tcPr>
          <w:p>
            <w:pPr>
              <w:jc w:val="center"/>
              <w:ind w:right="385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0" w:type="dxa"/>
            <w:vAlign w:val="bottom"/>
          </w:tcPr>
          <w:p>
            <w:pPr>
              <w:spacing w:after="0"/>
              <w:rPr>
                <w:sz w:val="1"/>
                <w:szCs w:val="1"/>
                <w:color w:val="auto"/>
              </w:rPr>
            </w:pPr>
          </w:p>
        </w:tc>
      </w:tr>
      <w:tr>
        <w:trPr>
          <w:trHeight w:val="351"/>
        </w:trPr>
        <w:tc>
          <w:tcPr>
            <w:tcW w:w="9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6600" w:type="dxa"/>
            <w:vAlign w:val="bottom"/>
            <w:vMerge w:val="restart"/>
          </w:tcPr>
          <w:p>
            <w:pPr>
              <w:jc w:val="center"/>
              <w:ind w:right="313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7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5"/>
        </w:trPr>
        <w:tc>
          <w:tcPr>
            <w:tcW w:w="9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660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3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Business</w:t>
            </w:r>
          </w:p>
        </w:tc>
        <w:tc>
          <w:tcPr>
            <w:tcW w:w="7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3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Risk Factors</w:t>
            </w:r>
          </w:p>
        </w:tc>
        <w:tc>
          <w:tcPr>
            <w:tcW w:w="7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3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7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3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Cybersecurity</w:t>
            </w:r>
          </w:p>
        </w:tc>
        <w:tc>
          <w:tcPr>
            <w:tcW w:w="7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3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Properties</w:t>
            </w:r>
          </w:p>
        </w:tc>
        <w:tc>
          <w:tcPr>
            <w:tcW w:w="7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3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Legal Proceedings</w:t>
            </w:r>
          </w:p>
        </w:tc>
        <w:tc>
          <w:tcPr>
            <w:tcW w:w="7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3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Mine Safety Disclosures</w:t>
            </w:r>
          </w:p>
        </w:tc>
        <w:tc>
          <w:tcPr>
            <w:tcW w:w="7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bl>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900" w:type="dxa"/>
            <w:vAlign w:val="bottom"/>
          </w:tcPr>
          <w:p>
            <w:pPr>
              <w:spacing w:after="0"/>
              <w:rPr>
                <w:sz w:val="20"/>
                <w:szCs w:val="20"/>
                <w:color w:val="auto"/>
              </w:rPr>
            </w:pPr>
          </w:p>
        </w:tc>
        <w:tc>
          <w:tcPr>
            <w:tcW w:w="9220" w:type="dxa"/>
            <w:vAlign w:val="bottom"/>
          </w:tcPr>
          <w:p>
            <w:pPr>
              <w:ind w:left="438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080" w:type="dxa"/>
            <w:vAlign w:val="bottom"/>
          </w:tcPr>
          <w:p>
            <w:pPr>
              <w:spacing w:after="0"/>
              <w:rPr>
                <w:sz w:val="20"/>
                <w:szCs w:val="20"/>
                <w:color w:val="auto"/>
              </w:rPr>
            </w:pPr>
          </w:p>
        </w:tc>
      </w:tr>
      <w:tr>
        <w:trPr>
          <w:trHeight w:val="22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&lt;Reserved&gt;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9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9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9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9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Controls and Procedures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9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Information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9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bl>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8860" w:type="dxa"/>
            <w:vAlign w:val="bottom"/>
          </w:tcPr>
          <w:p>
            <w:pPr>
              <w:ind w:left="436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1460" w:type="dxa"/>
            <w:vAlign w:val="bottom"/>
          </w:tcPr>
          <w:p>
            <w:pPr>
              <w:spacing w:after="0"/>
              <w:rPr>
                <w:sz w:val="20"/>
                <w:szCs w:val="20"/>
                <w:color w:val="auto"/>
              </w:rPr>
            </w:pP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8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8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Executive Compensation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8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8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8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bl>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8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6420" w:type="dxa"/>
            <w:vAlign w:val="bottom"/>
          </w:tcPr>
          <w:p>
            <w:pPr>
              <w:jc w:val="right"/>
              <w:ind w:right="5150"/>
              <w:spacing w:after="0"/>
              <w:rPr>
                <w:sz w:val="20"/>
                <w:szCs w:val="20"/>
                <w:color w:val="auto"/>
              </w:rPr>
            </w:pPr>
            <w:r>
              <w:rPr>
                <w:rFonts w:ascii="Times New Roman" w:cs="Times New Roman" w:eastAsia="Times New Roman" w:hAnsi="Times New Roman"/>
                <w:sz w:val="18"/>
                <w:szCs w:val="18"/>
                <w:b w:val="1"/>
                <w:bCs w:val="1"/>
                <w:color w:val="auto"/>
              </w:rPr>
              <w:t>PART IV</w:t>
            </w: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Exhibits and Financial Statement Schedules</w:t>
            </w:r>
          </w:p>
        </w:tc>
        <w:tc>
          <w:tcPr>
            <w:tcW w:w="6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10-K Summary</w:t>
            </w:r>
          </w:p>
        </w:tc>
        <w:tc>
          <w:tcPr>
            <w:tcW w:w="6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7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 xml:space="preserve">All references to “Amkor,” “we,” “us,” “our” or the “Company” in this Annual Report on Form 10-K (this “Form 10-K”) are to Amkor Technology, Inc. and its subsidiaries. We refer to the Republic of Korea, which is also commonly known as South Korea, as “Korea.” Amounts preceded by ¥ are in Japanese yen and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are in Korean won. Amkor</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Amkor Technology</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Micro</w:t>
      </w:r>
      <w:r>
        <w:rPr>
          <w:rFonts w:ascii="Times New Roman" w:cs="Times New Roman" w:eastAsia="Times New Roman" w:hAnsi="Times New Roman"/>
          <w:sz w:val="18"/>
          <w:szCs w:val="18"/>
          <w:color w:val="auto"/>
        </w:rPr>
        <w:t>LeadFrame</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and SWIFT</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among others, are trademarks of Amkor Technology, Inc. All other trademarks appearing herein are held by their respective owners. Subsequent use of the above trademarks in this Form 10-K may occur without the respective superscript symbol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in order to facilitate the readability of this Form 10-K and are not a waiver of any rights that may be associated with the relevant trademarks.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Form 10-K contains forward-looking statements within the meaning of the federal securities laws, including, but not limited to, statements regarding</w:t>
      </w:r>
    </w:p>
    <w:p>
      <w:pPr>
        <w:spacing w:after="0" w:line="27" w:lineRule="exact"/>
        <w:rPr>
          <w:sz w:val="20"/>
          <w:szCs w:val="20"/>
          <w:color w:val="auto"/>
        </w:rPr>
      </w:pPr>
    </w:p>
    <w:p>
      <w:pPr>
        <w:jc w:val="both"/>
        <w:ind w:firstLine="8"/>
        <w:spacing w:after="0" w:line="250" w:lineRule="auto"/>
        <w:tabs>
          <w:tab w:leader="none" w:pos="25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timing and focus of our expected capital investments in 2025, (2) our ability to fund our operating activities and financial requirements for the next twelve months, (3) the effect of changes in revenue levels and capacity utilization on our gross margin, (4) the impact of health conditions or pandemics on our operations, financial results and supply chain, (5) the focus of our research and development activities, (6) the anticipated impact of tax law changes in the jurisdictions in which we operate, (7) the grant and expiration of conditional reduced tax rates in jurisdictions in which we operate and expectations regarding our effective tax rate and the availability of tax incentives, (8) the creation or release of valuation allowances related to taxes in the future, (9) our repurchase or repayment of outstanding debt, (10) payment of dividends, (11) compliance with restrictive covenants in the indentures and agreements governing our current and future indebtedness, (12) liability for unrecognized tax benefits and the potential impact of our unrecognized tax benefits on our effective tax rate, (13) the effect of foreign currency exchange rate exposure on our financial results, (14) the volatility of the trading price of our common stock, (15) changes to our internal controls related to integration of acquired operations and implementation of an enterprise resource planning system, (16) our efforts to enlarge our customer base in certain geographic areas and markets, (17) demand for advanced packages in mobile and automotive devices and our technology leadership and potential growth in the communications and automotive and industrial end markets, (18) projects to install or integrate new information technology systems or upgrade our existing systems, (19) our expected revenue recognition, (20) the anticipated benefits from our new manufacturing facility in Bac Ninh, Vietnam (the “Vietnam Facility”), (21) the anticipated schedule for construction of our new facility in Arizona, United States (the “Arizona Facility”), (22) the receipt of government awards and incentives and the conditions and obligations thereto,</w:t>
      </w:r>
    </w:p>
    <w:p>
      <w:pPr>
        <w:spacing w:after="0" w:line="5" w:lineRule="exact"/>
        <w:rPr>
          <w:rFonts w:ascii="Times New Roman" w:cs="Times New Roman" w:eastAsia="Times New Roman" w:hAnsi="Times New Roman"/>
          <w:sz w:val="18"/>
          <w:szCs w:val="18"/>
          <w:color w:val="auto"/>
        </w:rPr>
      </w:pPr>
    </w:p>
    <w:p>
      <w:pPr>
        <w:jc w:val="both"/>
        <w:ind w:firstLine="8"/>
        <w:spacing w:after="0" w:line="251" w:lineRule="auto"/>
        <w:tabs>
          <w:tab w:leader="none" w:pos="36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business, economic, political, legal and regulatory impacts, conflicts or natural disasters on our global operations, (24) the impact of rising interest rates on our investment portfolio and (25) other statements that are not historical facts. You are cautioned not to place undue reliance on forward-looking statements, which are often characterized by terminology such as “may,” “will,” “should,” “expects,” “plans,” “anticipates,” “believes,” “estimates,” “predicts,” “potential,” “continue,” or “intend,” by the negative of these terms or other comparable terminology or by discussions of strategy, plans or intentions. All forward-looking statements in this Form 10-K are made based on our current expectations, forecasts, estimates and assumptions. Because such statements include risks and uncertainties, actual results may differ materially from those anticipated in such forward-looking statements as a result of various factors, including those set forth in Part I, Item 1A and other sections of this Form 10-K and from time to time in our other reports filed with or furnished to the Securities and Exchange Commission (“SEC”). You should carefully consider the trends, risks and uncertainties described in this Form 10-K and other reports filed with or furnished to the SEC before making any investment decision with respect to our securities. If any of these trends, risks or uncertainties continues or occurs, our business, financial condition or operating results could be materially and adversely affected, the trading prices of our securities could decline and you could lose part or all of your investment. All forward-looking statements attributable to us or persons acting on our behalf are expressly qualified in their entirety by this cautionary statement. We assume no obligation to review or update any forward-looking statements to reflect events or circumstances occurring after the date of this Form 10-K except as may be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Amkor is the world’s largest U.S. headquartered OSAT (outsourced semiconductor assembly and test) service provider. Since its founding in 1968, Amkor has pioneered the outsourcing of integrated circuit (“IC”) packaging and test services and is a strategic manufacturing partner for the world’s leading semiconductor companies, foundries, and electronics original equipment manufacturers (“OEMs”). Amkor provides turnkey manufacturing services for the communication, computing, automotive and industrial and consumer markets, including smartphones, data centers, artificial intelligence, electric vehicles and wearables. Amkor’s operational base includes production facilities, research and development centers and sales and support offices located in key electronics manufacturing regions in Asia, Europe and the United States. Amkor has built a leading position by:</w:t>
      </w:r>
    </w:p>
    <w:p>
      <w:pPr>
        <w:spacing w:after="0" w:line="133"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developing innovative packaging and test technologies focused on advanced packaging solutions in high growth markets, including artificial intelligence;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expertise in high-volume manufacturing processes and developing a reputation for high quality and solid execution;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Cultivating long-standing relationships with our customers and industry partners;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on strategic end markets that offer solid growth potential;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geographically diverse operating base with manufacturing facilities in multiple countries across Asia and in Europe;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competitive cost structure through disciplined capital investment.</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packaging and test services are designed to meet application and chip-specific requirements, including: the required type of interconnect technology; size; thickness; and electrical, mechanical and thermal performance. We provide turnkey packaging and test services including wafer bump, wafer probe, wafer back-grind, package design, packaging, system-level and final test and drop shipment services. Our customers use us for one or more of these services.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provide our services to integrated device manufacturers (“IDMs”), “fabless” semiconductor companies, OEMs and contract foundries. IDMs generally design, manufacture, package and test semiconductors in their own facilities. However, the availability of technologically advanced outsourced manufacturing services has encouraged IDMs to outsource a portion of their manufacturing. By offering a broad package portfolio, Amkor allows IDMs to outsource packaging and test services and focus their investments on core competencies such as silicon fabrication. Fabless semiconductor companies do not have factories. They focus exclusively on semiconductor design and outsource virtually every step of the manufacturing process, utilizing contract foundries to manufacture their semiconductors in wafer form and companies such as Amkor for their packaging and test needs. Some companies will engage a contract foundry to manage the complete semiconductor manufacturing process, and, in turn, the contract foundry will outsource some of its packaging and test needs.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Semiconductor devices are essential building blocks used in most electronic products. As electronic and semiconductor devices have evolved, several important trends have emerged that have fueled the growth of the overall semiconductor industry, as well as the market for outsourced semiconductor packaging and test services. These trends include:</w:t>
      </w:r>
    </w:p>
    <w:p>
      <w:pPr>
        <w:spacing w:after="0" w:line="122" w:lineRule="exact"/>
        <w:rPr>
          <w:sz w:val="20"/>
          <w:szCs w:val="20"/>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artificial intelligence applications within data centers and edge devices such as smartphones, autonomous vehicles and consumer and industrial devices.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demand for mobile and connected devices, including the worldwide adoption of smartphones, tablets and other Internet-of-Things (“IoT”) devices that can access the internet and provide multimedia capabilities.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semiconductor content within electronic products to provide greater functionality and higher levels of performance.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of 5G infrastructure and 5G enabled devices.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proliferation of semiconductor devices into well-established end products such as automotive systems for automation and driver assist, electrification and infotainment systems.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mobility and connectivity capabilities, driving demand for new broadband wired and wireless networking equipment.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Digitalization, driving expansion of data generation and storage.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heterogeneous integration (diverse dies positioned close to each other within the same package) to reduce cost, improve yields and deliver required performance in data center computing, artificial intelligence and similar end uses.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of advanced system-in-package (“SiP”) modules (combining multiple semiconductor and other electronic components in a single package) to meet the demand for miniaturization and higher functionality at competitive cost.</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digital format in our environment, from sensors for automobiles (e.g., pressure, radar, LiDAR and image recognition), mobile devices (e.g., 3D motion, temperature, acceleration and imaging), and IoT (e.g., in-home sensing from temperature to weather and wearables).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supplier in the semiconductor industry, our business is cyclical and impacted by broad economic factors, such as worldwide gross domestic product and consumer spending. With the exception of 2020, when the Covid-19 pandemic caused worldwide gross domestic product levels to decline during a period of strong growth in the semiconductor industry, there has generally been a strong correlation between worldwide gross domestic product levels, consumer spending and semiconductor industry cycles. The semiconductor industry has experienced significant and sometimes prolonged cyclical upturns and downturns in the past. We cannot predict the timing, strength or duration of any correction, economic slowdown, recession or subsequent economic recovery.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Outsourcing Trends in Semiconductor Manufacturing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Semiconductor companies outsource their packaging and test needs to service providers such as Amkor for the following reasons: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Packaging and test service providers have developed expertise in advanced technologies.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increasing demands for miniaturization, greater functionality, lower power consumption and improved thermal and electrical performance are driving the continuous development of semiconductor packaging and test technologies that are more sophisticated, complex, capital intensive and customized. This trend has led many semiconductor companies and OEMs to view packaging and test as enabling technologies that can benefit from the technological innovation expertise found in the leading outsourced assembly and test companies. At the same time, these companies are often looking to reduce their internal manufacturing and research and development costs for packaging and test solutions. As a result, many of these companies are increasingly relying on packaging and test service providers as key sources for new package designs and advanced interconnect technologies.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Packaging and test service providers can facilitate a more efficient supply chain and help shorten time-to-market for new products.</w:t>
      </w:r>
    </w:p>
    <w:p>
      <w:pPr>
        <w:spacing w:after="0" w:line="17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believe that semiconductor companies, together with their customers, are seeking to shorten the time-to-market for new products and that an efficient supply chain is a critical factor in facilitating timely and successful product introductions. Packaging and test service providers have the resources and expertise to timely develop and implement new packaging technology in high volume. For this reason, semiconductor companies and OEMs are leveraging the capabilities of outsourced packaging and test service providers to bring new high quality products to market more quickly.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High quality packaging and test service providers enable semiconductor manufacturers to focus their resources on semiconductor design and wafer fabrication.</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semiconductor process technology migrates to larger wafers and smaller feature sizes, the cost of building a state-of-the-art wafer fabrication factory has risen significantly. The high cost of investing in next generation silicon technology and equipment is causing many semiconductor companies to adopt or maintain a “fabless” or “fab-lite” strategy to reduce or eliminate their investment in wafer fabrication and associated packaging and test operations. As a result, these companies are increasing their reliance on outsourced providers of semiconductor manufacturing services, including high quality packaging and test solutions.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Packaging and test service providers offer a cost-effective solution in a cyclical, capital intensive industry.</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semiconductor industry is cyclical by nature and impacted by broad economic factors, such as changes in worldwide gross domestic product and consumer spending. Semiconductor packaging and test are complex processes requiring substantial investment in specialized equipment, factories and human capital. As a result of this cyclicality and the large investments required, manufacturing facilities must operate at consistently high levels of utilization to be cost-effective. Shorter product life cycles, coupled with the need to update or replace packaging and test equipment to accommodate new package types, make it more difficult for IDMs to maintain cost-effective utilization of their packaging and test assets throughout semiconductor industry cycles. Packaging and test service providers, on the other hand, can typically use their assets to support a broad range of customers and multiple end markets, potentially generating more efficient use of their production assets and a more cost-effective solution.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 AND COMPETITIVE STRENGTHS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Amkor is a leader in advanced packaging technology in the outsourced semiconductor assembly and test market. Growth in the semiconductor industry is being driven primarily by advanced packaging within the secular growth markets of high-performance computing (“HPC”), automotive, IoT and mobile communications. We believe Amkor is well positioned in each of these end markets.</w:t>
      </w:r>
    </w:p>
    <w:p>
      <w:pPr>
        <w:spacing w:after="0" w:line="122" w:lineRule="exact"/>
        <w:rPr>
          <w:sz w:val="20"/>
          <w:szCs w:val="20"/>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HPC supporting artificial intelligence and increasing demand for improved networking speed and storage within data centers, cloud computing, PCs and laptops, are driving demand for more semiconductors and advanced packaging in the computing end market.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semiconductor content in automobiles is driving increased demand for advanced packaging to enable the proliferation of safety features such as advanced driver assistance systems (“ADAS”) and radar and digital cockpit features such as infotainment displays and telematics. Increasing battery voltage, higher voltage power converters, onboard chargers, automotive inverter components and microcontrollers also require innovative power packaging solutions.</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IoT wearables within the consumer end market are evolving in multiple applications, such as hearables, watches and augmented reality and virtual reality devices. Integration of multiple functions into small form factors, such as processors, sensors and connectivity devices, relies on innovation in advanced packaging.</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communications end market, we have a strong position across multiple device functionalities within premium and high tier smartphones. We are collaborating with industry leaders as smartphones transition to include artificial intelligence and drive semiconductor growth through the adoption of new wireless standards, integration of a broad range of applications, enhanced features, and higher performance requirements to support increased data processing. The trend to greater functionality drives miniaturization and innovation enabled by advanced packaging.</w:t>
      </w:r>
    </w:p>
    <w:p>
      <w:pPr>
        <w:spacing w:after="0" w:line="1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primary financial objective is profitable sales growth. We believe that we will continue to achieve that goal and create long-term shareholder value by building on our strength in advanced packaging and executing on the following strategies.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Leverage Our Leadership in Services for Advanced Technologies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an industry leader in developing and commercializing advanced packaging and test technologies, which we believe provide substantial value to our customers.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dedicated employees engaged in research and development for new semiconductor packaging and test technologies, making us a technology leader in areas such as 2.5D, advanced flip chip, fine pitch bumping, wafer-level processing, advanced SiPs and power modules.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work closely with our customers to develop cost-effective leading-edge packages for the next generation of devices. These include integrated technologies such as advanced SiP, wafer-level fan-out (“WLFO”), Silicon Photonics (“SiPh”) and Co-Package Optics (“CPO”), Silicon Wafer Integrated Fan-out Technology (“SWIFT”), High Density Fan-Out (“HDFO”) and redistribution layer (“RDL”) solutions which enable very thin, very small products that combine application processors, memory, baseband and other peripheral ICs. Our advanced packages may utilize Through Silicon Via (“TSV”) interconnects and silicon interposers, which enable the integration of high-performance chips such as high bandwidth memory and graphics processors into a single package, such as 2.5D. In addition, we co-develop with customers high power modules incorporating gallium nitride (“GaN”) and silicon carbide (“SiC”) based devices. Our approach is to work with lead customers to develop processes that will enable volume manufacturing with high yields and reliability.</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demand for advanced packaging services will continue to grow as our customers and leading electronics OEMs strive for smaller device geometries, higher levels of integration and performance and lower power consumption. We intend to continue to leverage our investment in advanced technology to meet the demand for these services in high growth markets.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Selectively Grow Our Geographically Diverse Footprint through Strategic Investments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aim to strengthen our leadership position and market share through strategic investment in our geographically diverse manufacturing footprint. We believe our broad geographic footprint provides customers with multiple options to mitigate risk and diversify their supply chains. For example, in 2024, we began delivering advanced SiP and memory packages from the Vietnam Facility and acquired the land for our planned Arizona Facility, where construction is expected to begin in the second half of 2025. In addition, our manufacturing presence in Portugal and our headquarters in the United States are key differentiators for us and position us to participate in initiatives to regionalize supply chains. We believe that selective growth through these strategic actions can further strengthen customer relationships, help to maintain and enhance our technological leadership, diversify our revenue streams and improve our profits.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Optimize Utilization of Existing Assets</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Another key factor in our success is the optimization of asset utilization. We build and utilize manufacturing lines which support multiple customers, and we increase factory utilization through sophisticated planning processes and intensive efficiency improvement activities.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Strengths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outsourced semiconductor packaging and test market is very competitive. We also compete with the internal semiconductor packaging and test capabilities of many of our customers, foundries and contract manufacturers. We believe we are well-positioned in the outsourced packaging and test services market. The following competitive strengths support our strategy to build upon our industry position and remain a preferred provider of semiconductor packaging and test services.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Advanced Packaging Technology Leadership</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leader in developing and deploying advanced semiconductor packaging and test solutions. We have designed and developed several state-of-the-art package formats and technologies such as Double-Sided, Molded Ball Grid Array (“DSMBGA”) SiP and 2.5D. 2.5D technology utilizes high density silicon interposers to enable the integration of high-performance chips, such as high bandwidth memory and graphics processors, into a single package. In addition, we believe that as semiconductor technology continues to achieve smaller device geometries with higher levels of integration, speed and performance, packages will increasingly require wafer-level Chip Scale Packaging (“CSP”),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WLFO, SWIFT and flip chip interconnect solutions, advanced SiP products and medium and higher power density packages and modules.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committed to advancing our key processes and packages, as well as developing innovative test solutions, required for our customers to deliver advanced integrated and modular solutions to their respective markets. We are also committed to environmental responsibility by creating more sustainable IC packaging. This involves minimizing the use of harmful materials like lead and optimizing energy and water usage.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Broad Offering of Semiconductor Package Design, Packaging and Test Services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Creating successful interconnect solutions for advanced semiconductor devices often poses unique thermal, electrical and mechanical design challenges, and we employ a large number of engineers to solve these challenges. This wide variety of packaging offerings is necessary to meet the diverse needs of our customers for the optimal combination of performance, size and cost. Utilizing Amkor for its innovative packaging, test and design services enables our customers to focus their resources on semiconductor design and wafer fabrication.</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offer an extensive line of advanced probe and final test services for analog, digital, logic, mixed signal, memory, sensors and radio frequency-semiconductor devices. We believe that the breadth of our design, packaging and test services is important to customers who seek to limit the number of their suppliers.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Geographically Diversified Manufacturing Base</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 broad and geographically diverse manufacturing footprint strategically located in eight of the world’s important electronics manufacturing regions. We believe that our scale and scope allow us to provide a flexible supply chain and cost-effective solutions to our customers by:</w:t>
      </w:r>
    </w:p>
    <w:p>
      <w:pPr>
        <w:spacing w:after="0" w:line="108"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located in key regions where customers are actively seeking to develop localized supply chains;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production of customer devices at multiple manufacturing sites with geographical diversity to mitigate the risks of supply disruptions;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capabilities and solutions for customer-specific requirements;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capacity to absorb large orders and accommodate quick turn-around times;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favorable pricing and supply agreements on materials and equipment by using our purchasing power and leading industry position.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Long-Standing Relationships and Collaboration with Prominent Semiconductor Companies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customers include most of the world’s largest semiconductor companies, and over the last five decades we have developed long-standing relationships with many of these companies. We believe that our production excellence, including high quality, reliability and predictability, has been a key factor in our success in attracting and retaining customers. We work with our customers and our suppliers to develop proprietary process technologies to enhance our existing capabilities, reduce time-to-market, improve quality and lower costs.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our focus on research and product development will enable us to enter new markets early, capture market share and promote the adoption of new package formats. We collaborate with customers and leading OEMs to develop comprehensive packaging solutions that make it easier for next-generation semiconductors to be designed into next-generation end products. By collaborating with leading semiconductor companies, foundries and OEM electronics companies, we are able to focus resources on developing new packages that will meet the requirements of new products. The traditional delineation between front-end semiconductor manufacturing and packaging is starting to converge. Foundries, and in some cases IDMs, are integrating some packaging activities closer to front-end wafer processes. We work closely with foundry partners to complement these offerings by offering similar wafer-based technologies as well as downstream processing.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PACKAGING AND TEST SERVICES</w:t>
      </w:r>
    </w:p>
    <w:p>
      <w:pPr>
        <w:spacing w:after="0" w:line="18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In general, the semiconductor manufacturing process consists of IC design, wafer fabrication, wafer probe, packaging and final test. The packaging and test services we provide occur subsequent to wafer fabrication, and the wafers that we receive from our customers are generally consigned to us.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Advanced Products and Mainstream Products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offer a broad range of advanced and mainstream packaging and test services to our customers. We refer to our flip chip, wafer-level processing and related test services as “Advanced Products” and to our wirebond packaging, power device packaging and related test services as “Mainstream Products.” The following table sets forth, for the periods indicated, net sales for Advanced Products and Mainstream Products and the percentage of total net sales for each service offering.</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29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r>
      <w:tr>
        <w:trPr>
          <w:trHeight w:val="190"/>
        </w:trPr>
        <w:tc>
          <w:tcPr>
            <w:tcW w:w="29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107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11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2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millions, except percentage of net sales)</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6"/>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Advanced Products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81.9 %</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w:t>
            </w: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77.4 %</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w:t>
            </w: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75.7 %</w:t>
            </w: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Mainstream Products</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24.3 %</w:t>
            </w:r>
          </w:p>
        </w:tc>
      </w:tr>
      <w:tr>
        <w:trPr>
          <w:trHeight w:val="248"/>
        </w:trPr>
        <w:tc>
          <w:tcPr>
            <w:tcW w:w="29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net sales</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Advanced Products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Advanced Products include flip chip chip scale packages (“FC CSP”), wafer-level packages and flip chip ball grid array (“FCBGA”) packages. These package families use flip chip interconnect technology so that the die can be connected to a substrate package carrier or, in the case of wafer-level chip scale packages, directly to a printed circuit board.</w:t>
      </w:r>
    </w:p>
    <w:p>
      <w:pPr>
        <w:spacing w:after="0" w:line="1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FC CSP Products</w:t>
      </w:r>
      <w:r>
        <w:rPr>
          <w:rFonts w:ascii="Times New Roman" w:cs="Times New Roman" w:eastAsia="Times New Roman" w:hAnsi="Times New Roman"/>
          <w:sz w:val="18"/>
          <w:szCs w:val="18"/>
          <w:color w:val="auto"/>
        </w:rPr>
        <w:t>: FC CSP packages are small form factor packages where the substrate size is not much larger than the die itself. FC CSP can be a single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die or multi die format. The size advantage provided by CSP technologies has made FC CSP an attractive choice for a wide variety of applications that require very small form factors, such as smartphones, tablets and other mobile consumer electronic devices.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Flip chip stacked chip scale packages (“FC SCSP”) stack a second die on top of the original flip-chip die. The top die is typically a memory device, and wirebond interconnects are used to attach the top die to the substrate. FC SCSP is frequently used to stack memory on top of digital baseband and applications processors for use in mobile devices.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continue to drive thinner package solutions for our Package on Package (“PoP”) technology through the development of ultra-thin substrates and enhancing our pre-stacking and thin die handling capabilities.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developed fine pitch copper pillar flip chip interconnect technology, which creates interconnections at finer pitches using a plating process to reduce the number of substrate layers to facilitate very thin packages. This innovative solution is also an enabling technology for package stacking with TSVs.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FCBGA Products: </w:t>
      </w:r>
      <w:r>
        <w:rPr>
          <w:rFonts w:ascii="Times New Roman" w:cs="Times New Roman" w:eastAsia="Times New Roman" w:hAnsi="Times New Roman"/>
          <w:sz w:val="18"/>
          <w:szCs w:val="18"/>
          <w:color w:val="auto"/>
        </w:rPr>
        <w:t>FCBGA packages are large form factor substrate-based packages which are used where processing power and speed are a higher priority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a small form factor. Our FCBGA packages are assembled using state-of-the-art substrates. Utilizing multiple high density routing layers, laser drilled vias, and ultra-fine line and space metallization, FCBGA substrates have the highest routing density available. The variety of FCBGA package options, from large single die to multi-chip packages with memory, allows package selection to be tailored to the specific thermal needs of the end product. We offer FCBGA packaging in a variety of product formats to fit a wide range of end application requirements, including networking, storage, computing, automotive and consumer applications. Some FCBGA products incorporate 2.5D technology, which utilizes high density silicon interposers to enable the integration of high-performance chips, such as high bandwidth memory and graphics processors, into a single package.</w:t>
      </w:r>
    </w:p>
    <w:p>
      <w:pPr>
        <w:spacing w:after="0" w:line="12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Memory Products: </w:t>
      </w:r>
      <w:r>
        <w:rPr>
          <w:rFonts w:ascii="Times New Roman" w:cs="Times New Roman" w:eastAsia="Times New Roman" w:hAnsi="Times New Roman"/>
          <w:sz w:val="18"/>
          <w:szCs w:val="18"/>
          <w:color w:val="auto"/>
        </w:rPr>
        <w:t>Memory packages consist of either standalone packaging and testing or a combination of NAND Flash, DRAM, or a memory controller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IC using a variety of packaging technologies, including FC, SCSP, SiP, PoP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state-of-the-art packaging technologies. These products are used as system memory or platform data storage in all of our end markets.</w:t>
      </w:r>
    </w:p>
    <w:p>
      <w:pPr>
        <w:spacing w:after="0" w:line="16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Wafer-level Package Products</w:t>
      </w:r>
      <w:r>
        <w:rPr>
          <w:rFonts w:ascii="Times New Roman" w:cs="Times New Roman" w:eastAsia="Times New Roman" w:hAnsi="Times New Roman"/>
          <w:sz w:val="18"/>
          <w:szCs w:val="18"/>
          <w:color w:val="auto"/>
        </w:rPr>
        <w:t>: We offer three types of wafer-level packages: wafer-level CSP; WLFO; SiPh and CPO; and SWIFT. Wafer-level CSP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WLFO are complementary technologies. Customers can choose between the two package types as their die sizes shrink or grow.</w:t>
      </w:r>
    </w:p>
    <w:p>
      <w:pPr>
        <w:spacing w:after="0" w:line="106" w:lineRule="exact"/>
        <w:rPr>
          <w:sz w:val="20"/>
          <w:szCs w:val="20"/>
          <w:color w:val="auto"/>
        </w:rPr>
      </w:pPr>
    </w:p>
    <w:p>
      <w:pPr>
        <w:jc w:val="both"/>
        <w:ind w:left="660" w:hanging="328"/>
        <w:spacing w:after="0" w:line="25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Wafer-level CSP packages (also known as fan-in wafer-level packages) do not utilize a package carrier. The bumped wafer is singulated into individual die, and the wafer-level package is then attached directly to the system board. Wafer-level CSP offers one of the lowest total system costs, enabling higher semiconductor content while leveraging the smallest form factor and one of the highest performing, most reliable semiconductor package platforms on the market today. Applications for wafer-level CSP include power management, transceivers, sensors, wireless charging, codecs, and specialty silicon for new or unique functionality.</w:t>
      </w:r>
    </w:p>
    <w:p>
      <w:pPr>
        <w:spacing w:after="0" w:line="12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WLFO packages (also known as low-density fan-out packages) are utilized for ICs where the die surface area is too small to accommodate all of the required bond pads. The fan-out package enlarges the bondable surface area by building a border around the die using low-cost molding compound. These packages can include multiple die. Applications for WLFO packages include power management, transceivers, radar and specialty silicon.</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SiPh and CPO allow for the integration of fiberoptic interconnects both within a package and within the server architecture to reduce power consumption, heat generation and improve performance. Amkor has supported previous generations of SiPh packaging needs and is aligned with the market to support its future needs, through chip on wafer, chip on chip and other advanced packaging solutions.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SWIFT, also known as high-density fan-out, can either replace the laminate substrate with a thinner structure or reduce the complexity of the substrate by housing the dense interconnects in the SWIFT structure, allowing for a less expensive substrate that provides a high level of performance with a balanced cost structure. SWIFT solutions enable high performance in a compact form factor that combines tiled processors, memory, I/O (input/output) die and other peripheral ICs.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Mainstream Products</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Mainstream Products use wirebond interconnect technology to connect a die to a leadframe or substrate package carrier and include leadframe packages, substrate-based wirebond packages and micro-electro-mechanical systems (“MEMS”) packages.</w:t>
      </w:r>
    </w:p>
    <w:p>
      <w:pPr>
        <w:spacing w:after="0" w:line="10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Leadframe Packages: </w:t>
      </w:r>
      <w:r>
        <w:rPr>
          <w:rFonts w:ascii="Times New Roman" w:cs="Times New Roman" w:eastAsia="Times New Roman" w:hAnsi="Times New Roman"/>
          <w:sz w:val="18"/>
          <w:szCs w:val="18"/>
          <w:color w:val="auto"/>
        </w:rPr>
        <w:t>Leadframe packages use wirebond or flip chip technology to connect a die to a leadframe package carrier. Leadframe packages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in many electronic devices and remain the most practical and cost-effective solution for many low to medium pin count analog and mixed signal applications.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Traditional leadframe packages support a wide variety of device types and applications. Two of our most popular traditional leadframe package types are small outline IC and quad flat package, commonly known as “dual” and “quad” products, respectively, based upon the number of sides from which the leads extend. The traditional leadframe package family has evolved from “through hole design,” where the leads are plugged into holes on the circuit board to “surface mount design,” where the leads are soldered to the surface of the circuit board. We offer a wide range of lead counts and body sizes to satisfy variations in the size of customers’ semiconductor devices.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Through a process of continuous engineering and customization, we have designed several leadframe package types that are thinner and smaller than traditional leadframe packages and can accommodate more leads on the perimeter of the package. These leadframe packages typically have superior thermal and electrical characteristics, which allow them to dissipate heat generated by high-powered semiconductor devices while providing enhanced electrical connectivity. We are developing increasingly smaller versions of these packages to keep pace with continually shrinking semiconductor device sizes and demand for miniaturization of portable electronic products. One of our more successful leadframe package offerings is the </w:t>
      </w:r>
      <w:r>
        <w:rPr>
          <w:rFonts w:ascii="Times New Roman" w:cs="Times New Roman" w:eastAsia="Times New Roman" w:hAnsi="Times New Roman"/>
          <w:sz w:val="18"/>
          <w:szCs w:val="18"/>
          <w:i w:val="1"/>
          <w:iCs w:val="1"/>
          <w:color w:val="auto"/>
        </w:rPr>
        <w:t>Micro</w:t>
      </w:r>
      <w:r>
        <w:rPr>
          <w:rFonts w:ascii="Times New Roman" w:cs="Times New Roman" w:eastAsia="Times New Roman" w:hAnsi="Times New Roman"/>
          <w:sz w:val="18"/>
          <w:szCs w:val="18"/>
          <w:color w:val="auto"/>
        </w:rPr>
        <w:t>LeadFrame family of quad flat no lead packages. These packages offer cost effective, miniaturized solutions for multiple analog power and signal chain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Power discrete devices use a leadframe as the package carrier and primarily use wirebond interconnect technology. However, power applications that require improved thermal and electrical performance will use packaging with copper clip interconnect technology that creates multi die power modules with wafers from silicon carbide and other wide band gap materials.</w:t>
      </w:r>
    </w:p>
    <w:p>
      <w:pPr>
        <w:spacing w:after="0" w:line="1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Substrate-based Wirebond Packages</w:t>
      </w:r>
      <w:r>
        <w:rPr>
          <w:rFonts w:ascii="Times New Roman" w:cs="Times New Roman" w:eastAsia="Times New Roman" w:hAnsi="Times New Roman"/>
          <w:sz w:val="18"/>
          <w:szCs w:val="18"/>
          <w:color w:val="auto"/>
        </w:rPr>
        <w:t>: Substrate-based wirebond packages use wirebond technology to connect a die to a substrate. Some of our packages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category include stacked CSP, wirebond ball grid array packages and plastic ball grid array (“PBGA”) packages.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Stacked CSP technology enables the stacking of a wide range of different semiconductor devices to deliver high levels of silicon integration and area efficiency. Stacked CSP utilizes high density thin core substrates and advanced materials, along with leading-edge wafer thinning, die attach and molding capabilities, to stack multiple die on a substrate. Stacked CSP is ideal for memory and mixed signal applications.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Wirebond ball grid array packages offer a broad selection of ball array pitches, ball counts and body sizes, single and multi-die layouts, stacked die and passive component integration together with thermal management solutions. They are applicable for a wide range of semiconductors requiring a smaller package size than conventional PBGAs or leadframe packages.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PBGA packages are used in applications requiring higher pin count than leadframe packages, but typically have lower pin counts than flip chip. PBGA packages are designed for low inductance, improved thermal operation and enhanced surface-mount technology ability. Custom performance enhancements, like ground and power planes, are also available.</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Micro-Electro-Mechanical Systems Packages</w:t>
      </w:r>
      <w:r>
        <w:rPr>
          <w:rFonts w:ascii="Times New Roman" w:cs="Times New Roman" w:eastAsia="Times New Roman" w:hAnsi="Times New Roman"/>
          <w:sz w:val="18"/>
          <w:szCs w:val="18"/>
          <w:color w:val="auto"/>
        </w:rPr>
        <w:t>: MEMS are miniaturized mechanical and electro-mechanical devices that can sense and provide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the physical world and sometimes trigger a response. Examples of MEMS devices include microphones, accelerometers, airbag deployment sensors, gyrometers, magnetometers and humidity, temperature and pressure sensors. We also specialize in sensor fusion products which utilize our cavity MEMS platform and combine multiple sensors into a single package. MEMS packages leverage our expertise in wafer thinning, die stacking, wirebonding and flip chip interconnect to deliver sophisticated products with a very small form factor.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Advanced System-in-Package Modules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Advanced SiP modules combine multiple semiconductor and other electronic components with different functionalities into a single package. These modules use wirebond, flip chip or wafer-level interconnect technologies. Components can include ICs, passive devices (inductors, capacitors, resistors, filters and diplexers), antennas and mechanical parts.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increasing demand for miniaturization and higher functionality at competitive cost is driving the adoption of advanced SiP in new products. Advanced SiP modules are used for many applications such as radio frequency (“RF”) and front-end modules, basebands, connectivity, fingerprint sensors, display and touch screen drivers, sensors and MEMS, NAND memory and solid state drives. Advanced SiP modules are found in many products including smartphones and tablets, automobiles, IoT wearables, high-performance gaming systems, computers and network systems.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2024, 2023 and 2022, we had net sales of approximately $3,085 million, $2,955 million and $2,930 million, respectively, from our advanced SiP modules, which are mostly included in Advanced Products, depending upon the interconnect technology used in the module.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Test Services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Test Services complement our wafer and packaging services across our Advanced and Mainstream Products. Our test services offer customers the cycle time and cost advantages of co-located turn-key services. Our test services are used as both an interim step or as the final testing step to ensure screening and rejection of defects, performance grading and overall outgoing quality and reliability. Interim testing eliminates the manufacturing costs of assembling the defective chips. Below is a description of our test services:</w:t>
      </w:r>
    </w:p>
    <w:p>
      <w:pPr>
        <w:spacing w:after="0" w:line="16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Wafer Level Test: </w:t>
      </w:r>
      <w:r>
        <w:rPr>
          <w:rFonts w:ascii="Times New Roman" w:cs="Times New Roman" w:eastAsia="Times New Roman" w:hAnsi="Times New Roman"/>
          <w:sz w:val="18"/>
          <w:szCs w:val="18"/>
          <w:color w:val="auto"/>
        </w:rPr>
        <w:t>Wafer level test is a manufacturing step performed while a wafer is still in its full form and before being singulated for further package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Package Level Test: </w:t>
      </w:r>
      <w:r>
        <w:rPr>
          <w:rFonts w:ascii="Times New Roman" w:cs="Times New Roman" w:eastAsia="Times New Roman" w:hAnsi="Times New Roman"/>
          <w:sz w:val="18"/>
          <w:szCs w:val="18"/>
          <w:color w:val="auto"/>
        </w:rPr>
        <w:t>Package level test is performed on a product or products that have been assembled in a package.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Burn-In Test: </w:t>
      </w:r>
      <w:r>
        <w:rPr>
          <w:rFonts w:ascii="Times New Roman" w:cs="Times New Roman" w:eastAsia="Times New Roman" w:hAnsi="Times New Roman"/>
          <w:sz w:val="18"/>
          <w:szCs w:val="18"/>
          <w:color w:val="auto"/>
        </w:rPr>
        <w:t>Burn-in test is a process in which components of a system are exercised, monitored and measured in extreme operational conditions such as</w:t>
      </w:r>
    </w:p>
    <w:p>
      <w:pPr>
        <w:spacing w:after="0" w:line="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high temperature, voltage and frequency over time. The purpose of the environmental and operational stress conditions of burn-in testing is to accelerate and screen early life failures and estimate and monitor long-term degradation and ultimate lifetime.</w:t>
      </w:r>
    </w:p>
    <w:p>
      <w:pPr>
        <w:spacing w:after="0" w:line="14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i w:val="1"/>
          <w:iCs w:val="1"/>
          <w:color w:val="auto"/>
        </w:rPr>
        <w:t xml:space="preserve">System Level Test: </w:t>
      </w:r>
      <w:r>
        <w:rPr>
          <w:rFonts w:ascii="Times New Roman" w:cs="Times New Roman" w:eastAsia="Times New Roman" w:hAnsi="Times New Roman"/>
          <w:sz w:val="18"/>
          <w:szCs w:val="18"/>
          <w:color w:val="auto"/>
        </w:rPr>
        <w:t>System level test identifies defective SiP products that may not otherwise be screened by traditional wafer level, package level or burn-in testing. As advanced packaging proliferates and the integration of more individual components into a SiP grows, system level testing becomes more important.</w:t>
      </w:r>
    </w:p>
    <w:p>
      <w:pPr>
        <w:spacing w:after="0" w:line="15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8"/>
          <w:szCs w:val="18"/>
          <w:i w:val="1"/>
          <w:iCs w:val="1"/>
          <w:color w:val="auto"/>
        </w:rPr>
        <w:t xml:space="preserve">Test Development Services: </w:t>
      </w:r>
      <w:r>
        <w:rPr>
          <w:rFonts w:ascii="Times New Roman" w:cs="Times New Roman" w:eastAsia="Times New Roman" w:hAnsi="Times New Roman"/>
          <w:sz w:val="18"/>
          <w:szCs w:val="18"/>
          <w:color w:val="auto"/>
        </w:rPr>
        <w:t>Prior to mass production, an integrated manufacturing ready test solution must be developed and deployed. Amkor’s test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services offer both co-development and full development of complete test software and hardware solutions to our customers. These services</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also enable early engagement with our customers in the product design phases for maximum compatibility with manufacturing. Our test development teams are experienced in a full suite of test engineering disciplines for Memory, Power, RF, Mixed Signal, Analog and digital test solution development.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End Markets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lists the end markets that use our products and sets forth, for the periods indicated, the percentage of net sales in each end market: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100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02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02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9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42"/>
        </w:trPr>
        <w:tc>
          <w:tcPr>
            <w:tcW w:w="79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 xml:space="preserve">End Market Distribution Data </w:t>
            </w:r>
            <w:r>
              <w:rPr>
                <w:rFonts w:ascii="Times New Roman" w:cs="Times New Roman" w:eastAsia="Times New Roman" w:hAnsi="Times New Roman"/>
                <w:sz w:val="16"/>
                <w:szCs w:val="16"/>
                <w:color w:val="auto"/>
              </w:rPr>
              <w:t>(an approximation including representative devices and applications based on a sampling</w:t>
            </w: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 our largest customers):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Communications (smartphones, tablets)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Computing (data center, infrastructure, PC/laptop, storage)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Automotive, industrial and other (ADAS, electrification, infotainment, safety)</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 (AR &amp; gaming, connected home, home electronics, wearables)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r>
      <w:tr>
        <w:trPr>
          <w:trHeight w:val="207"/>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net sales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3"/>
        </w:trPr>
        <w:tc>
          <w:tcPr>
            <w:tcW w:w="79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technology development is one of the keys to success in the semiconductor packaging and test industry. Our research efforts focus on developing new packaging solutions and test services, as well as improving the efficiency and capabilities of our existing production processes. By concentrating our research and development on our customers’ needs for innovative packaging solutions for increased performance, higher density, smaller size and lower cost, we gain opportunities to enter markets early and compete for new business.</w:t>
      </w:r>
    </w:p>
    <w:p>
      <w:pPr>
        <w:spacing w:after="0" w:line="1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 significant area of focus is on integrated multi-die solutions, including 2.5D, SWIFT and S-Connect. These multi-chip modules and high-density WLFO solutions enable package level integration of different types and levels of silicon technologies for high performance computing, networking and data center applications. This is accomplished by combining processors and other chiplets into one packaged module. Through die partitioning and heterogeneous integration, these modules provide higher functionality at lower total product cost.</w:t>
      </w:r>
    </w:p>
    <w:p>
      <w:pPr>
        <w:spacing w:after="0" w:line="11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Another important priority is the development of wafer-level and panel-level packages for 2D and 3D implementations. These wafer-level chip-scale packages and WLFO packages are increasingly the preferred package type for many applications in IoT and mobile devices, including processors, power management integrated circuits (“PMICs”), display drivers and antenna package products. Our development of Panel Level Fan Out (“PLFO”) technology will permit higher economies of scale for fan-out package devices manufactured on a panel versus wafer basis.</w:t>
      </w:r>
    </w:p>
    <w:p>
      <w:pPr>
        <w:spacing w:after="0" w:line="1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Another key area is developing highly integrated SiP modules, such as DSMBGA or double-sided molded land grid array packages, to reduce material and processing costs and minimize form factor for wearables and mobile devices.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developing new applications for the automotive market using existing and new package technologies as higher performance computing, energy efficiency, power distribution and sensor content are used to support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automotive features including ADAS, infotainment, optical sensors and electric vehicles. In addition, we are developing high power modules involving SiC-based devices.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research and development employees are based in Korea, Portugal, the United States and other locations in Asia. In 2024, 2023 and 2022, we incurred $163.0 million, $177.5 million and $149.4 million, respectively, of research and development expense.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sales offices are located throughout Asia, Europe and the United States. Our support personnel manage and promote our packaging and test services and provide key customer and technical support. To provide comprehensive sales and customer service, we typically assign our customers a direct support team consisting of a sales manager, assembly and test technical program managers and both field and factory customer support representatives. We also support our largest multinational customers from multiple office locations to ensure that we are aligned with their global operational and business requirements.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direct support teams are further supported by an extended staff of product, process, quality and reliability engineers, as well as marketing and advertising specialists, information systems technicians and factory personnel. Together, these direct and extended support teams deliver an array of services to our customers.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sales have generally been higher in the second half of the year than in the first half due to consumer buying patterns in the U.S., Europe and Asia and the timing of flagship mobile device launches. In addition, semiconductor companies generally reduce their production during the holidays at the end of December, which generally results in a decrease in packaging and test services during the first quarter. General economic conditions, changes in our product mix or overall demand in any of our end markets can impact our seasonality.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customers include many of the largest semiconductor companies in the world. Our ten largest customers accounted for 72% of our net sales in 2024.</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 sales to Apple and Qualcomm accounted for 30.8% and 10.2% of our net sales, respectively, for the year ended December 31, 2024.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MATERIALS AND EQUIPMENT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materials are used primarily for packaging activities. Our packaging operations depend upon obtaining adequate supplies of materials on a timely basis. The principal materials used in our packaging process are laminate substrates, ICs, capacitors, leadframes and gold wire. The silicon wafer is generally consigned from our customer. We generally do not take ownership of the customer consigned wafer, and title and risk of loss remains with the customer for these materials. Test materials constitute a very small portion of our total test cost. Generally, we purchase materials based on Amkor’s commitments to customer forecasts, and our customers are generally responsible for any unused materials we purchase based on such commitments.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obtain the materials required for packaging services from various suppliers and source most of our materials, including critical materials such as leadframes, laminate substrates and gold wire, from a limited group of suppliers. We work closely with our primary material suppliers to ensure consistent quality, availability and timely delivery. We also negotiate worldwide pricing agreements with our major suppliers to take advantage of the scale of our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Equipment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ability to meet the changing demand from our customers for manufacturing capacity depends upon obtaining packaging and test equipment in a timely manner. We work closely with our main equipment suppliers to coordinate the ordering and delivery of equipment to meet our expected capacity needs.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primary types of equipment used in providing our packaging services are wirebonders, die bonders, chip shooters and die attach. In addition, we maintain a variety of other packaging equipment, including mold, singulation, ball attach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wafer backgrind, along with numerous other types of manufacturing equipment. A substantial portion of our packaging equipment base can generally be used and adapted to support the manufacture of many of our packages.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purchase wafer bumping equipment to facilitate our flip chip and wafer level packaging services such as 2.5D and HDFO, which is used for HPC and artificial intelligence systems. Wafer bumping equipment includes sputter and spin coaters, electroplating equipment, reflow ovens and other types of equipment. This equipment tends to have longer lead times for delivery and installation than other packaging equipment and is sold in relatively larger increments of capacity.</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primary equipment used in the testing process includes testers, handlers and probers. Handlers are used to transfer individual or small groups of packaged ICs to a tester. Test equipment is generally a more capital-intensive activity than packaging, and test equipment tends to have longer delivery lead times than most types of packaging equipment. We focus our capital expenditures on standardized tester platforms to maximize test equipment utilization where possible. In some cases, our customers will consign test equipment to us.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public company with global operations, we are subject to various federal, state, local and foreign laws, and our products and services are governed by a number of rules and regulations. These regulations, which differ among jurisdictions, include financial and other external reporting disclosure rules, accounting standards and environmental, corporate governance, intellectual property, tax, trade, antitrust, employment, immigration and travel, privacy and anti-corruption laws. Costs and accruals incurred to comply with these governmental regulations are presently not material to our capital expenditures, results of operations and competitive position. Although there is no assurance that existing or future government laws applicable to our operations, services or products will not have a material adverse effect on our capital expenditures, results of operations and competitive position, we do not currently anticipate material expenditures for compliance with government regulations.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Matters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chemicals and materials in the semiconductor packaging process that generate byproducts such as wastewater, solid waste and flue gas. For example, water used for rinsing or cooling wafers being sawed or used in the etching or solder deposition process produces wastewater. Scrap from metal lead-frame or substrate processing or excessive molding resin produces solid waste. Emissions from solvents used for coating produce flue gases. In addition to byproducts, semiconductor packages have historically contained lead, a naturally occurring element that can be toxic. The use of lead in our packages has decreased over time due to the use of lead-free alternatives. The use and storage of chemicals and materials are subject to various laws and regulations governing waste disposal, water discharge, emissions into the atmosphere and employee health and safety. We make continuous efforts to comply with these environmental laws and regulations, including environmental management systems, safety training for employees and pollution control at our factories.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future, we may be subject to changes to existing environmental regulations or new green initiatives required by our customers, investors, governments or other stakeholders. We do not believe that capital expenditures or other costs attributable to compliance with environmental laws and regulations or green initiatives will have a material adverse effect on our business, liquidity, results of operations, financial condition or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outsourced semiconductor packaging and test market is highly competitive, geopolitical trade tensions have increased competition from Chinese firms supporting a China-for-China supply chain. We face competition from established packaging and test service providers primarily located in Asia, including ASE Technology, JCET Group and Powertech Technology.</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compete with contract foundries, such as TSMC, and electronic manufacturing service providers or contract electronics manufacturers, including Universal Scientific Industrial and Luxshare, which offer certain types of advanced packaging. Our IDM customers also evaluate our services and scale against their own in-house capabilities.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competitive factors in the outsourced semiconductor packaging and test services market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Advanced packaging technology</w:t>
            </w:r>
          </w:p>
        </w:tc>
        <w:tc>
          <w:tcPr>
            <w:tcW w:w="474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   Investment in new technology and capacity</w:t>
            </w:r>
          </w:p>
        </w:tc>
      </w:tr>
      <w:tr>
        <w:trPr>
          <w:trHeight w:val="37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Geographic location of services</w:t>
            </w:r>
          </w:p>
        </w:tc>
        <w:tc>
          <w:tcPr>
            <w:tcW w:w="14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Quality and reliability</w:t>
            </w:r>
          </w:p>
        </w:tc>
      </w:tr>
      <w:tr>
        <w:trPr>
          <w:trHeight w:val="37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Manufacturing scale and expertise</w:t>
            </w:r>
          </w:p>
        </w:tc>
        <w:tc>
          <w:tcPr>
            <w:tcW w:w="14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Price</w:t>
            </w:r>
          </w:p>
        </w:tc>
      </w:tr>
      <w:tr>
        <w:trPr>
          <w:trHeight w:val="37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co-development and innovation</w:t>
            </w:r>
          </w:p>
        </w:tc>
        <w:tc>
          <w:tcPr>
            <w:tcW w:w="14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Cycle time</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we are competitive in these areas.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an active program to protect and derive value from our investment in technology and the associated intellectual property rights. Intellectual property rights that apply to our various products and services include patents, copyrights, trade secrets and trademarks. We have filed and obtained a number of patents in the U.S. and other countries, and their durations vary depending on the jurisdiction in which each patent is filed. Although our patents are an important element of our intellectual property strategy, we are not materially dependent on any one patent or any one technology. We expect to continue to file patent applications when appropriate to protect our proprietary technologies, but we cannot provide assurances that we will receive patents from pending or future applications. In addition, any patents we obtain could be challenged, invalidated or circumvented and may not provide meaningful protection or other commercial advantage to us. Nonetheless, we believe that our patents afford an important means of protection for our technologies. Further, to distinguish our products from our competitors’ products, we have obtained certain trademarks and service marks and may promote our particular brands through advertising and other marketing techniques.</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protect and maintain the confidentiality of certain information about our processes, products and strategies which we believe provides us with a competitive advantage. We have ongoing programs designed to maintain the confidentiality of such information. As part of these efforts, all employees who have access to Amkor’s information systems are required to participate in cybersecurity training within the first 15 days of employment, after which recurring mandatory training is required on an annual basis.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Amkor believes that its future success is highly dependent upon our continued ability to attract, retain and motivate qualified employees. As part of our effort to attract and motivate employees, Amkor is committed to providing competitive and comprehensive benefits that are designed to enable our employees and their families to live healthier and more secure lives. Additionally, Amkor has implemented various retention programs to incentivize and retain high-performing employees. We regularly evaluate such retention programs and our compensation practices generally to ensure they remain competitive and are aligned with local market practices. We look to promote our management-level employees from within Amkor, and we believe that we have been successful in this effort. Factory locations also maintain training and development programs that enable the continued learning and growth of our employees, and senior management regularly meets to share and implement best practices among our various facilities.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Amkor also uses human capital initiatives to support our broad geographic footprint. For career development and advancement, we may provide employees with the opportunity to move between factories, often in support of new factories or the introduction of new packaging offerings. We believe that these initiatives are efficient for training new local employees and allow existing employees to continue to develop in their careers.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our efforts to motivate, retain and support the growth of qualified employees is reflected in the long average tenure of many of our key employees.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2024, Amkor employed 28,300 employees, of whom approximately 96%, 3% and 1% resided in the Asia-Pacific region, Europe and the United States, respectively. Our global workforce spans 12 countries, reflecting various cultures, backgrounds, ages, genders and ethnicities. Our employees in France, Germany, the Philippines, Singapore, Taiwan and the United States are not represented by any union. Certain employees at our factories in China, Japan, Korea, Malaysia, Portugal and Vietnam are members of a union, and we operate subject to collective bargaining agreements that we have entered into with these unions. We believe that our relations with our employees are good, and we have not experienced a work stoppage in any of our factories.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Amkor files annual, quarterly and current reports, proxy statements and other information with the SEC. The SEC maintains a website that contains annual, quarterly and current reports, proxy statements and other information that issuers (including Amkor) file electronically with the SEC. The SEC’s website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Amkor’s website is </w:t>
      </w:r>
      <w:r>
        <w:rPr>
          <w:rFonts w:ascii="Times New Roman" w:cs="Times New Roman" w:eastAsia="Times New Roman" w:hAnsi="Times New Roman"/>
          <w:sz w:val="18"/>
          <w:szCs w:val="18"/>
          <w:i w:val="1"/>
          <w:iCs w:val="1"/>
          <w:color w:val="auto"/>
        </w:rPr>
        <w:t>www.amkor.com.</w:t>
      </w:r>
      <w:r>
        <w:rPr>
          <w:rFonts w:ascii="Times New Roman" w:cs="Times New Roman" w:eastAsia="Times New Roman" w:hAnsi="Times New Roman"/>
          <w:sz w:val="18"/>
          <w:szCs w:val="18"/>
          <w:color w:val="auto"/>
        </w:rPr>
        <w:t xml:space="preserve"> Amkor makes available, free of charge, through its website: our annual reports on Form 10-K; quarterly reports on Form 10-Q; current reports on Form 8-K; Forms 3, 4 and 5 filed on behalf of directors and executive officers; and any amendments to those reports filed or furnished pursuant to the Securities Exchange Act of 1934, as amended (the “Exchange Act”), as soon as reasonably practicable after such material is electronically filed with, or furnished to, the SEC. We also make available, free of charge, through our website, our Corporate Governance Guidelines, the charters of the Audit Committee, Nominating and Governance Committee and Compensation Committee of our Board of Directors, our Code of Business Conduct, our Code of Ethics for Directors and other information and materials. The information on Amkor’s website is not incorporated by reference into this Form 10-K.</w:t>
      </w:r>
    </w:p>
    <w:p>
      <w:pPr>
        <w:spacing w:after="0" w:line="20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factors discussed below are cautionary statements that identify important factors and risks that could cause actual results to differ materially from those anticipated by the forward-looking statements contained in this Form 10-K. For more information, see the Forward-Looking Statements within this Form 10-K. You should carefully consider the risks and uncertainties described below, together with all of the other information included in this Form 10-K, in considering our business and prospects. The risks and uncertainties described below are not the only ones facing Amkor. Additional risks and uncertainties not presently known to us or that we currently deem immaterial may also adversely affect our business operations. The occurrence of any of the risks and uncertainties described below could materially and adversely affect our business, liquidity, results of operations, financial condition or cash flows.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48"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An investment in our common stock involves various risks, and you are urged to carefully consider all of the matters discussed in Part I, Item 1A of this Form 10-K under the caption “Risk Factors” (in addition to those discussed under this “Summary of Risk Factors” section) in considering our business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prospects. The following is a list of some of these risks: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Operations and Industry</w:t>
      </w:r>
    </w:p>
    <w:p>
      <w:pPr>
        <w:spacing w:after="0" w:line="148" w:lineRule="exact"/>
        <w:rPr>
          <w:sz w:val="20"/>
          <w:szCs w:val="20"/>
          <w:color w:val="auto"/>
        </w:rPr>
      </w:pPr>
    </w:p>
    <w:p>
      <w:pPr>
        <w:ind w:left="660" w:hanging="328"/>
        <w:spacing w:after="0" w:line="237"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the cyclical and volatile semiconductor industry and vulnerability to industry downturns and declines in global economic and financial conditions;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costs, quality, availability and delivery times of raw materials, components and equipment;</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operating results and cash flows;</w:t>
      </w:r>
    </w:p>
    <w:p>
      <w:pPr>
        <w:spacing w:after="0" w:line="130"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established competitors in the packaging and test business, the internal capabilities of IDMs, and new competitors, including foundries and contract manufacturers;</w:t>
      </w:r>
    </w:p>
    <w:p>
      <w:pPr>
        <w:spacing w:after="0" w:line="1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investments in equipment and facilities to support the demand of our customers;</w:t>
      </w:r>
    </w:p>
    <w:p>
      <w:pPr>
        <w:spacing w:after="0" w:line="144" w:lineRule="exact"/>
        <w:rPr>
          <w:rFonts w:ascii="Times New Roman" w:cs="Times New Roman" w:eastAsia="Times New Roman" w:hAnsi="Times New Roman"/>
          <w:sz w:val="18"/>
          <w:szCs w:val="18"/>
          <w:color w:val="auto"/>
        </w:rPr>
      </w:pPr>
    </w:p>
    <w:p>
      <w:pPr>
        <w:ind w:left="660" w:right="20" w:hanging="328"/>
        <w:spacing w:after="0" w:line="237"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claims, product return and liability risks, and the risk of negative publicity if our products fail, as well as the risk of litigation incident to our business;</w:t>
      </w:r>
    </w:p>
    <w:p>
      <w:pPr>
        <w:spacing w:after="0" w:line="11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achieving the relatively high-capacity utilization rates necessary to realize satisfactory gross margins given our high percentage of fixed costs;</w:t>
      </w:r>
    </w:p>
    <w:p>
      <w:pPr>
        <w:spacing w:after="0" w:line="1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absence of backlog and the short-term nature of our customers’ commitments;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downward pressure on the prices of our packaging and test services;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manufacturing yields;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downturn or lower sales to customers in the automotive industry;</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customers or concentration of customers in certain end markets, such as mobile communications and automotive;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funding our liquidity needs; and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with integrating diverse operations.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International Sales and Operation</w:t>
      </w:r>
      <w:r>
        <w:rPr>
          <w:rFonts w:ascii="Times New Roman" w:cs="Times New Roman" w:eastAsia="Times New Roman" w:hAnsi="Times New Roman"/>
          <w:sz w:val="18"/>
          <w:szCs w:val="18"/>
          <w:b w:val="1"/>
          <w:bCs w:val="1"/>
          <w:color w:val="auto"/>
        </w:rPr>
        <w:t>s</w:t>
      </w:r>
    </w:p>
    <w:p>
      <w:pPr>
        <w:spacing w:after="0" w:line="148"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international factories and operations, and risks relating to trade restrictions and regional conflict.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Cybersecurity, Data Privacy and Intellectual Property</w:t>
      </w:r>
    </w:p>
    <w:p>
      <w:pPr>
        <w:spacing w:after="0" w:line="148" w:lineRule="exact"/>
        <w:rPr>
          <w:sz w:val="20"/>
          <w:szCs w:val="20"/>
          <w:color w:val="auto"/>
        </w:rPr>
      </w:pPr>
    </w:p>
    <w:p>
      <w:pPr>
        <w:ind w:left="660" w:hanging="328"/>
        <w:spacing w:after="0" w:line="237"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proprietary technology, protect our proprietary technology, operate without infringing the proprietary rights of others, and implement new technologies;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continuing development and implementation of changes to, and maintenance and security of, our information technology systems.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w:t>
      </w:r>
    </w:p>
    <w:p>
      <w:pPr>
        <w:spacing w:after="0" w:line="13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in the indentures and agreements governing our current and future indebtedness;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 and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 and changes in credit risk.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w:t>
      </w:r>
    </w:p>
    <w:p>
      <w:pPr>
        <w:spacing w:after="0" w:line="135" w:lineRule="exact"/>
        <w:rPr>
          <w:sz w:val="20"/>
          <w:szCs w:val="20"/>
          <w:color w:val="auto"/>
        </w:rPr>
      </w:pPr>
    </w:p>
    <w:p>
      <w:pPr>
        <w:ind w:left="660" w:right="2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certain of our stockholders to effectively determine or substantially influence the outcome of matters requiring stockholder approval; and</w:t>
      </w:r>
    </w:p>
    <w:p>
      <w:pPr>
        <w:spacing w:after="0" w:line="1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decrease or suspend our quarterly dividend.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Human Capital and Management</w:t>
      </w:r>
    </w:p>
    <w:p>
      <w:pPr>
        <w:spacing w:after="0" w:line="13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attracting, retaining or replacing qualified personnel.</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Regulatory, Legal and Tax Challenges</w:t>
      </w:r>
    </w:p>
    <w:p>
      <w:pPr>
        <w:spacing w:after="0" w:line="148"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effective system of internal controls;</w:t>
      </w:r>
    </w:p>
    <w:p>
      <w:pPr>
        <w:spacing w:after="0" w:line="130"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tax laws, taxing authorities not agreeing with our interpretation of applicable tax laws, including whether we continue to qualify for conditional reduced tax rates, or any requirements to establish or adjust valuation allowances on deferred tax assets;</w:t>
      </w:r>
    </w:p>
    <w:p>
      <w:pPr>
        <w:spacing w:after="0" w:line="1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health and safety liabilities and expenditures; and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and obligations in connection with the receipt of government awards and incentives.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48"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 health conditions or pandemics, political instability, hostilities or other disruptions.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Operations and Industry</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packaging and test services are used in volatile industries, and industry downturns and declines in global economic and financial conditions could harm our performance.</w:t>
      </w:r>
    </w:p>
    <w:p>
      <w:pPr>
        <w:spacing w:after="0" w:line="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is impacted by market conditions in the semiconductor industry, which is cyclical by nature and impacted by broad economic factors, such as worldwide gross domestic product and consumer spending. The semiconductor industry has experienced significant and sometimes sudden and prolonged downturns in the past. If the industry or markets in which we compete experience slower, or even negative growth, our business and results of operations may be materially and adversely affected.</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our business is, and will continue to be, dependent on the requirements of semiconductor companies for outsourced packaging and test services, any downturn in the semiconductor industry or any other industry that uses a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number of semiconductor devices, such as communications, computing, automotive and industrial or consumer electronics, could have a material adverse effect on our business and operating results. During downturns, we have experienced, among other things, reduced demand, excess capacity and reduced sales. For example, the Covid-19 pandemic disrupted demand in the automotive and industrial end market in 2020, and during 2019, there was weakness in the general market and an inventory correction in the smartphone market.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suffer if the cost, quality or supply of materials or equipment changes adversely.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obtain the materials and equipment required for the packaging and test services performed by our factories from various vendors. We source most of our materials, including critical materials such as leadframes, laminate substrates and gold wire, from a limited group of suppliers. A disruption to the operations of one or more of our suppliers could extend lead times for materials and equipment and have a negative impact on our business. For example, the Covid-19 pandemic and resulting supply chain disruptions and economic turbulence created extended lead times for some materials and equipment, and furthermore, fire, severe weather, earthquakes, flooding and tsunamis in the past have impacted the supply of specialty chemicals, substrates, silicon wafers, equipment and other supplies to the electronics industry.</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purchase the majority of our materials on a purchase order basis. Our business may be harmed if we cannot obtain materials and other supplies from our vendors in a timely manner, in sufficient quantities, at acceptable quality or at competitive prices or are unable to increase our prices sufficiently to recover inflationary price increases in materials or supplies. Some of our customers are also dependent on a limited number of suppliers for certain materials and silicon wafers. Shortages or disruptions in our customers’ supply channels, including any disruptions arising out of the conflicts in Ukraine and Israel or other future conflicts, could have a material adverse effect on our business, financial condition, results of operations and cash flows.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 rules and related industry initiatives require diligence and disclosure regarding the use of certain minerals originating from the conflict zones of the Democratic Republic of Congo and adjoining countries. Many of our customers’ initiatives require us to certify that the covered materials we use in our packages do not come from the conflict areas. We incur costs associated with complying with these requirements and customer initiatives, and we may be required to increase our efforts in the future to cover additional materials and geographic areas. These requirements and customer initiatives could affect the pricing, sourcing and availability of materials used in the manufacture of semiconductor devices, and we cannot assure you that we will be able to obtain conflict-free materials or other materials covered by customer initiatives in sufficient quantities and at competitive prices or that we will be able to verify the origin of all of the materials we procure. If we are unable to meet these requirements and customer initiatives, some customers may move their business to other suppliers, and our reputation and business could be materially and adversely affected.</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purchase new packaging and test equipment to maintain and expand our operations. From time to time, increased demand for new equipment or supply chain disruptions and economic turbulence may cause lead times to extend beyond those normally required by equipment vendors. In periods of increased demand and reduced availability, equipment suppliers may delay orders or only partially satisfy our equipment orders in the normal time frame. The unavailability of equipment or failures to deliver equipment on a timely basis could delay or impair our ability to meet customer orders. If we are unable to meet customer orders, we could lose potential and existing customers. Generally, we acquire our equipment on a purchase order basis and do not enter into long-term equipment agreements. As a result, depending on market conditions, we could experience adverse changes in pricing, currency risk and potential shortages in equipment, any of which could have a material adverse effect on our results of operations.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large buyer of gold and other commodity materials, including substrates and copper. The prices of gold and other commodities used in our business fluctuate. Historically, we have been able to partially offset the effect of commodity price increases through price adjustments to some customers and changes in our product designs that reduce the material content and cost, such as the use of shorter, thinner gold wire and migration to copper wire. However, we typically do not have long-term contracts that permit us to impose price adjustments, and market conditions may limit our ability to do so. Significant price increases may materially and adversely impact our gross margin in future periods to the extent we are unable to pass along past or future commodity price increases to our customers.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and cash flows have varied and may vary significantly as a result of factors that we cannot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factors could have a material adverse effect on our net sales, gross profit, operating results and cash flows or lead to significant variability of quarterly or annual operating results. Our profitability and ability to generate cash from operations is principally dependent upon demand for semiconductors, the utilization of our capacity, semiconductor package mix, the average selling price of our services, our ability to manage our capital expenditures and our ability to control our costs including labor, material, overhead and financing costs.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net sales, gross margin, gross profit, operating income, net income and cash flows have historically fluctuated significantly from quarter to quarter as a result of many of the following factors, over which we have little or no control and which we expect to continue to impact our business:</w:t>
      </w:r>
    </w:p>
    <w:p>
      <w:pPr>
        <w:spacing w:after="0" w:line="108" w:lineRule="exact"/>
        <w:rPr>
          <w:sz w:val="20"/>
          <w:szCs w:val="20"/>
          <w:color w:val="auto"/>
        </w:rPr>
      </w:pPr>
    </w:p>
    <w:p>
      <w:pPr>
        <w:ind w:left="660" w:right="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semiconductors and conditions in the semiconductor industry generally, as well as by specific customers, such as inventory reductions by our customers impacting demand in key markets;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cost, quality, availability and delivery times of raw materials, components, equipment and labor;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including wage inflation, and fluctuations in commodity prices, including gold, copper and other precious metals;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major growth objectives, including transitioning second-wave customers to advanced packages and increasing our share of the automotive and industrial end market;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capacity and capacity utilization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 and currency exchange rates, including the current rising interest rate environment;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average selling prices which can occur quickly due to the absence of long-term agreements on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mix of the semiconductor packaging and test services that we sell;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manufacturing yields;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transition and ramp to high volume manufacture of more advanced silicon nodes and evolving wafer, packaging and test technologies may cause production delays, lower manufacturing yields and supply constraints for new wafers and other materials;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backlog, the short-term nature of our customers’ commitments, double bookings by customers and deterioration in customer forecasts and the impact of these factors, including the possible delay, rescheduling and cancellation of large orders, or the timing and volume of orders relative to our production capacity;</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expenditures in anticipation of future orders;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effective tax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financing;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and debt covenants;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transactions and disputes;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and product liability claims and the impact of quality excursions and customer disputes and returns;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legal claims, indemnification obligations, judgments and settlements;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conflicts (such as the ongoing conflicts in Ukraine and Israel) and government shutdowns, civil disturbances and international events;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or natural disasters such as earthquakes, typhoons and volcanic eruptions;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or other widespread illnesses that may impact our labor force, operations, liquidity, supply chain and end-user demand for products which incorporate semiconductors;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acquisitions and divestitures and difficulties integrating acquisitions;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 to support our global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penetrate new end markets or expand our business in existing end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customers or concentration of customers in certain end markets, such as mobile communications and automotive;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asset write-offs and impairments.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recent years, the U.S. Bureau of Industry and Security announced new export control regulations applicable to the sale of U.S. semiconductor technology in China (collectively, the “BIS Regulations”). The above factors, in addition to the BIS Regulations and other similarly restrictive trade barriers adopted by U.S. and foreign governments applicable to the semiconductor supply chain, could impact our business and the businesses of our customers. These factors may have a material and adverse effect on our business, liquidity, results of operations, financial condition and cash flows or lead to significant volatility in our quarterly or annual operating results. In addition, these factors may materially and adversely affect our credit ratings, which could make it more difficult and expensive for us to raise capital and could materially and adversely affect the price of our securities.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compete against established competitors in the packaging and test business as well as internal capabilities of IDMs and face competition from new competitors, including foundries and contract manufacturers.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outsourced semiconductor packaging and test services market is very competitive. We face substantial competition from established and emerging packaging and test service providers primarily located in Asia, including companies with significantly greater processing capacity, financial resources, local presence, research and development operations, marketing, technology and other capabilities. In addition, we may compete with electronics manufacturing service providers or contract electronics manufacturers that also provide advanced integrated device solutions. We also may face increased competition from domestic companies located in China, where there are government-supported efforts to promote and subsidize the development and growth of the local semiconductor industry. We may be at a disadvantage in attempting to compete with entities associated with such government-supported initiatives based on their lower cost of capital, access to government resources and incentives, preferential sourcing practices, stronger local relationships or otherwise. Our competitors may also have established relationships, or enter into new strategic relationships, with one or more of the large semiconductor companies that are our current or potential customers or key suppliers to these customers. Consolidation among our competitors could also strengthen their competitive position.</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Historically, we have also been dependent on the trend in outsourcing of packaging and test services by IDM and foundry customers. Our IDM and foundry customers continually evaluate the need for outsourced services against their own in-house packaging and test services. As a result, at any time and for a variety of reasons, IDMs and foundries may decide to shift some or all of their outsourced packaging and test services to internally sourced capacity. To the extent we limit capacity commitments for certain customers, these customers may increase their level of in-house packaging and test capabilities, which could make it more difficult for us to regain their business when we have available capacity. If we experience a significant loss of IDM or foundry business, it could have a material adverse effect on our business, liquidity, results of operations, financial condition and cash flows, especially during a prolonged industry downturn.</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face competition from foundries, such as TSMC and Samsung, which offer full turnkey services from silicon wafer fabrication through packaging and final test. These foundries, which are substantially larger than us and have greater financial resources than we do, have expanded their operations to include packaging and test services and may continue to expand these capabilities in the future. If a key customer decides to purchase wafers from a semiconductor foundry that provides packaging and test services, our business could be adversely affected if the customer also engages that foundry for related packaging and test services.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face competition from contract manufacturers and electronic manufacturing service providers, many of which are larger than us, have lower cost structures, and may be willing or able to sell their services at lower margins. These competitors have increased and could increase pricing and competitive pressures.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cannot assure you that we will be able to compete successfully in the future against our existing or potential competitors, that our customers will not rely on internal sources, foundries or contract manufacturers for packaging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test services or that our business, liquidity, results of operations, financial condition or cash flows will not be materially and adversely affected by such increased competition.</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make substantial investments in equipment and facilities to support the demand of our customers, which may materially and adversely affect our business if the demand of our customers does not develop as we expect or is adversely affected.</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make significant investments in equipment and facilities in order to service the demand of our customers. The amount of our capital expenditures depends on several factors, including the performance of our business, our assessment of future industry and customer demand, our capacity utilization levels and availability, advances in technology, our liquidity position and the availability of financing. Our ongoing capital expenditure requirements may strain our cash and liquidity, and, in periods when we are expanding our capital base, we expect that depreciation expense and factory operating expenses associated with capital expenditures to increase production capacity will put downward pressure on our gross profit, at least in the near term. From time to time, we also make significant capital expenditures based on specific business opportunities with one or a few key customers, and the additional equipment purchased may not be readily usable to support other customers. If demand is insufficient to fill our capacity, or we are unable to efficiently redeploy such equipment, our capacity utilization and gross profit could be negatively impacted.</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if we cannot generate or raise additional funds to pay for capital expenditures, particularly in some of the advanced packaging and bumping areas, as well as research and development activities, our growth and future profitability may be materially and adversely affected. Our ability to obtain external financing in the future is subject to a variety of uncertainties, including: our future financial condition, results of operations and cash flows; general market conditions for financing; volatility in fixed income, credit and equity markets; and economic, political and other global conditions.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2023, we completed the initial phase of construction for the Vietnam Facility. While manufacturing has begun at the Vietnam Facility, there can be no assurance that the actual scope, costs or benefits of the project will be consistent with our current expectations.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warranty claims, product return and liability risks, economic damage claims and negative publicity if our packages fail</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packages are incorporated into a number of end products. If our packages fail, our business may be exposed to warranty claims, product return and liability risks, economic damage claims and negative publicity.</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receive warranty claims from our customers from time to time in the ordinary course of our business. If we were to experience an unusually high incidence of warranty claims, we could incur significant costs and our business could be materially and adversely affected. In addition, we are exposed to the product and economic liability risks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packages are delivered with defects, we could incur additional development, repair or replacement costs or suffer other economic losses, and our credibility and the market’s acceptance of our packages could be harmed.</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our high percentage of fixed costs, we may be unable to maintain satisfactory gross margins if we are unable to achieve relatively high-capacity utilization rates.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operations are characterized by high fixed costs and the absence of any material backlog. Our profitability depends in part not only on pricing levels for our packaging and test services but also on the efficient utilization of our human resources and packaging and test equipment. Increases or decreases in our capacity utilization can significantly affect gross margins. Transitions between different packaging technologies can also impact our capacity utilization if we do not efficiently redeploy our equipment for other packaging and test opportunities. We cannot assure you that we will be able to achieve consistently high-capacity utilization, and if we fail to do so, our gross margins may be negatively impacted.</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our fixed operating costs have increased as a result of capital expenditures for capacity expansion. The anticipated customer demand for which we have made capital investments may not materialize, and our sales may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adequately cover fixed costs, resulting in reduced profit levels or even significant losses, either of which may materially and adversely impact our business, liquidity, results of operations, financial condition and cash 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lack of contractually committed customer demand may materially and adversely affect our sales.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packaging and test business does not typically operate with any material backlog. Our quarterly net sales from packaging and test services are substantially dependent upon our customers’ demand in that quarter. Generally, our customers do not commit to purchase any significant amount of packaging or test services or provide us with binding forecasts of demand for packaging and test services for any future period, in any material amount. In addition, we sometimes experience double booking by customers, and our customers often reduce, cancel or delay their purchases of packaging and test services for a variety of reasons, including industry-wide, customer-specific and Amkor-specific reasons. This makes it difficult for us to forecast our capacity utilization and net sales in future periods. Since a large portion of our costs is fixed and our expense levels are based in part on our expectations of future sales, we may not be able to adjust costs in a timely manner to compensate for any sales shortfall. If we are unable to adjust costs in a timely manner, our margins, operating results, financial condition and cash flows could be materially and adversely affected.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Historically, there has been downward pressure on the prices of our packaging and test services.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Prices for packaging and test services have generally declined over time, and sometimes prices can change significantly in relatively short periods of time. We expect downward pressure on average selling prices for our packaging and test services to continue in the future, and this pressure may intensify during downturns in business. If we experience declining average selling prices and are unable to offset such declines by developing and marketing new packages with higher prices, reducing our purchasing costs, recovering more of our material cost increases from our customers and reducing our manufacturing costs, our business, liquidity, results of operations, financial condition and cash flows could be materially and adversely affected.</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Packaging and test processes are complex, and our production yields and customer relationships may suffer from defects in the services we provide or if we do not successfully implement new technologies.</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Semiconductor packaging and test services are complex processes that require significant technological and process expertise, and in line with industry practice, customers usually require us to pass a lengthy and rigorous qualification process that may take several months. Once qualified and in production, defective packages primarily result from one or more of the following:</w:t>
      </w:r>
    </w:p>
    <w:p>
      <w:pPr>
        <w:spacing w:after="0" w:line="122"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contaminants in the manufacturing environment;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human error;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malfunction;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processes to address environmental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defective raw materials;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defective plating services.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Test is also complex and involves sophisticated equipment and software. Similar to many software programs, these software programs are complex and may contain programming errors or “bugs.” The test equipment is also subject to malfunction, and the test process is subject to operator error.</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and other factors have, from time to time, contributed to lower production yields. They may also do so in the future, particularly as we adjust our capacity, change our processing steps or ramp new technologies. In addition, we must continue to develop and implement new packaging and test technologies and expand our offering of packages to be competitive. Our production yields on new packages, particularly those packages which are based on new technologies, typically are significantly lower than our production yields on our more established packages.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failure to qualify new processes, maintain quality standards or acceptable production yields, if significant and prolonged, could result in the loss of customers, increased costs of production, delays, substantial amounts of returned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goods and claims by customers relating thereto. Any of these problems could have a material adverse effect on our business, liquidity, results of operations, financial condition and cash flows.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revenue is derived from customers in the automotive industry. A downturn or lower sales to customers in the automotive industry could materially affect our business and results of operations.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significant portion of our sales is to customers within the automotive industry. The automotive industry is cyclical, and, as a result, our customers in the automotive end-market are sensitive to changes in general economic conditions, inflationary pressure, disruptive innovation and end-market preferences, which can adversely affect sales of our products and, correspondingly, our results of operations. The automotive industry is also subject to long design-in time frames, long product life cycles and a high degree of regulatory and safety requirements, necessitating suppliers to the industry to comply with stringent qualification processes, very low defect rates and high reliability standards, all of which result in significant operational challenges, risk to our results of operations, and increased costs of our investments in serving customers in the automotive end-market. Additionally, the quantity and price of our products sold to customers in the automotive end-market could decline despite continued growth in such end-market. Lower sales to customers in the automotive end-market may have a material adverse effect on our business and results of operations.</w:t>
      </w:r>
    </w:p>
    <w:p>
      <w:pPr>
        <w:spacing w:after="0" w:line="13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loss of certain customers or reduced orders or pricing from existing customers may have a material adverse effect on our operations and financial results.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derived and expect to continue to derive a large portion of our revenues from a small group of customers during any particular period due in part to the concentration of market share in the semiconductor industry. Our ten largest customers accounted for, in the aggregate, 72% of our net sales for the year ended December 31, 2024. In addition, we have significant customer concentration within our end markets. The loss of a significant customer, a business combination among our customers, a reduction in orders or decrease in price from a significant customer or disruption in any of our significant commercial arrangements may result in a decline in our sales and profitability and could have a material adverse effect on our business, liquidity, results of operations, financial condition and cash flows.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demand for our services from each customer is directly dependent upon that customer’s financial health, level of business activity and purchasing decisions, the quality and price of our services, our cycle time and delivery performance, the customer’s qualification of additional competitors on products we package or test and a number of other factors. Each of these factors could vary significantly from time to time resulting in the loss or reduction of customer orders, and we cannot be sure that our key customers or any other customers will continue to place orders with us in the future at the same levels as in past periods.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example, as seen in the automotive end market in 2020, the Covid-19 pandemic and restrictions imposed by governmental authorities to mitigate the spread of Covid-19 decreased demand for our customers’ products and services, thereby adversely impacting their demand for our services.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from time to time, we may acquire or build new facilities or migrate existing business among our facilities. In connection with these facility changes or new facility constructions, our customers require us to qualify the new facilities even though we have already qualified to perform the services at our other facilities. We cannot assure that we will successfully qualify facility changes, that we will complete construction of new facilities in a timely manner or that our customers will not qualify our competitors and move the business for such services.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funding liquidity needs.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assess our liquidity based on our current expectations regarding sales and operating expenses, capital spending, dividend payments, stock repurchases, debt service requirements and other funding needs. We fund our operations, including capital expenditures and other investments and servicing principal and interest obligations with respect to our debt, from cash flows from our operations, existing cash and cash equivalents, borrowings under available debt facilities, or proceeds from any additional debt or equity financing. Our liquidity is affected by, among other factors, volatility in the global economy and credit markets, the performance of our business, our capital expenditures and other investment levels, other uses of our cash, including any payments of dividends and purchases of stock under any stock repurchase program, any acquisitions or investments in joint ventures and any decisions we might make to either repay debt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obligations out of our operating cash flows or refinance debt at or prior to maturity with the proceeds of debt or equity financings.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Servicing our current and future customers requires that we incur significant operating expenses and continue to make significant capital expenditures and other investments, and the amount of our capital expenditures for 2025 and thereafter may vary materially and will depend on several factors. These factors include, among others, the amount, timing and implementation of our capital projects, the performance of our business, economic and market conditions, advances in technology, the cash needs and investment opportunities for the business, the need for additional capacity and facilities and the availability of cash flows from operations or financing.</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health of the worldwide banking system and capital markets also affects our liquidity. If financial institutions that have extended credit commitments to us are adversely affected by the conditions of the United States, foreign or international banking system and capital markets (including as a result of rising interest rates, economic downturns or other developments), they may refuse or be unable to fund borrowings under their credit commitments to us. Volatility in the banking system and capital markets, as well as any further increase in interest rates or adverse economic, political, public health or other global conditions, could also make it difficult or more expensive for us to maintain our existing credit facilities or refinance our debt.</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highly volatile and could be subject to wide fluctuations. Such fluctuations could impact our decision or ability to utilize the equity markets as a potential source of our funding needs in the future.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there is a risk that we could fail to generate the necessary net income or operating cash flows to meet the funding needs of our business due to a variety of factors, including the other factors discussed in this “Risk Factors” section. If we fail to generate the necessary cash flows or we are unable to access the capital markets when needed, our liquidity could be materially and adversely impacted.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challenges as we integrate diverse operations.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experienced, and expect to continue to experience, change in the scope and complexity of our operations resulting primarily from existing and future facility and operational consolidations, facility and operational expansions, strategic acquisitions, joint ventures and other partnering arrangements. Some of the risks from these activities include those associated with the following:</w:t>
      </w:r>
    </w:p>
    <w:p>
      <w:pPr>
        <w:spacing w:after="0" w:line="12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scope, geographic diversity and complexity of our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conforming an acquired company’s standards, practices, systems and controls with our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complexity from combining recent acquisitions of an acquired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losses of key employees or customers of an acquired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assimilation of acquired operations, technologies or products; and</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other resources from other parts of our operations and adverse effects on existing business relationships with customers.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these activities, we may:</w:t>
      </w:r>
    </w:p>
    <w:p>
      <w:pPr>
        <w:spacing w:after="0" w:line="17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costs associated with personnel reductions and voluntary retirement programs;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restructuring charges to cover costs associated with facility consolidations and related cost reduction initiatives;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a significant portion of our available cash;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substantial debt;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equity securities, which may dilute the ownership of current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known or unknown contingent liabilities;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large, immediate accounting write offs and face antitrust or other regulatory inquiries or actions.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example, the businesses we have acquired had, at the time of acquisition, multiple systems for managing their own production, sales, inventory and other operations. Migrating these businesses to our systems typically is a slow, expensive process requiring us to divert significant resources from other parts of our operations. We may continue to face these challenges in the future. As a result of the risks discussed above, the anticipated benefits of these or other future acquisitions, consolidations and partnering arrangements may not be fully realized, if at all, and these activities could have a material adverse effect on our business, financial condition and results of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International Sales and Operation</w:t>
      </w:r>
      <w:r>
        <w:rPr>
          <w:rFonts w:ascii="Times New Roman" w:cs="Times New Roman" w:eastAsia="Times New Roman" w:hAnsi="Times New Roman"/>
          <w:sz w:val="18"/>
          <w:szCs w:val="18"/>
          <w:b w:val="1"/>
          <w:bCs w:val="1"/>
          <w:color w:val="auto"/>
        </w:rPr>
        <w:t>s</w:t>
      </w:r>
    </w:p>
    <w:p>
      <w:pPr>
        <w:spacing w:after="0" w:line="1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Our factories and operations, and those of our customers and vendors, are located in various foreign jurisdictions, which exposes us to risks arising from international trade restrictions and regional conflict.</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packaging and test services through our factories and other operations located in China, Japan, Korea, Malaysia, the Philippines, Portugal, Singapore, Taiwan and Vietnam. Substantially all of our property, plant and equipment is located outside of the United States, and many of our customers and the vendors in our supply chain are also located outside the United States. The following are some of the risks we face in doing business internationally:</w:t>
      </w:r>
    </w:p>
    <w:p>
      <w:pPr>
        <w:spacing w:after="0" w:line="126" w:lineRule="exact"/>
        <w:rPr>
          <w:sz w:val="20"/>
          <w:szCs w:val="20"/>
          <w:color w:val="auto"/>
        </w:rPr>
      </w:pPr>
    </w:p>
    <w:p>
      <w:pPr>
        <w:jc w:val="both"/>
        <w:ind w:left="660" w:hanging="328"/>
        <w:spacing w:after="0" w:line="26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trade barriers considered or adopted by U.S. and foreign governments applicable to the semiconductor supply chain, including laws, rules, regulations and policies in areas such as national security, licensing requirements for exports, tariffs, customs and duties, including the export rules and regulations applicable to U.S. companies that sell certain semiconductor and chipmaking equipment products to customers in China;</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disputes, geopolitical tensions, increasing protectionism and economic nationalism leading to increasing export restrictions, trade barriers, tariffs, and other changes in trade policy;</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rules, regulations and policies within China and other countries that may favor domestic companies over non-domestic companies, including customer- or government-supported efforts to promote the development and growth of local competitors;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and safety concerns, including widespread outbreak of infectious diseases and governmental responses thereto;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demand resulting from current or expected inflation or other variations in local economies;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rules, regulations and policies imposed by U.S. or foreign governments in areas such as data privacy, cybersecurity, antitrust and competition, tax, currency and banking, labor, environmental, and health and safety;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and other payments by non-U.S. subsidiaries may be subject to prohibitions, limitations or taxes in local jurisdictions;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particularly the U.S. dollar to Japanese yen exchange rate for our operations in Japan;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social conditions, and the potential for civil unrest, terrorism or other hostilities (such as the ongoing conflicts in Ukraine and Israel);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delays in shipments caused by customs brokers or government agencies;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attracting and retaining qualified personnel and managing foreign operations, including foreign labor disruptions;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enforcing contractual rights and protecting our intellectual property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resulting from tax laws in the United States and in other jurisdictions;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our normal standards and practices, including business practices that we are prohibited from engaging in by the U.S. Foreign Corrupt Practices Act and other anti-corruption laws and regulations.</w:t>
      </w:r>
    </w:p>
    <w:p>
      <w:pPr>
        <w:spacing w:after="0" w:line="1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Many of these factors and risks are present and may be heightened within our business operations in China. For example, changes in U.S.-China relations, the political environment or international trade policies could result in further revisions to laws or regulations or their interpretation and enforcement, increased taxation, trade sanctions, the imposition of import or export duties and tariffs, restrictions on imports or exports, currency revaluations or retaliatory actions, which have had and may continue to have an adverse effect on our business plans and operating results. Additionally, the BIS Regulations place limitations on the ability of companies to export certain advanced computing semiconductor chips, as well as chipmaking equipment, by requiring companies to obtain licenses to export such products and equipment into China or other designated countries. These expanded export restrictions limit our ability to sell to certain Chinese companies and to third parties that do business with those companies. Certain of the Company’s competitors may be exempt from the BIS Regulations by virtue of being non-U.S. manufacturers. To the extent required, Amkor would evaluate pursuing export licenses and authorizations, but there can be no assurances that Amkor would obtain such licenses or authorizations on a timely or cost-effective basis or at all, or that our customers will not reroute business that would have otherwise been given to Amkor to one or more of our competitors as a result of the BIS Regulations, particularly if our competitors have, or are not required to have, required licenses or authorizations that we have not obtained. It is also possible that government agencies in China or in other countries may adopt retaliatory export control rules in response to the BIS Regulations, which could further impact our business, liquidity, results of operations, financial condition and cash flows. These restrictions have created, and these and similar restrictions may continue to create, uncertainty and caution with our current or prospective customers and may cause them to amass large inventories of our products, replace our products with products from another supplier that is not subject to the export restrictions or focus on building indigenous semiconductor capacity to reduce reliance on U.S. suppliers. Furthermore, if these export restrictions cause our current or potential customers to view U.S. companies as unreliable, we could suffer reputational damage or lose business to foreign competitors who are not subject to such export restrictions, and our business could be materially harmed. We are continuing to evaluate the impact of these restrictions on our business, but these actions may have direct and indirect material adverse impacts on our revenues and results of operations in China and elsewhere. In addition, our success in the Chinese markets may be adversely affected by China’s evolving policies, laws and regulations, including those relating to antitrust, cybersecurity, data protection and data privacy, the environment, indigenous innovation and the promotion of a domestic semiconductor industry and intellectual property rights and enforcement and protection of those rights.</w:t>
      </w:r>
    </w:p>
    <w:p>
      <w:pPr>
        <w:spacing w:after="0" w:line="1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significant facilities and other investments in Korea, and there have been heightened security concerns in recent years stemming from North Korea’s nuclear weapon and long-range missile programs as well as its military actions in the region. Furthermore, there has been a history of conflict and tension within and among other countries in the region.</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Global pandemics and the spread of infectious diseases may impact our operations and the operations of our customers and suppliers as a result of illness, quarantines, facility closures and travel and logistics restrictions in connection with such outbreaks. National, regional, and local governments may implement public health measures to mitigate the spread of such outbreaks in jurisdictions in which we, our customers and our suppliers operate, and such restrictions may materially and adversely impact our operations and the operations of our customers and suppliers. Such restrictions may also affect end-user demand in each geography where our customers sell their products and services, which may materially and adversely affect demand for our services, our operating results and our financial condition.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Cybersecurity, Data Privacy and Intellectual Property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will suffer if we are not able to develop new proprietary technology, protect our proprietary technology and operate without infringing the proprietary rights of others.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complexity and scope of semiconductor packaging, SiP modules and test services are rapidly increasing. As a result, we expect to develop, acquire and implement new manufacturing processes and packaging technologies and tools in order to respond to competitive industry conditions and customer requirements. Technological advances may lead to rapid and significant price erosion and may make our existing packages less competitive or our existing inventories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obsolete. If we cannot achieve advances in packaging design or obtain access to advanced packaging designs developed by others, our business could suffer.</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need to develop and maintain advanced packaging capabilities and equipment could require significant research and development, capital expenditures and acquisitions in future years. In addition, converting to new packaging designs or process methodologies could result in delays in producing new package types, which could impact our ability to meet customer orders and materially and adversely impact our business.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seek patent protection for some of our technology under U.S. and foreign patent laws, the process of seeking patent protection takes a long time and is expensive. There can be no assurance that patents will issue from pending or future applications or that, if patents are issued, the rights granted under the patents will provide us with meaningful protection or any commercial advantage. Any patents we do obtain may be challenged, invalidated or circumvented and will eventually expire. As a result, such patents may not offer us meaningful protection or provide the commercial advantage for which they were designed.</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our technologies are not covered by any patent or patent application. The confidentiality agreements on which we rely to protect these technologies may be breached or may not be adequate to protect our proprietary technologies. There can be no assurance that other countries in which we market our services will protect our intellectual property rights to the same extent as the United States.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competitors may develop, patent or gain access to know-how and technology similar or superior to our own. In addition, many of our patents are subject to cross licenses, several of which are with our competitors. The semiconductor industry is characterized by frequent claims regarding the infringement of patent and other intellectual property rights. If any third party makes an enforceable infringement claim against us or our customers, we could be required to:</w:t>
      </w:r>
    </w:p>
    <w:p>
      <w:pPr>
        <w:spacing w:after="0" w:line="126"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 the use of certain processes or cease to provide the services at issue, which could curtail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non-infringing technologies, which may not be feasible;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licenses to such technology, which may not be available on commercially reasonable terms or at all.</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need to enforce our patents or other intellectual property rights, including our rights under patent and intellectual property licenses with third parties, or defend ourselves against claimed infringement of the rights of others through litigation, which could result in substantial cost and diversion of our resources and may not be successful. Furthermore, if we fail to obtain necessary licenses, our business could suffer, and we could be exposed to claims for damages and injunctions from third parties, as well as claims from our customers for indemnification. Unfavorable outcomes in any legal proceedings involving intellectual property could result in significant liabilities or loss of commercial advantage and could have a material adverse effect on our business, liquidity, results of operations, financial condition and cash flows. The potential impact from the legal proceedings referred to in this Form 10-K on our results of operations, financial condition and cash flows could change in the future.</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in connection with the continuing development and implementation of changes to, and maintenance and security of, our information technology systems.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depend on our information technology systems for many aspects of our business. Our systems may be susceptible to damage, disruptions or shutdowns due to failures during the process of upgrading, replacing or maintaining software, databases or components thereof, power outages, hardware failures, interruption or failures of third-party provider systems, computer viruses, attacks by computer hackers, ransomware attacks, telecommunication failures, user errors, malfeasance or catastrophic events. Such events have occurred in the past and may occur in the future. Cybersecurity breaches could result in unauthorized disclosure of confidential information and/or disruptions to our operations. While we have not experienced a material information security breach, we cannot be sure that such a breach will not occur in the future. The information technology systems in our factories are at varying levels of sophistication and maturity as the factories have different sets of products, processes and customer expectations. Some of our key software has been developed by our own programmers, and this software may not be easily integrated with other software and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make additions or changes to our information technology systems. For example, we continue to further integrate information technology systems in our facilities in Japan into our existing systems and processes. We face risks in connection with current and future projects to install or integrate new information technology systems or upgrade our existing systems. These risks include:</w:t>
      </w:r>
    </w:p>
    <w:p>
      <w:pPr>
        <w:spacing w:after="0" w:line="12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design and implementation of the system;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may exceed our plans and expectations;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resulting from the implementation, integration or cybersecurity breach of the systems may impact our ability to process transactions and delay shipments to customers, impact our results of operations or financial condition or harm our control environment.</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could be materially and adversely affected if our information technology systems are disrupted or if we are unable to successfully install new systems or improve, upgrade, integrate or expand upon our existing systems. We maintain insurance policies for various types of information security risks, including network security and privacy liability for third party claims, and business interruption and system failure reimbursement coverage, but we do not carry insurance for all the above referred risks. With regard to the insurance we do maintain, we cannot assure you that it would be sufficient to cover all of our potential losses. As a result, our business, financial condition, results of operations and cash flows could be materially and adversely affected by a disruption, failure or breach of our information technology systems.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in the indentures and agreements governing our current and future indebtedness could restrict our operating flexibility.</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indentures and agreements governing our existing debt contain, and debt we incur in the future may contain, affirmative and negative covenants that materially limit our ability to take certain actions, including our ability to incur debt, pay dividends and repurchase stock, make certain investments and other payments, enter into certain mergers and consolidations, engage in sale leaseback transactions and encumber and dispose of assets. In addition, certain of our debt agreements contain, and our future debt agreements may contain, financial covenants and ratios.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breach of any of these covenants by us, or the failure by us to meet any of the financial ratios or conditions, could result in a default under any or all of such indebtedness. If a default occurs under any such indebtedness, all of the outstanding obligations thereunder could become immediately due and payable, which could result in a default under our other outstanding debt and could lead to an acceleration of obligations related to other outstanding debt. The existence of such a default or event of default could also preclude us from borrowing funds under our revolving credit facilities. Our ability to comply with the provisions of the indentures, credit facilities and other agreements governing our outstanding debt and indebtedness we may incur in the future can be affected by events beyond our control, and a default under any debt instrument, if not cured or waived, could have a material adverse effect on 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substantial indebtedness could have a material adverse effect on our financial condition and prevent us from fulfilling our obligations.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substantial amount of debt, and the terms of the agreements governing our indebtedness allow us and our subsidiaries to incur more debt, subject to certain limitations. As of December 31, 2024, our total debt balance was $1,159.5 million, of which $236.0 million was classified as a current liability and $639.5 million was collateralized indebtedness at our subsidiaries. We may consider investments in joint ventures, increased capital expenditures, refinancings or acquisitions which may increase our indebtedness. If new debt is added to our consolidated debt level, the related risks that we face could increase.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substantial indebtedness could:</w:t>
      </w:r>
    </w:p>
    <w:p>
      <w:pPr>
        <w:spacing w:after="0" w:line="171" w:lineRule="exact"/>
        <w:rPr>
          <w:sz w:val="20"/>
          <w:szCs w:val="20"/>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with respect to our indebtedness, including our obligations under our indentures to purchase notes tendered as a result of a change in control of Amkor;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60" w:right="2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fund future working capital, capital expenditures, research and development and other business opportunities, including joint ventures and acquisitions;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service payments of interest and principal on our debt, thereby reducing the availability of our cash flow to fund future working capital, capital expenditures, research and development expenditures and other general corporate requirements;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volatility of the price of our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to react to changes in our business and the industry in which we operate;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to any of our competitors that have less debt;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along with the financial and other covenants in our indebtedness, our ability to borrow additional funds;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refinance our existing indebtedness, particularly during periods of adverse credit market conditions when refinancing indebtedness may not be available under interest rates and other terms acceptable to us or at all;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cost of borrowing.</w:t>
      </w:r>
    </w:p>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interest rates and changes in credit risk, which could have a material adverse impact on our earnings as it relates to the market value of our investment portfolio.</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an investment portfolio of various holdings, types and maturities. Our portfolio includes available-for-sale debt investments, the values of which are subject to market price volatility resulting from interest rate movements, changes in credit risk and financial market conditions. If such investments suffer market price declines, we may recognize in earnings the decline in the fair value of our investments below their cost basis when the decline is judged to be an impairment, including an allowance for credit loss.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Susan Y. Kim and members of her family can effectively determine or substantially influence the outcome of all matters requiring stockholder approval.</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Susan Y. Kim, the Chairman of our Board of Directors and members of the Kim family and affiliates owned approximately 132.1 million shares, or approximately 54%, of our outstanding common stock. The Kim family also has options to acquire approximately 0.6 million shares. If the options are exercised, the Kim family’s total ownership would be an aggregate of approximately 132.7 million shares, or approximately 54% of our outstanding common stock.</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2013, the Kim family exchanged convertible notes issued by Amkor in 2009 for approximately 49.6 million shares of common stock (the “Convert Shares”). As of December 31, 2024, the Kim family owns 39.6 million Convert Shares. The Convert Shares owned by the Kim family are subject to a voting agreement. The voting agreement requires the Kim family to vote these shares in a “neutral manner” on all matters submitted to our stockholders for a vote, so that such Convert Shares are voted in the same proportion as all of the other outstanding securities (excluding the other shares owned by the Kim family) that are actually voted on a proposal submitted to Amkor’s stockholders for approval. The Kim family is not required to vote in a “neutral manner” any Convert Shares that, when aggregated with all other voting shares held by the Kim family, represent 41.6% or less of the total then-outstanding voting shares of our common stock. The voting agreement for the Convert Shares terminates upon the earliest of (i) such time as the Kim family no longer beneficially owns any of the Convert Shares, (ii) consummation of a change of control (as defined in the voting agreement) or (iii) the mutual agreement of the Kim family and Amkor.</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Ms. Kim and her family and affiliates, acting together, have the ability to effectively determine or substantially influence matters submitted for approval by our stockholders including the election of our Board of Directors, by voting their shares or otherwise acting by written consent. There is also the potential, through the election of members of our Board of Directors, that the Kim family could substantially influence matters decided upon by our Board of Directors. This concentration of ownership may also have the effect of impeding a merger, consolidation, takeover or other business consolidation involving us, or discouraging a potential acquirer from making a tender offer for our shares, and could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negatively affect our stock’s market price or decrease any premium over market price that an acquirer might otherwise pay. Concentration of ownership also reduces the public float of our common stock. There may be less liquidity and higher price volatility for the stock of companies with a smaller public float compared to companies with broader public ownership. Also, the sale or the prospect of the sale of a substantial portion of the Kim family shares may cause the market price of our stock to decline significantly.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decrease or suspend our quarterly dividend, and any decrease in or suspension of the dividend could cause our stock price to decline.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October 2020, we have declared a regular quarterly cash dividend on our outstanding common stock. However, the payment, amount and timing of future cash dividends are subject to the final determination each quarter by our Board of Directors or a committee thereof that there are sufficient funds available to lawfully pay a dividend, that the dividend is compliant with the applicable restrictions in our debt agreements and that the payment of the dividend remains in our and our stockholders’ best interests. The determination will be based on our results of operations, financial condition, cash requirements, debt restrictions and other factors. Given these considerations, we may increase or decrease the amount of the dividend at any time and may also decide to vary the timing of or suspend the payment of dividends in the future. Any decrease or suspension of dividend payments could cause our stock price to decline.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Human Capital and Management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trying to attract, retain or replace qualified employees to support our operations.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to a significant extent upon the continued service of our key senior management, sales and technical personnel, any of whom may be difficult to replace. Competition for qualified employees is intensifying, accelerated by increasing competition in the semiconductor industry for talent to meet strong demand, and our business could be materially and adversely affected by the loss of the services of any of our existing key personnel, including senior management and technical talent, as a result of competition or for any other reason. Labor shortages could also result in higher wages that would increase our labor costs, which could reduce our profits. Although we have entered into agreements with our Chief Executive Officer and certain other executives that would prevent them from working for, or impose financial penalties for doing business with, our competitors in the event that those executives cease working for us, we cannot assure you that we will be successful in our efforts to retain or replace key employees or in hiring and properly training sufficient numbers of qualified personnel and in effectively managing our growth. Our inability to attract, retain, motivate and train qualified new personnel could have a material adverse effect on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Regulatory, Legal and Tax Challenges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we may not be able to accurately report financial results or prevent fraud.</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internal controls over financial reporting may not prevent or detect misstatements because of their inherent limitations, including the possibility of human error, the circumvention or overriding of controls and fraud or corruption. Therefore, even effective internal controls can provide only reasonable assurance with respect to the preparation and fair presentation of financial statements. In addition, projections concerning the effectiveness of internal controls in future periods are subject to the risk that our internal controls may become inadequate because of changes in conditions, or that the degree of compliance with our policies or procedures may deteriorate.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assess our internal controls and systems on an ongoing basis, and from time-to-time, we update and make modifications to our global enterprise resource planning system. We have implemented several significant enterprise resource planning and shop floor management systems and expect to implement additional similar systems in the future. There is a risk that deficiencies may occur that could constitute significant deficiencies or, in the aggregate, a material weakness.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fail to remedy any deficiencies or maintain the adequacy of our internal controls, we could be subject to regulatory scrutiny, civil or criminal penalties or shareholder litigation. In addition, failure to maintain adequate internal controls could result in financial statements that do not accurately reflect our operating results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could suffer adverse tax and other financial consequences if there are changes in tax laws or taxing authorities do not agree with our interpretation of applicable tax laws, including whether we continue to qualify for conditional reduced tax rates, or if we are required to establish or adjust valuation allowances on deferred tax assets.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earn a substantial portion of our income in foreign countries, and our operations are subject to tax in multiple jurisdictions with complicated and varied tax regimes. Tax laws and income tax rates in these jurisdictions are subject to change due to economic and political conditions. Changes in the tax laws of foreign jurisdictions could arise as a result of the base erosion and profit shifting project that was undertaken by the Organization for Economic Cooperation and Development (“OECD”). The OECD, which represents a coalition of member countries, recommended changes to long-standing tax principles related to transfer pricing and has developed model rules including establishing a global minimum corporate income tax tested on a jurisdictional basis (the “Pillar Two Model Rules”). Some countries we operate in have enacted laws based on the Pillar Two Model Rules effective in 2024. While the Pillar Two Model Rules did not have a material impact on our 2024 results, additional countries where we operate, including Singapore, have adopted Pillar Two Model Rules effective in 2025. Enactment of this legislation is expected to adversely affect our effective tax rate, tax payments and conditional reduced tax rates. Changes in U.S. or foreign tax laws, including new or modified guidance with respect to existing tax laws, could have a material adverse impact on our liquidity, results of operations, financial condition and cash flows.</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tax liabilities are based, in part, on our corporate structure, interpretations of various U.S. and foreign tax laws, including withholding tax, compliance with conditional reduced tax rate requirements, application of changes in tax law to our operations and other relevant laws of applicable taxing jurisdictions. From time to time, taxing authorities may conduct examinations of our income tax returns and other regulatory filings. We cannot assure you that the taxing authorities will agree with our interpretations, including whether we continue to qualify for conditional reduced tax rates. If they do not agree, we may seek to enter into settlements with the taxing authorities. We may also appeal a taxing authority’s determination to the appropriate governmental authorities, but we cannot be sure we will prevail. If we do not prevail or if we enter into settlements with taxing authorities, we may have to make significant payments or otherwise record charges (or reduce tax assets) that materially and adversely affect our results of operations, financial condition and cash flows. Additionally, certain of our subsidiaries operate under conditional reduced tax rates, which will expire in whole or in part at various dates in the future. As those conditional reduced tax rates expire, we expect that our tax expense will increase as income from those jurisdictions becomes subject to higher statutory income tax rates, thereby reducing our liquidity and cash flow.</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monitor on an ongoing basis our ability to utilize our deferred tax assets and whether there is a need for a related valuation allowance.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recent results of operations. In the event taxable income falls short of current expectations, we may need to establish a valuation allowance against such deferred tax assets that, if required, could materially and adversely affect our results of operations.</w:t>
      </w:r>
    </w:p>
    <w:p>
      <w:pPr>
        <w:spacing w:after="0" w:line="12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Environmental, health and safety liabilities and expenditures could have a material adverse effect on our business, results of operation and financial condition.</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Environmental, health and safety laws and regulations in places we do business impose various controls on the use, storage, handling, discharge and disposal of chemicals used or generated in, or emitted by, our production processes, on the factories we occupy and on the materials contained in semiconductor products. For example, at our foreign facilities we produce liquid waste when semiconductor wafers are diced into chips with the aid of diamond saws, then cooled with running water. In addition, semiconductor packages have historically utilized metallic alloys containing lead within the interconnect terminals typically referred to as leads, pins or balls. The European Union’s Restriction of Hazardous Substances in Electrical and Electronic Equipment directive and similar laws in other jurisdictions, including China, impose strict restrictions on the placement into the market of electrical and electronic equipment containing lead and certain other hazardous substances. We may become liable under these and other environmental, health and safety laws and regulations, including for the cost of compliance and cleanup of any disposal or release of hazardous materials arising out of our former or current operations, or otherwise as a result of the emission of GHGs or other chemicals, the existence of hazardous materials on our properties or the existence of hazardous substances in the products for which we perform our services. We could also be held liable for damages, including fines, penalties and the cost of investigations and remedial actions, and we could be subject to revocation of permits, which may materially and adversely affect our ability to maintain or expand our operations. Additionally, if Amkor is unable to align its environmental, health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safety practices with shifting customer preferences, we could suffer reputational harm, which could have a material and adverse effect on our business, results of operations, liquidity and cash flows.</w:t>
      </w:r>
    </w:p>
    <w:p>
      <w:pPr>
        <w:spacing w:after="0" w:line="1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 has also been an increase in regulatory and public attention and industry and customer focus on the materials contained in semiconductor products, the environmental impact of semiconductor operations and the risk of chemical releases from such operations, climate change, sustainability and related environmental concerns. Increased regulation of and restriction on the use of hazardous substances may impact our supply chain due to decreased availability, necessitate changes in our packaging processes, require us to seek substitutes that may not be readily available in the marketplace or eliminate the use of such hazardous substances although there may not be a technically feasible alternative. This increased focus on sustainability and the environmental impact of semiconductor operations and products has caused industry groups and customers to impose additional requirements on us and our suppliers, sometimes exceeding regulatory standards. These industry and customer requirements include increased tracking and reporting of GHG emissions, reductions in waste and wastewater from operations, additional reporting on the materials and components used in the products for which we perform our services, and the use of renewable energy sources in our factory operations. In addition, recent and ongoing changes to climate change regulation could increase our compliance costs, including as a result of carbon pricing impacts on electrical utilities as well as increased indirect costs resulting from our customers, suppliers, and other stakeholders incurring additional compliance costs that are passed on to us. We have started to incur compliance costs within our existing manufacturing infrastructure, and such costs may increase as we expand our manufacturing capacity. To comply with these additional requirements, we may need to procure additional, or increase the use of, renewable energy, procure additional equipment or make factory or process changes, which could result in increased operating costs.</w:t>
      </w:r>
    </w:p>
    <w:p>
      <w:pPr>
        <w:spacing w:after="0" w:line="13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awards and incentives from the agreement with the U.S. Department of Commerce (“Commerce”) pursuant to the U.S. CHIPS and Science Act of 2022 (“CHIPS Act”) might not materialize as such awards and incentives are conditional upon achieving or maintaining certain outcomes and compliance with other obligations, are subject to reduction, termination, or clawback and would impose certain restrictions on our business.</w:t>
      </w:r>
    </w:p>
    <w:p>
      <w:pPr>
        <w:spacing w:after="0" w:line="1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2024, Commerce awarded us up to $407 million in direct funding pursuant to the CHIPS Act for the Arizona Facility. This award requires us to achieve construction and production milestones and restricts us from undertaking certain activities. We cannot guarantee that we will successfully achieve and maintain outcomes or be able to comply with other obligations required to qualify for this award or that Commerce will provide or continue to provide such funding. The award arrangements provide Commerce with rights to audit our compliance with their terms and obligations, and such audits could result in modifications to, or termination of, the award. To a lesser extent, we also receive incentives from state and local governments for the Arizona Facility, which have similar terms and conditions. Any awards or incentives we receive could be subject to reduction, termination, or clawback, and any decrease, termination, or clawback of such government awards and incentives could have a material adverse effect on our business, results of operations, or financial condition.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financial condition has been adversely affected, and could be adversely affected in the future, by natural disasters and other calamities, health conditions or pandemics, political instability, hostilities or other disruptions.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significant packaging and test services and other operations in China, Japan, Korea, Malaysia, the Philippines, Portugal, Singapore, Taiwan and Vietnam. Such operations are or could be subject to: natural disasters, such as earthquakes, tsunamis, typhoons, floods, droughts, volcanoes and other severe weather and geological events, and other calamities, such as fire; the outbreak of infectious diseases (such as Covid-19 and other coronaviruses, Ebola or flu); industrial strikes; government-imposed travel restrictions or quarantines; breakdowns of equipment; difficulties or delays in obtaining materials, equipment, utilities and services; political events or instability; acts of war or armed conflict (such as ongoing conflicts in Ukraine and Israel); terrorist incidents and other hostilities in regions where we have facilities; and industrial accidents and other events, that could disrupt or even shut down our operations. While our global manufacturing footprint allows us to shift production to other factories without substantial cost or production delays, certain of our services are currently performed using equipment located in one or only a subset of our factories. A major disruption or shutdown of any such factory could completely impair our ability to perform those services or require us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shift them to another location. As a result, our ability to fulfill customer orders may be impaired or delayed, and we could incur significant losses.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example, in April 2016, our Kumamoto factory was damaged by earthquakes in Japan. As a result of these earthquakes, our sales were reduced due to the temporary disruption in operations, and we incurred earthquake-related costs for damaged inventory, buildings and equipment. Our suppliers and customers also have significant operations in such locations, and this could compound the effect of any such disruption. In the event of such a disruption or shutdown, we may be unable to reallocate production to other facilities in a timely or cost-effective manner (if at all), and we may not have sufficient capacity, or customer approval, to service customer demands in our other facilities. A natural disaster or other calamity, political instability, the occurrence of hostilities or other event that results in a prolonged disruption to our operations, or the operations of our customers or suppliers, could have a material adverse effect on our business, financial condition, results of operations and cash flows.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some of the processes that we utilize in our operations place us at risk of fire and other damage. For example, highly flammable gases are used in the preparation of wafers holding semiconductor devices for flip chip packaging.</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insurance policies for various types of property, casualty and other risks, but we do not carry insurance for all the above referred risks. With regard to the insurance we do maintain, we cannot assure you that it would be sufficient to cover all of our potential losses. As a result, our business, financial condition, results of operations and cash flows could be materially and adversely affected by natural disasters and other calamities.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8"/>
          <w:szCs w:val="18"/>
          <w:b w:val="1"/>
          <w:bCs w:val="1"/>
          <w:i w:val="1"/>
          <w:iCs w:val="1"/>
          <w:color w:val="auto"/>
        </w:rPr>
        <w:t>Cybersecurity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cybersecurity measures are designed to help protect our information security systems from cybersecurity threats. Our Global Information Security Team is led by our Corporate Vice President and Chief Information Officer (“CIO”) and is composed of key functional leaders. Our Global Information Security Team assesses, identifies and manages cybersecurity risks to the Company, including by:</w:t>
      </w:r>
    </w:p>
    <w:p>
      <w:pPr>
        <w:spacing w:after="0" w:line="199"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Assessing, identifying and managing cybersecurity risks to our information systems: </w:t>
      </w:r>
      <w:r>
        <w:rPr>
          <w:rFonts w:ascii="Times New Roman" w:cs="Times New Roman" w:eastAsia="Times New Roman" w:hAnsi="Times New Roman"/>
          <w:sz w:val="18"/>
          <w:szCs w:val="18"/>
          <w:color w:val="auto"/>
        </w:rPr>
        <w:t>We assess, identify and manage cybersecurity risks to our</w:t>
      </w:r>
    </w:p>
    <w:p>
      <w:pPr>
        <w:spacing w:after="0" w:line="31" w:lineRule="exact"/>
        <w:rPr>
          <w:rFonts w:ascii="Times New Roman" w:cs="Times New Roman" w:eastAsia="Times New Roman" w:hAnsi="Times New Roman"/>
          <w:sz w:val="18"/>
          <w:szCs w:val="18"/>
          <w:color w:val="auto"/>
        </w:rPr>
      </w:pPr>
    </w:p>
    <w:p>
      <w:pPr>
        <w:jc w:val="both"/>
        <w:ind w:left="6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systems, including by: (i) establishing and maintaining a governance structure that includes policies, procedures and processes designed to manage cybersecurity threats and cybersecurity incidents; (ii) conducting ongoing risk assessments, including to identify and assess cybersecurity risks; (iii) developing and implementing an overall risk management strategy, which includes cybersecurity risks; (iv) overseeing, identifying and managing risks from cybersecurity threats associated with our use of third-party service providers and our supply chain; and (v) engaging external experts, including cybersecurity assessors, consultants and auditors to evaluate and test our cybersecurity measures and risk management processes; and</w:t>
      </w:r>
    </w:p>
    <w:p>
      <w:pPr>
        <w:spacing w:after="0" w:line="1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Establishing a program to assess and help mitigate cybersecurity threats: </w:t>
      </w:r>
      <w:r>
        <w:rPr>
          <w:rFonts w:ascii="Times New Roman" w:cs="Times New Roman" w:eastAsia="Times New Roman" w:hAnsi="Times New Roman"/>
          <w:sz w:val="18"/>
          <w:szCs w:val="18"/>
          <w:color w:val="auto"/>
        </w:rPr>
        <w:t>We have established a program to assess and help mitigate</w:t>
      </w:r>
    </w:p>
    <w:p>
      <w:pPr>
        <w:spacing w:after="0" w:line="31"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threats through: (i) conducting employee training on cybersecurity risks and best practices; (ii) implementing measures to classify and protect data; and (iii) taking steps to be aware of and address new cybersecurity threats, including through the receipt of threat information from third-parties that helps us proactively prevent and detect cybersecurity threats.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Cybersecurity Risks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assess, on an ongoing basis, the potential impact of risks from cybersecurity threats on us and our business. During the reporting period, we have not identified any risks from cybersecurity threats, including as a result of any previous cybersecurity incidents, that have materially affected, or are reasonably likely to materially affect us, including our business strategy, results of operations or financial condition.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Oversight of Cybersecurity Risks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through the Audit Committee, provides strategic oversight regarding risks from cybersecurity threats through oversight of our overarching cybersecurity posture and risk management practices. The Audit Committee receives periodic updates from our CIO on the current status of our cybersecurity program and risks from cybersecurity threats, and our Board of Directors is apprised of significant cybersecurity matters.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Role in Assessing and Managing Material Risks from Cybersecurity Threats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is responsible for assessing and managing risks from cybersecurity threats. Specifically, our CIO, supported by our Global Information Security Team, is responsible for the overall management of our information security program, which includes assessing, identifying and managing cybersecurity risks and material risks from cybersecurity threats. The Company’s CIO was promoted to the position in January 2024 after serving as Senior Vice President – Enterprise Applications since July 2022. The CIO has more than 25 years of manufacturing experience, mostly in IT leadership roles in the semiconductor industry, and holds electrical and computer engineering degrees from the University of Missouri and an MBA from The Ohio State University.</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Members of the Global Information Security Team possess expertise in various disciplines that are key to effectively managing our information security program. Team members represent relevant functions within the organization (e.g., Risk and Compliance, Security Operation Center &amp; Network Engineering and Operational Technology). Global Information Security Team members have multiple years of experience working for large enterprises in the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technology and information security space. This includes, but is not limited to, expertise in data infrastructure, operations and information security and risk and compliance. In addition, our CIO and certain members of the Global Information Security Team are informed about and monitor the prevention, detection, mitigation and remediation of cybersecurity incidents through their participation in incident response protocols.</w:t>
      </w:r>
    </w:p>
    <w:p>
      <w:pPr>
        <w:spacing w:after="0" w:line="19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location and size of our manufacturing and research and development facilities are set forth in the table below. All facilities are owned unless otherwise specified. Generally, our facilities are collateral for indebtedness incurred by our subsidiary for the jurisdiction in which the facilities are located.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Facility Size</w:t>
            </w:r>
          </w:p>
        </w:tc>
        <w:tc>
          <w:tcPr>
            <w:tcW w:w="1520" w:type="dxa"/>
            <w:vAlign w:val="bottom"/>
          </w:tcPr>
          <w:p>
            <w:pPr>
              <w:spacing w:after="0"/>
              <w:rPr>
                <w:sz w:val="13"/>
                <w:szCs w:val="13"/>
                <w:color w:val="auto"/>
              </w:rPr>
            </w:pPr>
          </w:p>
        </w:tc>
      </w:tr>
      <w:tr>
        <w:trPr>
          <w:trHeight w:val="196"/>
        </w:trPr>
        <w:tc>
          <w:tcPr>
            <w:tcW w:w="648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1520" w:type="dxa"/>
            <w:vAlign w:val="bottom"/>
            <w:tcBorders>
              <w:bottom w:val="single" w:sz="8" w:color="auto"/>
            </w:tcBorders>
          </w:tcPr>
          <w:p>
            <w:pPr>
              <w:spacing w:after="0"/>
              <w:rPr>
                <w:sz w:val="17"/>
                <w:szCs w:val="17"/>
                <w:color w:val="auto"/>
              </w:rPr>
            </w:pPr>
          </w:p>
        </w:tc>
      </w:tr>
      <w:tr>
        <w:trPr>
          <w:trHeight w:val="216"/>
        </w:trPr>
        <w:tc>
          <w:tcPr>
            <w:tcW w:w="64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Leased</w:t>
            </w:r>
          </w:p>
        </w:tc>
        <w:tc>
          <w:tcPr>
            <w:tcW w:w="1520" w:type="dxa"/>
            <w:vAlign w:val="bottom"/>
            <w:shd w:val="clear" w:color="auto" w:fill="CCEEFF"/>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 (1)</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1,398,000</w:t>
            </w:r>
          </w:p>
        </w:tc>
        <w:tc>
          <w:tcPr>
            <w:tcW w:w="10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1,398,000</w:t>
            </w: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1,489,000</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286,000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1,775,000</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Korea</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4,476,000</w:t>
            </w:r>
          </w:p>
        </w:tc>
        <w:tc>
          <w:tcPr>
            <w:tcW w:w="10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4,476,000</w:t>
            </w: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Malaysia (1)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433,000</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433,000</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Philippines (2)</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557,000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1,322,000</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Portugal</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519,000</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519,000</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Taiwan (1)</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1,116,000</w:t>
            </w: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Vietnam (1)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1,467,000</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1,467,000</w:t>
            </w:r>
          </w:p>
        </w:tc>
      </w:tr>
      <w:tr>
        <w:trPr>
          <w:trHeight w:val="223"/>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all facilities</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11,647,000</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859,000</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12,506,000</w:t>
            </w:r>
          </w:p>
        </w:tc>
      </w:tr>
      <w:tr>
        <w:trPr>
          <w:trHeight w:val="21"/>
        </w:trPr>
        <w:tc>
          <w:tcPr>
            <w:tcW w:w="64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740" w:hanging="408"/>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 is leased.</w:t>
      </w:r>
    </w:p>
    <w:p>
      <w:pPr>
        <w:spacing w:after="0" w:line="171" w:lineRule="exact"/>
        <w:rPr>
          <w:rFonts w:ascii="Times New Roman" w:cs="Times New Roman" w:eastAsia="Times New Roman" w:hAnsi="Times New Roman"/>
          <w:sz w:val="18"/>
          <w:szCs w:val="18"/>
          <w:color w:val="auto"/>
        </w:rPr>
      </w:pPr>
    </w:p>
    <w:p>
      <w:pPr>
        <w:ind w:left="740" w:hanging="408"/>
        <w:spacing w:after="0" w:line="282" w:lineRule="auto"/>
        <w:tabs>
          <w:tab w:leader="none" w:pos="73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foreign ownership restrictions in the Philippines, the land is leased. A portion of the land we lease is owned by realty companies in which we own a 40% interest.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2024, we acquired land for the Arizona Facility. We anticipate beginning construction of the new facility in the second half of 2025.</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executive offices, which are leased, are located in Tempe, Arizona and Singapore. We believe that our existing properties are in good condition and suitable for the conduct of our business and that the productive capacity of such properties is substantially being utilized or we have plans to utilize it.</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various disputes and litigation matters that arise in the ordinary course of our business. These include disputes and lawsuits related to intellectual property, acquisitions, licensing, contracts, tax, regulatory compliance, employee relations and other matters. For a discussion of our material legal proceedings, see Note 17 to our Consolidated Financial Statements in Part II, Item 8 of this Form 10-K.</w:t>
      </w:r>
    </w:p>
    <w:p>
      <w:pPr>
        <w:spacing w:after="0" w:line="19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Market for Registrant’s Common Equity,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ON THE NASDAQ GLOBAL SELECT MARKET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“AMKR.” There were approximately 73 holders of record of our common stock as of February 14,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has adopted a dividend policy pursuant to which we currently pay a regular quarterly cash dividend on our common stock.</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anticipate that we will continue to pay regular quarterly cash dividends in the future. However, the payment, amount and timing of future dividends remain within the discretion of our Board of Directors and will depend upon our results of operations, financial condition, cash requirements, debt restrictions and other factors. Refer to the “Liquidity” section in Item 7 of this Form 10-K for additional information.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regarding equity compensation plans is set forth in Part III, Item 12 of this Form 10-K.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repurchases of our common stock during the three months ended December 31, 2024:</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192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Average Price Paid Per Share</w:t>
            </w:r>
          </w:p>
        </w:tc>
        <w:tc>
          <w:tcPr>
            <w:tcW w:w="1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9"/>
        </w:trPr>
        <w:tc>
          <w:tcPr>
            <w:tcW w:w="3380" w:type="dxa"/>
            <w:vAlign w:val="bottom"/>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920" w:type="dxa"/>
            <w:vAlign w:val="bottom"/>
            <w:vMerge w:val="continue"/>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196"/>
        </w:trPr>
        <w:tc>
          <w:tcPr>
            <w:tcW w:w="3380" w:type="dxa"/>
            <w:vAlign w:val="bottom"/>
            <w:tcBorders>
              <w:bottom w:val="single" w:sz="8" w:color="auto"/>
            </w:tcBorders>
            <w:vMerge w:val="continue"/>
          </w:tcPr>
          <w:p>
            <w:pPr>
              <w:spacing w:after="0"/>
              <w:rPr>
                <w:sz w:val="17"/>
                <w:szCs w:val="17"/>
                <w:color w:val="auto"/>
              </w:rPr>
            </w:pPr>
          </w:p>
        </w:tc>
        <w:tc>
          <w:tcPr>
            <w:tcW w:w="19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Purchased (a)</w:t>
            </w:r>
          </w:p>
        </w:tc>
        <w:tc>
          <w:tcPr>
            <w:tcW w:w="5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w:t>
            </w: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Programs ($)</w:t>
            </w:r>
          </w:p>
        </w:tc>
        <w:tc>
          <w:tcPr>
            <w:tcW w:w="0" w:type="dxa"/>
            <w:vAlign w:val="bottom"/>
          </w:tcPr>
          <w:p>
            <w:pPr>
              <w:spacing w:after="0"/>
              <w:rPr>
                <w:sz w:val="1"/>
                <w:szCs w:val="1"/>
                <w:color w:val="auto"/>
              </w:rPr>
            </w:pPr>
          </w:p>
        </w:tc>
      </w:tr>
      <w:tr>
        <w:trPr>
          <w:trHeight w:val="256"/>
        </w:trPr>
        <w:tc>
          <w:tcPr>
            <w:tcW w:w="338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 October 31</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54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216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 November 30</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5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19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7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 December 31</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5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960" w:type="dxa"/>
            <w:vAlign w:val="bottom"/>
            <w:tcBorders>
              <w:bottom w:val="single" w:sz="8" w:color="auto"/>
            </w:tcBorders>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5,883</w:t>
            </w:r>
          </w:p>
        </w:tc>
        <w:tc>
          <w:tcPr>
            <w:tcW w:w="5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196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60" w:hanging="328"/>
        <w:spacing w:after="0" w:line="282" w:lineRule="auto"/>
        <w:tabs>
          <w:tab w:leader="none" w:pos="65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surrendered to us to satisfy tax withholding obligations associated with share-based compensation awards issued to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PERFORMANCE GRAPH </w:t>
      </w:r>
      <w:r>
        <w:rPr>
          <w:rFonts w:ascii="Times New Roman" w:cs="Times New Roman" w:eastAsia="Times New Roman" w:hAnsi="Times New Roman"/>
          <w:sz w:val="23"/>
          <w:szCs w:val="23"/>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-15240</wp:posOffset>
            </wp:positionV>
            <wp:extent cx="5554980" cy="48260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54980" cy="4826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340" w:hanging="332"/>
        <w:spacing w:after="0" w:line="261" w:lineRule="auto"/>
        <w:tabs>
          <w:tab w:leader="none" w:pos="33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preceding Stock Performance Graph is not deemed filed with the SEC and shall not be incorporated by reference in any of our filings under the Securities Act of 1933, as amended (the “Securities Act”), or the Exchange Act, whether made before or after the date hereof and irrespective of any general incorporation language in any such filing. The stock performance shown on the performance graph above is not necessarily indicative of future performance. We will not make or endorse any predictions as to Amkor’s future stock performance.</w:t>
      </w:r>
    </w:p>
    <w:p>
      <w:pPr>
        <w:spacing w:after="0" w:line="31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cumulative total returns included in the preceding Stock Performance Graph for the years ended December 31, 2019 through 2024:</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
        </w:trPr>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40" w:type="dxa"/>
            <w:vAlign w:val="bottom"/>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27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40" w:type="dxa"/>
            <w:vAlign w:val="bottom"/>
          </w:tcPr>
          <w:p>
            <w:pPr>
              <w:spacing w:after="0"/>
              <w:rPr>
                <w:sz w:val="18"/>
                <w:szCs w:val="18"/>
                <w:color w:val="auto"/>
              </w:rPr>
            </w:pPr>
          </w:p>
        </w:tc>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Amkor Technology, Inc.</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116.30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192.55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188.13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263.98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209.15</w:t>
            </w:r>
          </w:p>
        </w:tc>
      </w:tr>
      <w:tr>
        <w:trPr>
          <w:trHeight w:val="213"/>
        </w:trPr>
        <w:tc>
          <w:tcPr>
            <w:tcW w:w="40" w:type="dxa"/>
            <w:vAlign w:val="bottom"/>
          </w:tcPr>
          <w:p>
            <w:pPr>
              <w:spacing w:after="0"/>
              <w:rPr>
                <w:sz w:val="18"/>
                <w:szCs w:val="18"/>
                <w:color w:val="auto"/>
              </w:rPr>
            </w:pPr>
          </w:p>
        </w:tc>
        <w:tc>
          <w:tcPr>
            <w:tcW w:w="3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S&amp;P Midcap 400</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113.66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141.80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163.54</w:t>
            </w:r>
          </w:p>
        </w:tc>
      </w:tr>
      <w:tr>
        <w:trPr>
          <w:trHeight w:val="219"/>
        </w:trPr>
        <w:tc>
          <w:tcPr>
            <w:tcW w:w="40" w:type="dxa"/>
            <w:vAlign w:val="bottom"/>
          </w:tcPr>
          <w:p>
            <w:pPr>
              <w:spacing w:after="0"/>
              <w:rPr>
                <w:sz w:val="19"/>
                <w:szCs w:val="19"/>
                <w:color w:val="auto"/>
              </w:rPr>
            </w:pPr>
          </w:p>
        </w:tc>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PHLX Semiconductor</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153.66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219.51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287.31</w:t>
            </w:r>
          </w:p>
        </w:tc>
      </w:tr>
      <w:tr>
        <w:trPr>
          <w:trHeight w:val="634"/>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27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&lt;Reserved&gt;</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section includes comparisons of certain 2024 financial information to the same information for 2023. For discussion of 2023 results in comparison with 2022 results refer to “Management’s Discussion and Analysis of Financial Conditions and Results of Operations” in our Annual Report on Form 10-K filed with the SEC on February 16,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Amkor is the world’s largest US headquartered OSAT (outsourced semiconductor assembly and test) service provider. We are an industry leader in developing and commercializing advanced packaging and test technologies, which we believe provide substantial value to our customers. Our primary financial objective is profitable sales growth. To achieve this goal, we are focused on leveraging our leadership position in services for advanced technologies, providing our customers with a geographically diverse manufacturing footprint, growing within the industry secular growth markets of HPC, automotive, IoT and mobile communications, selectively growing our scale and scope through strategic investments and optimizing utilization of existing assets.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demand for advanced packaging services will continue to grow as our customers and leading electronics OEMs strive for smaller device geometries, higher levels of integration and performance and lower power consumption. We intend to continue to leverage our investments in advanced technology to meet the demand for these services in high growth markets.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High performance computing supporting artificial intelligence and increasing demand for improved networking speed and storage within data centers, cloud computing, PCs and laptops, are driving demand for more semiconductors and advanced packaging in the computing end market. Increasing semiconductor content in automobiles is driving increased demand for advanced packaging to enable the proliferation of safety features such as ADAS and radar and digital cockpit features such as infotainment displays and telematics. The IoT wearables within our consumer end market are evolving in multiple</w:t>
      </w:r>
    </w:p>
    <w:p>
      <w:pPr>
        <w:spacing w:after="0" w:line="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applications, such as hearables, watches and augmented reality and virtual reality devices. Integration of multiple functions into small form factors, such as processors, sensors and connectivity devices, relies on innovation in advanced packaging. Within our communications end market, we have a strong position across multiple device functionalities within premium and high tier smartphones. We are collaborating with industry leaders as smartphones transition to include artificial intelligence and drive semiconductor growth through integration of a broad range of applications, enhanced features and higher performance requirements to support increased data processing.</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broad geographic footprint, including our manufacturing presence in multiple countries across Asia, in Portugal and our headquarters in the United States, is a key differentiator and positions us well to support evolving global supply chains, including initiatives to regionalize supply chains. We began delivering advanced packages from the Vietnam Facility in the third quarter of 2024. In addition, we are progressing plans to build an advanced packaging and test facility in Arizona and were awarded up to $407 million in direct funding by Commerce pursuant to the CHIPS Act to support the facility, conditioned on, among other things, the achievement of certain construction and production milestones. We acquired the land for the Arizona Facility in 2024 and expect to begin construction in the second half of 2025. We believe our broad geographic footprint provides customers with multiple options to mitigate risk and diversify their supply chains.</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Another key factor in our success is the optimization of asset utilization. We build and utilize manufacturing lines which support multiple customers, and we increase factory utilization through sophisticated planning processes and intensive efficiency improvement activities.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customers include most of the world’s largest semiconductor companies, and over the last five decades we have developed long-standing relationships with many of these companies. We believe that our production excellence, including high quality, reliability and predictability, has been a key factor in our success in attracting and retaining customers.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supplier in the semiconductor industry, our business is cyclical and impacted by broad economic factors. Historical trends indicate there has been a strong correlation between worldwide gross domestic product levels, consumer spending and semiconductor industry cycles. The semiconductor industry has experienced significant and sometimes prolonged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cyclical upturns and downturns in the past. We cannot predict the timing, strength or duration of any correction, economic slowdown, recession or subsequent economic recovery.</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operate in a capital-intensive industry. Servicing our current and future customers requires that we incur significant operating expenses and continue to make significant capital expenditures, which are generally made in advance of expected revenues and without firm customer commitments. We fund our operations, including capital expenditures and debt service requirements, with cash flows from operations, existing cash and cash equivalents, short-term investments, borrowings under available credit facilities and proceeds from any additional financing. Maintaining an appropriate level of liquidity is important to our business and depends on, among other considerations, the performance of our business, our capital expenditure levels, our ability to repay debt out of our operating cash flows or proceeds from debt or equity financings and our investment strategy. As of December 31, 2024, we had cash and cash equivalents and short-term investments of $1,133.6 million and $513.0 million, respectively.</w:t>
      </w:r>
    </w:p>
    <w:p>
      <w:pPr>
        <w:spacing w:after="0" w:line="11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net sales, gross profit, operating income, cash flows, liquidity and capital resources have historically fluctuated significantly from quarter to quarter due to many factors, including the seasonality of our business, the cyclical nature of the semiconductor industry and other factors discussed in Part 1, Item 1A of this Form 10-K. We will continue to make prudent investments, and we will closely manage capacity expansion and control costs in response to any changes in market conditions.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Financial Summary</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net sales decreased $185.4 million or 2.9% to $6,317.7 million in 2024 from $6,503.1 million in 2023. The decrease was primarily due to lower sales in our automotive and industrial and communications end markets, partially offset by growth in the computing and consumer end markets.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margin increased to 14.8% in 2024 compared to 14.5% in 2023. The increase was primarily due to the extension of the estimated useful life of our test equipment from five years to seven years and net favorable foreign currency exchange rate movements, offset by the decrease in net sales and resulting lower factory utilization.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margin decreased to 6.9% in 2024 from 7.2% in 2023. The decrease in our operating income margin was primarily due to increased employee compensation costs and costs incurred during start-up at the Vietnam Facility, partially offset by the increase in our gross margin discussed above and a reduction in bad debt expense.</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2024, our capital expenditures totaled $743.8 million, or 11.8% of net sales, compared to $749.5 million, or 11.5% of net sales in 2023. Our spending was primarily focused on investments in advanced packaging and test equipment.</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$1,088.9 million for the year ended December 31, 2024, compared to $1,270.0 million for the year ended December 31, 2023. This decrease was primarily due to changes in working capital and lower operating profits.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November 2024, our Board of Directors approved a quarterly dividend of $0.08269 per share, a 5% increase from the rate set in November 2023. The Board of Directors also approved a special cash dividend of $0.40546 per share. In 2024, we paid total cash dividends of $178.6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operating data as a percentage of net sales for the periods indicated: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220" w:type="dxa"/>
            <w:vAlign w:val="bottom"/>
          </w:tcPr>
          <w:p>
            <w:pPr>
              <w:spacing w:after="0"/>
              <w:rPr>
                <w:sz w:val="16"/>
                <w:szCs w:val="16"/>
                <w:color w:val="auto"/>
              </w:rPr>
            </w:pPr>
          </w:p>
        </w:tc>
      </w:tr>
      <w:tr>
        <w:trPr>
          <w:trHeight w:val="23"/>
        </w:trPr>
        <w:tc>
          <w:tcPr>
            <w:tcW w:w="72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90"/>
        </w:trPr>
        <w:tc>
          <w:tcPr>
            <w:tcW w:w="624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58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3"/>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7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Materials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51.4 %</w:t>
            </w:r>
          </w:p>
        </w:tc>
      </w:tr>
      <w:tr>
        <w:trPr>
          <w:trHeight w:val="213"/>
        </w:trPr>
        <w:tc>
          <w:tcPr>
            <w:tcW w:w="7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Labor</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19"/>
        </w:trPr>
        <w:tc>
          <w:tcPr>
            <w:tcW w:w="7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8.0 %</w:t>
            </w:r>
          </w:p>
        </w:tc>
      </w:tr>
      <w:tr>
        <w:trPr>
          <w:trHeight w:val="213"/>
        </w:trPr>
        <w:tc>
          <w:tcPr>
            <w:tcW w:w="7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manufacturing costs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11.7 %</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11.8 %</w:t>
            </w:r>
          </w:p>
        </w:tc>
      </w:tr>
      <w:tr>
        <w:trPr>
          <w:trHeight w:val="219"/>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18.8 %</w:t>
            </w:r>
          </w:p>
        </w:tc>
      </w:tr>
      <w:tr>
        <w:trPr>
          <w:trHeight w:val="213"/>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r>
      <w:tr>
        <w:trPr>
          <w:trHeight w:val="219"/>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r>
      <w:tr>
        <w:trPr>
          <w:trHeight w:val="213"/>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12.7 %</w:t>
            </w:r>
          </w:p>
        </w:tc>
      </w:tr>
      <w:tr>
        <w:trPr>
          <w:trHeight w:val="219"/>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Amkor</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10.8 %</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80" w:type="dxa"/>
            <w:vAlign w:val="bottom"/>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vMerge w:val="restart"/>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2"/>
                <w:szCs w:val="2"/>
                <w:color w:val="auto"/>
              </w:rPr>
            </w:pPr>
          </w:p>
        </w:tc>
        <w:tc>
          <w:tcPr>
            <w:tcW w:w="980" w:type="dxa"/>
            <w:vAlign w:val="bottom"/>
            <w:vMerge w:val="restart"/>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2"/>
                <w:szCs w:val="2"/>
                <w:color w:val="auto"/>
              </w:rPr>
            </w:pPr>
          </w:p>
        </w:tc>
        <w:tc>
          <w:tcPr>
            <w:tcW w:w="1060" w:type="dxa"/>
            <w:vAlign w:val="bottom"/>
            <w:vMerge w:val="restart"/>
          </w:tcPr>
          <w:p>
            <w:pPr>
              <w:jc w:val="right"/>
              <w:ind w:right="52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2024 over 2023</w:t>
            </w:r>
          </w:p>
        </w:tc>
        <w:tc>
          <w:tcPr>
            <w:tcW w:w="10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2023 over 2022</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20" w:type="dxa"/>
            <w:vAlign w:val="bottom"/>
            <w:gridSpan w:val="3"/>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6,317,692</w:t>
            </w:r>
          </w:p>
        </w:tc>
        <w:tc>
          <w:tcPr>
            <w:tcW w:w="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6,503,065</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7,091,585</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484"/>
              <w:spacing w:after="0"/>
              <w:rPr>
                <w:sz w:val="20"/>
                <w:szCs w:val="20"/>
                <w:color w:val="auto"/>
              </w:rPr>
            </w:pPr>
            <w:r>
              <w:rPr>
                <w:rFonts w:ascii="Times New Roman" w:cs="Times New Roman" w:eastAsia="Times New Roman" w:hAnsi="Times New Roman"/>
                <w:sz w:val="16"/>
                <w:szCs w:val="16"/>
                <w:color w:val="auto"/>
              </w:rPr>
              <w:t>(185,373)</w:t>
            </w:r>
          </w:p>
        </w:tc>
        <w:tc>
          <w:tcPr>
            <w:tcW w:w="10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6"/>
                <w:szCs w:val="16"/>
                <w:color w:val="auto"/>
              </w:rPr>
              <w:t>(2.9)%  $</w:t>
            </w:r>
          </w:p>
        </w:tc>
        <w:tc>
          <w:tcPr>
            <w:tcW w:w="1400" w:type="dxa"/>
            <w:vAlign w:val="bottom"/>
            <w:shd w:val="clear" w:color="auto" w:fill="CCEEFF"/>
          </w:tcPr>
          <w:p>
            <w:pPr>
              <w:jc w:val="right"/>
              <w:ind w:right="484"/>
              <w:spacing w:after="0"/>
              <w:rPr>
                <w:sz w:val="20"/>
                <w:szCs w:val="20"/>
                <w:color w:val="auto"/>
              </w:rPr>
            </w:pPr>
            <w:r>
              <w:rPr>
                <w:rFonts w:ascii="Times New Roman" w:cs="Times New Roman" w:eastAsia="Times New Roman" w:hAnsi="Times New Roman"/>
                <w:sz w:val="16"/>
                <w:szCs w:val="16"/>
                <w:color w:val="auto"/>
              </w:rPr>
              <w:t>(588,520)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$185.4 million decrease in net sales in 2024 compared to 2023 was primarily due to lower sales in our automotive and industrial and communications end markets, partially offset by growth in the computing and consumer end markets. The automotive and industrial end market decreased 16% in 2024 compared to 2023 primarily driven by elevated customer inventories and weaker demand. The communications end market decreased 7% in 2024 compared to 2023 primarily due to lower supported content mix in premium tier smartphones. The computing and consumer end markets grew 16% and 10%, respectively, in 2024 compared to 2023 primarily driven by strong demand for ARM-based PCs, AI devices and IoT wearables.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vMerge w:val="restart"/>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2"/>
                <w:szCs w:val="2"/>
                <w:color w:val="auto"/>
              </w:rPr>
            </w:pPr>
          </w:p>
        </w:tc>
        <w:tc>
          <w:tcPr>
            <w:tcW w:w="860" w:type="dxa"/>
            <w:vAlign w:val="bottom"/>
            <w:vMerge w:val="restart"/>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2"/>
                <w:szCs w:val="2"/>
                <w:color w:val="auto"/>
              </w:rPr>
            </w:pPr>
          </w:p>
        </w:tc>
        <w:tc>
          <w:tcPr>
            <w:tcW w:w="1160" w:type="dxa"/>
            <w:vAlign w:val="bottom"/>
            <w:vMerge w:val="restart"/>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2024 over 2023</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2023 over 2022</w:t>
            </w:r>
          </w:p>
        </w:tc>
        <w:tc>
          <w:tcPr>
            <w:tcW w:w="0" w:type="dxa"/>
            <w:vAlign w:val="bottom"/>
          </w:tcPr>
          <w:p>
            <w:pPr>
              <w:spacing w:after="0"/>
              <w:rPr>
                <w:sz w:val="1"/>
                <w:szCs w:val="1"/>
                <w:color w:val="auto"/>
              </w:rPr>
            </w:pPr>
          </w:p>
        </w:tc>
      </w:tr>
      <w:tr>
        <w:trPr>
          <w:trHeight w:val="196"/>
        </w:trPr>
        <w:tc>
          <w:tcPr>
            <w:tcW w:w="3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40" w:type="dxa"/>
            <w:vAlign w:val="bottom"/>
            <w:gridSpan w:val="4"/>
          </w:tcPr>
          <w:p>
            <w:pPr>
              <w:jc w:val="right"/>
              <w:ind w:right="1024"/>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933,212</w:t>
            </w:r>
          </w:p>
        </w:tc>
        <w:tc>
          <w:tcPr>
            <w:tcW w:w="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943,153</w:t>
            </w:r>
          </w:p>
        </w:tc>
        <w:tc>
          <w:tcPr>
            <w:tcW w:w="5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rPr>
              <w:t>1,329,987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(9,941)</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(386,834)</w:t>
            </w:r>
          </w:p>
        </w:tc>
        <w:tc>
          <w:tcPr>
            <w:tcW w:w="0" w:type="dxa"/>
            <w:vAlign w:val="bottom"/>
          </w:tcPr>
          <w:p>
            <w:pPr>
              <w:spacing w:after="0"/>
              <w:rPr>
                <w:sz w:val="1"/>
                <w:szCs w:val="1"/>
                <w:color w:val="auto"/>
              </w:rPr>
            </w:pPr>
          </w:p>
        </w:tc>
      </w:tr>
      <w:tr>
        <w:trPr>
          <w:trHeight w:val="210"/>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32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14.8 %</w:t>
            </w:r>
          </w:p>
        </w:tc>
        <w:tc>
          <w:tcPr>
            <w:tcW w:w="360" w:type="dxa"/>
            <w:vAlign w:val="bottom"/>
          </w:tcPr>
          <w:p>
            <w:pPr>
              <w:spacing w:after="0"/>
              <w:rPr>
                <w:sz w:val="18"/>
                <w:szCs w:val="18"/>
                <w:color w:val="auto"/>
              </w:rPr>
            </w:pPr>
          </w:p>
        </w:tc>
        <w:tc>
          <w:tcPr>
            <w:tcW w:w="1440" w:type="dxa"/>
            <w:vAlign w:val="bottom"/>
            <w:gridSpan w:val="2"/>
          </w:tcPr>
          <w:p>
            <w:pPr>
              <w:jc w:val="right"/>
              <w:ind w:right="344"/>
              <w:spacing w:after="0"/>
              <w:rPr>
                <w:sz w:val="20"/>
                <w:szCs w:val="20"/>
                <w:color w:val="auto"/>
              </w:rPr>
            </w:pPr>
            <w:r>
              <w:rPr>
                <w:rFonts w:ascii="Times New Roman" w:cs="Times New Roman" w:eastAsia="Times New Roman" w:hAnsi="Times New Roman"/>
                <w:sz w:val="16"/>
                <w:szCs w:val="16"/>
                <w:color w:val="auto"/>
              </w:rPr>
              <w:t>14.5 %</w:t>
            </w:r>
          </w:p>
        </w:tc>
        <w:tc>
          <w:tcPr>
            <w:tcW w:w="11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18.8 %</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bl>
    <w:p>
      <w:pPr>
        <w:spacing w:after="0" w:line="32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cost of sales consists principally of materials, labor, depreciation and manufacturing overhead. Since a substantial portion of the costs at our factories is fixed, there tends to be a strong relationship between our revenue levels and gross margin. Accordingly, relatively modest increases or decreases in revenue can have a significant effect on margin and on labor and other manufacturing costs as a percentage of revenue, depending on product mix, utilization, foreign currency exchange rate movements and seasonality. We have expanded our business in advanced packaging, which tends to have higher material costs than our other products. As we continue to increase production of these higher material cost products, there could be an impact on our profitability, depending on overall utilization.</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gross profit decreased for 2024 compared to 2023, gross margin increased primarily due to the extension of the estimated useful life of our test equipment from five years to seven years and net favorable foreign currency exchange rate movements, offset by the decrease in net sales and resulting lower factory utilization.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6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vMerge w:val="restart"/>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2"/>
                <w:szCs w:val="2"/>
                <w:color w:val="auto"/>
              </w:rPr>
            </w:pPr>
          </w:p>
        </w:tc>
        <w:tc>
          <w:tcPr>
            <w:tcW w:w="960" w:type="dxa"/>
            <w:vAlign w:val="bottom"/>
            <w:vMerge w:val="restart"/>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2"/>
                <w:szCs w:val="2"/>
                <w:color w:val="auto"/>
              </w:rPr>
            </w:pPr>
          </w:p>
        </w:tc>
        <w:tc>
          <w:tcPr>
            <w:tcW w:w="1060" w:type="dxa"/>
            <w:vAlign w:val="bottom"/>
            <w:vMerge w:val="restart"/>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2024 over 2023</w:t>
            </w:r>
          </w:p>
        </w:tc>
        <w:tc>
          <w:tcPr>
            <w:tcW w:w="1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2023 over 2022</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2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w:t>
            </w: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331,806</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295,393</w:t>
            </w:r>
          </w:p>
        </w:tc>
        <w:tc>
          <w:tcPr>
            <w:tcW w:w="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283,372</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36,413</w:t>
            </w:r>
          </w:p>
        </w:tc>
        <w:tc>
          <w:tcPr>
            <w:tcW w:w="116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6"/>
                <w:szCs w:val="16"/>
                <w:color w:val="auto"/>
              </w:rPr>
              <w:t>12.3 %  $</w:t>
            </w:r>
          </w:p>
        </w:tc>
        <w:tc>
          <w:tcPr>
            <w:tcW w:w="1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12,021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in 2024 compared to 2023. The increase was primarily due to increased employee compensation costs and costs incurred during start-up at the Vietnam Facility, partially offset by a reduction in bad debt expense. In 2024, the costs incurred during start-up at the Vietnam Facility increased approximately $16 million compared to 2023.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4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vMerge w:val="restart"/>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2"/>
                <w:szCs w:val="2"/>
                <w:color w:val="auto"/>
              </w:rPr>
            </w:pPr>
          </w:p>
        </w:tc>
        <w:tc>
          <w:tcPr>
            <w:tcW w:w="980" w:type="dxa"/>
            <w:vAlign w:val="bottom"/>
            <w:vMerge w:val="restart"/>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2"/>
                <w:szCs w:val="2"/>
                <w:color w:val="auto"/>
              </w:rPr>
            </w:pPr>
          </w:p>
        </w:tc>
        <w:tc>
          <w:tcPr>
            <w:tcW w:w="1040" w:type="dxa"/>
            <w:vAlign w:val="bottom"/>
            <w:vMerge w:val="restart"/>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2024 over 2023</w:t>
            </w:r>
          </w:p>
        </w:tc>
        <w:tc>
          <w:tcPr>
            <w:tcW w:w="1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2023 over 2022</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20" w:type="dxa"/>
            <w:vAlign w:val="bottom"/>
            <w:gridSpan w:val="3"/>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162,951</w:t>
            </w:r>
          </w:p>
        </w:tc>
        <w:tc>
          <w:tcPr>
            <w:tcW w:w="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177,473</w:t>
            </w:r>
          </w:p>
        </w:tc>
        <w:tc>
          <w:tcPr>
            <w:tcW w:w="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149,429</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504"/>
              <w:spacing w:after="0"/>
              <w:rPr>
                <w:sz w:val="20"/>
                <w:szCs w:val="20"/>
                <w:color w:val="auto"/>
              </w:rPr>
            </w:pPr>
            <w:r>
              <w:rPr>
                <w:rFonts w:ascii="Times New Roman" w:cs="Times New Roman" w:eastAsia="Times New Roman" w:hAnsi="Times New Roman"/>
                <w:sz w:val="16"/>
                <w:szCs w:val="16"/>
                <w:color w:val="auto"/>
              </w:rPr>
              <w:t>(14,522)</w:t>
            </w:r>
          </w:p>
        </w:tc>
        <w:tc>
          <w:tcPr>
            <w:tcW w:w="114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6"/>
                <w:szCs w:val="16"/>
                <w:color w:val="auto"/>
              </w:rPr>
              <w:t>(8.2)%  $</w:t>
            </w:r>
          </w:p>
        </w:tc>
        <w:tc>
          <w:tcPr>
            <w:tcW w:w="1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28,044</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18.8 %</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activities are focused on developing new packaging and test services and improving the efficiency and capabilities of our existing production processes. The costs related to our technology and product development projects are included in research and development expense until the project moves into production. Once production begins, the costs relating to production become part of the cost of sales, including ongoing depreciation for the equipment previously held for research and development activities.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decreased in 2024 compared to 2023 primarily due to the utilization mix of assets shared with manufacturing and projects moving into production, partially offset by new development projects in packaging technologies.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vMerge w:val="restart"/>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2024 over 2023</w:t>
            </w:r>
          </w:p>
        </w:tc>
        <w:tc>
          <w:tcPr>
            <w:tcW w:w="7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2023 over 2022</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58,563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5,945</w:t>
            </w: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10.1 %</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4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0" w:type="dxa"/>
            <w:vAlign w:val="bottom"/>
          </w:tcPr>
          <w:p>
            <w:pPr>
              <w:spacing w:after="0"/>
              <w:rPr>
                <w:sz w:val="1"/>
                <w:szCs w:val="1"/>
                <w:color w:val="auto"/>
              </w:rPr>
            </w:pPr>
          </w:p>
        </w:tc>
      </w:tr>
      <w:tr>
        <w:trPr>
          <w:trHeight w:val="213"/>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(65,541)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(48,458)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(17,083)</w:t>
            </w:r>
          </w:p>
        </w:tc>
        <w:tc>
          <w:tcPr>
            <w:tcW w:w="500" w:type="dxa"/>
            <w:vAlign w:val="bottom"/>
          </w:tcPr>
          <w:p>
            <w:pPr>
              <w:spacing w:after="0"/>
              <w:rPr>
                <w:sz w:val="18"/>
                <w:szCs w:val="18"/>
                <w:color w:val="auto"/>
              </w:rPr>
            </w:pP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35.3 %</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(35,696)</w:t>
            </w: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&gt;100%</w:t>
            </w:r>
          </w:p>
        </w:tc>
        <w:tc>
          <w:tcPr>
            <w:tcW w:w="0" w:type="dxa"/>
            <w:vAlign w:val="bottom"/>
          </w:tcPr>
          <w:p>
            <w:pPr>
              <w:spacing w:after="0"/>
              <w:rPr>
                <w:sz w:val="1"/>
                <w:szCs w:val="1"/>
                <w:color w:val="auto"/>
              </w:rPr>
            </w:pPr>
          </w:p>
        </w:tc>
      </w:tr>
      <w:tr>
        <w:trPr>
          <w:trHeight w:val="21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(gain) loss,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(9,505)</w:t>
            </w: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(51.8)%</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19,933</w:t>
            </w:r>
          </w:p>
        </w:tc>
        <w:tc>
          <w:tcPr>
            <w:tcW w:w="4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&gt;(100)%</w:t>
            </w:r>
          </w:p>
        </w:tc>
        <w:tc>
          <w:tcPr>
            <w:tcW w:w="0" w:type="dxa"/>
            <w:vAlign w:val="bottom"/>
          </w:tcPr>
          <w:p>
            <w:pPr>
              <w:spacing w:after="0"/>
              <w:rPr>
                <w:sz w:val="1"/>
                <w:szCs w:val="1"/>
                <w:color w:val="auto"/>
              </w:rPr>
            </w:pPr>
          </w:p>
        </w:tc>
      </w:tr>
      <w:tr>
        <w:trPr>
          <w:trHeight w:val="213"/>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debt retirement</w:t>
            </w: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(4,439)</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(66.6)%</w:t>
            </w: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0" w:type="dxa"/>
            <w:vAlign w:val="bottom"/>
          </w:tcPr>
          <w:p>
            <w:pPr>
              <w:spacing w:after="0"/>
              <w:rPr>
                <w:sz w:val="1"/>
                <w:szCs w:val="1"/>
                <w:color w:val="auto"/>
              </w:rPr>
            </w:pPr>
          </w:p>
        </w:tc>
      </w:tr>
      <w:tr>
        <w:trPr>
          <w:trHeight w:val="212"/>
        </w:trPr>
        <w:tc>
          <w:tcPr>
            <w:tcW w:w="2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other expense, net</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7,439</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26,446</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40,254</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(19,007)</w:t>
            </w:r>
          </w:p>
        </w:tc>
        <w:tc>
          <w:tcPr>
            <w:tcW w:w="500" w:type="dxa"/>
            <w:vAlign w:val="bottom"/>
          </w:tcPr>
          <w:p>
            <w:pPr>
              <w:spacing w:after="0"/>
              <w:rPr>
                <w:sz w:val="18"/>
                <w:szCs w:val="18"/>
                <w:color w:val="auto"/>
              </w:rPr>
            </w:pP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(71.9)%</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(13,808)</w:t>
            </w: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increased in 2024 compared to 2023, primarily due to a decrease in capitalized interest for the Vietnam Facility and an increase in our finance lease obligation balance.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increased in 2024 compared to 2023, primarily due to increases in our cash and cash equivalent and available-for-sale debt investment balances and higher interest rates.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changes in foreign currency (gain) loss, net for the 2024 compared to the 2023 were primarily due to the lower net costs associated with foreign exchange forward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vMerge w:val="restart"/>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2"/>
                <w:szCs w:val="2"/>
                <w:color w:val="auto"/>
              </w:rPr>
            </w:pPr>
          </w:p>
        </w:tc>
        <w:tc>
          <w:tcPr>
            <w:tcW w:w="1100" w:type="dxa"/>
            <w:vAlign w:val="bottom"/>
            <w:vMerge w:val="restart"/>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2"/>
                <w:szCs w:val="2"/>
                <w:color w:val="auto"/>
              </w:rPr>
            </w:pPr>
          </w:p>
        </w:tc>
        <w:tc>
          <w:tcPr>
            <w:tcW w:w="1160" w:type="dxa"/>
            <w:vAlign w:val="bottom"/>
            <w:vMerge w:val="restart"/>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2024 over 2023</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2023 over 2022</w:t>
            </w:r>
          </w:p>
        </w:tc>
        <w:tc>
          <w:tcPr>
            <w:tcW w:w="0" w:type="dxa"/>
            <w:vAlign w:val="bottom"/>
          </w:tcPr>
          <w:p>
            <w:pPr>
              <w:spacing w:after="0"/>
              <w:rPr>
                <w:sz w:val="1"/>
                <w:szCs w:val="1"/>
                <w:color w:val="auto"/>
              </w:rPr>
            </w:pPr>
          </w:p>
        </w:tc>
      </w:tr>
      <w:tr>
        <w:trPr>
          <w:trHeight w:val="196"/>
        </w:trPr>
        <w:tc>
          <w:tcPr>
            <w:tcW w:w="4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0" w:type="dxa"/>
            <w:vAlign w:val="bottom"/>
            <w:gridSpan w:val="5"/>
          </w:tcPr>
          <w:p>
            <w:pPr>
              <w:jc w:val="right"/>
              <w:ind w:right="1065"/>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75,481</w:t>
            </w:r>
          </w:p>
        </w:tc>
        <w:tc>
          <w:tcPr>
            <w:tcW w:w="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rPr>
              <w:t>81,710</w:t>
            </w:r>
          </w:p>
        </w:tc>
        <w:tc>
          <w:tcPr>
            <w:tcW w:w="3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89,890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(6,229)</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(8,180)</w:t>
            </w:r>
          </w:p>
        </w:tc>
        <w:tc>
          <w:tcPr>
            <w:tcW w:w="0" w:type="dxa"/>
            <w:vAlign w:val="bottom"/>
          </w:tcPr>
          <w:p>
            <w:pPr>
              <w:spacing w:after="0"/>
              <w:rPr>
                <w:sz w:val="1"/>
                <w:szCs w:val="1"/>
                <w:color w:val="auto"/>
              </w:rPr>
            </w:pPr>
          </w:p>
        </w:tc>
      </w:tr>
      <w:tr>
        <w:trPr>
          <w:trHeight w:val="210"/>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17.5 %</w:t>
            </w:r>
          </w:p>
        </w:tc>
        <w:tc>
          <w:tcPr>
            <w:tcW w:w="38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18.4 %</w:t>
            </w:r>
          </w:p>
        </w:tc>
        <w:tc>
          <w:tcPr>
            <w:tcW w:w="360" w:type="dxa"/>
            <w:vAlign w:val="bottom"/>
          </w:tcPr>
          <w:p>
            <w:pPr>
              <w:spacing w:after="0"/>
              <w:rPr>
                <w:sz w:val="18"/>
                <w:szCs w:val="18"/>
                <w:color w:val="auto"/>
              </w:rPr>
            </w:pPr>
          </w:p>
        </w:tc>
        <w:tc>
          <w:tcPr>
            <w:tcW w:w="11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10.5 %</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 expense, which includes foreign withholding taxes and minimum taxes, reflects the applicable tax rates in effect in the various countries where our income is earned and is subject to volatility depending on the relative mix of earnings in each location.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 is below the U.S. statutory rate of 21% primarily due to lower tax rates applicable to our operations in some foreign jurisdictions where we earn income. The effective tax rate in 2022 includes a $17.8 million tax benefit from the recognition of deferred tax assets we expect to utilize in future years.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2024, 2023 and 2022, our subsidiaries in Korea and Singapore operated under various conditional reduced tax rates. Beginning in 2024, our subsidiary in Vietnam also operated under a conditional reduced tax rate. As these conditional reduced tax rates expire, income earned in these jurisdictions will be subject to higher statutory income tax rates, which may cause our effective tax rate to increase. In addition, the conditional reduced tax rates granted to certain operations are expected to be adversely impacted by the enactment of the Pillar Two Model Rules effective in 2025. We believe the short-term impact will result in an increase to the overall effective tax rate of approximately 2 to 3 percentage points, before any discrete tax items, depending on the amount and relative mix of earnings in each location, among other factors.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to our Consolidated Financial Statements included in Part II, Item 8 of this Form 10-K for additional information about our income tax expense.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assess our liquidity based on our current expectations regarding sales and operating expenses, capital spending, dividend payments, stock and debt repurchases, debt service requirements, lease obligations and other funding needs. Based on this assessment, we believe that our cash flow from operating activities, together with existing cash and cash equivalents, short-term investments and availability under our credit facilities, will be sufficient to fund our working capital, capital expenditures, dividend payments, debt service, debt repurchases and other financial requirements for at least the next 12 months.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liquidity is affected by, among other factors, volatility in the global economy and credit markets, the performance of our business, our capital expenditure levels, other uses of our cash including any dividends and purchases of stock or debt under any repurchase program, any acquisitions, joint ventures or other investments and our ability to either repay debt out of operating cash flow or refinance it at or prior to maturity with the proceeds from debt or equity offerings. There can be no assurance that we will generate the necessary net income or operating cash flows, or be able to borrow sufficient funds, to meet the funding needs of our business beyond the next 12 months due to a variety of factors, including the cyclical nature of the semiconductor industry and other factors discussed in Part I, Item 1A of this Form 10-K.</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source of cash and the source of funds for our operations are cash flows from operations, current cash and cash equivalents, short-term investments, borrowings under available credit facilities and proceeds from any additional debt or equity financings. Please refer to Note 6 and Note 11 to our Consolidated Financial Statements in Part II, Item 8 of this Form 10-K for additional information on our investments and borrowings, respectively.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we had cash and cash equivalents and short-term investments of $1,646.5 million. Included in our cash and short-term investments balances as of December 31, 2024, is $1,407.9 million held offshore by our foreign subsidiaries. We have the ability to access cash held offshore by our foreign subsidiaries primarily through the repayment of intercompany debt obligations. If we were to distribute this offshore cash to the United States as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our foreign subsidiaries, the dividends generally would not be subject to U.S. federal income tax, but the distributions may be subject to foreign withholding and state income taxes. For the year ended December 31, 2024, we estimate that repatriation of this foreign cash and short-term investments would generate withholding taxes and state income taxes of approximately $48 million.</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certain accounts receivable, we use non-recourse factoring arrangements with third party financial institutions to manage our working capital and cash flows. Under these arrangements, we sell receivables to a financial institution for cash at a discount to the face amount. Available capacity under these arrangements is dependent on the level of our trade accounts receivable eligible to be sold, the financial institutions’ willingness to purchase such receivables and the limits provided by the financial institutions. These factoring arrangements can be reduced or eliminated at any time due to market conditions and changes in the creditworthiness of customers. For the year ended December 31, 2024 and 2023, we sold accounts receivable totaling $158.6 million and $253.9 million, net of discounts and fees of $0.4 million and $1.3 million, respectively.</w:t>
      </w:r>
    </w:p>
    <w:p>
      <w:pPr>
        <w:spacing w:after="0" w:line="1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operate in a capital-intensive industry. Servicing our current and future customers may require that we incur significant operating expenses and make significant investments in equipment and facilities, which are generally made in advance of the related revenues and without firm customer commitments.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2024, we signed a Direct Funding Agreement with the U.S. Department of Commerce for the award of up to $407 million in government incentives pursuant to the CHIPS Act, and no funds have been received to date. The award requires us to achieve construction and production milestones over the next several years. In addition, we receive a 25% investment tax credit on qualified investments in U.S. semiconductor manufacturing under the CHIPS Act. For additional information, please refer to Note 1 to our Consolidated Financial Statements in Part II, Item 8 of this Form 10-K.</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maximum borrowing capacity under our $600.0 million senior secured revolving credit facility (“2022 Singapore Revolver”) is limited to a base amount equal to the lesser of: (1) $600.0 million; or (2) $250.0 million plus a variable amount equal to 37.5% of our consolidated accounts receivable balance. As of December 31, 2024, we had availability of $600.0 million. As of December 31, 2024, our foreign subsidiaries also had $60.0 million available to be borrowed under term loan credit facilities. For additional information regarding the 2022 Singapore Revolver, please refer to Note 11 to our Consolidated Financial Statements in Part II, Item 8 of this Form 10-K.</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we had debt of $1,159.5 million, with $236.0 million payable within 12 months. As of December 31, 2024, the interest payment obligations, based on stated coupon rates for fixed rate debt and interest rates applicable at December 31, 2024 for variable rate debt, were $134.0 million during the remaining term of the debt. Interest payment obligations payable within 12 months is $49.9 million. We were in compliance with all debt covenants as of December 31, 2024, and we expect to remain in compliance with these covenants for at least the next 12 months. For additional information regarding our debt arrangements, please refer to Note 11 to our Consolidated Financial Statements in Part II, Item 8 of this Form 10-K.</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our debt agreements have restrictions on dividend payments and the repurchase of stock and subordinated securities. These restrictions are determined in part by our covenant compliance and on calculations based upon cumulative net income and do not currently have a material impact on our ability to make dividend payments or stock repurchases.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debt of Amkor Technology, Inc. is structurally subordinated in right of payment to all existing and future debt and other liabilities of our subsidiaries. From time to time, Amkor Technology, Inc., Amkor Technology Taiwan Ltd. (“ATT”), Amkor Advanced Technology Taiwan, Inc. (“AATT”) and Amkor Technology Singapore Holding Pte. Ltd. (“ATSH”) guarantee certain debt of our subsidiaries.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reduce our debt and future cash interest payments, we may from time to time repurchase or redeem our outstanding senior notes for cash or exchange shares of our common stock for our outstanding senior notes. Any such transaction may be made in the open market, through privately negotiated transactions or otherwise, and would be subject to the terms of our indentures and other debt agreements, market conditions and other factors.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lease certain machinery and equipment, office space and manufacturing facilities. As of December 31, 2024, our total remaining operating lease obligations and finance lease obligations were $98.5 million and $204.4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respectively, with $30.9 million and $65.7 million payable within 12 months, respectively. The lease obligations represent our future minimum lease payments including interest payments. For additional information regarding our leases, please refer to Note 9 to our Consolidated Financial Statements in Part II, Item 8 of this Form 10-K.</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had off-balance sheet purchase obligations for capital expenditures, long-term supply contracts and other contractual commitments. As of December 31, 2024, the purchase obligations were $476.8 million, with $425.1 million payable within 12 months.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Returns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2022, we announced our intention to return 40 percent to 50 percent of cumulative free cash flow generated over time, beginning 2022. This return may be in the form of dividends and stock repurchases, subject to a variety of factors, including strategic investments, other capital allocation priorities and Board of Directors’ approval.</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2024, we paid total cash dividends of $178.6 million, and we currently anticipate that we will continue to pay quarterly cash dividends in the future. However, the payment, amount and timing of future dividends remain within the discretion of our Board of Directors and will depend upon our results of operations, financial condition, cash requirements, debt restrictions and other factors.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make significant capital expenditures in order to service the demand of our customers. In 2024, our capital expenditures totaled $743.8 million or approximately 11.8% of net sales, which are primarily focused on investments in advanced packaging and test equipment.</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expect that our 2025 capital expenditures will be approximately $850 million, approximately 5% to 10% of which we expect to spend on the construction of the Arizona Facility. Ultimately, the amount of our 2025 capital expenditures will depend on several factors including, among others, the timing and implementation of any capital projects under review, including the commencement of construction for the Arizona Facility, the performance of our business, economic and market conditions, the cash needs and investment opportunities for the business, the need for additional capacity to service anticipated customer demand, equipment lead times and the availability of cash flows from operations or financing. The primary sources of funds for our capital expenditures are cash flows from operations, current cash and cash equivalents, short-term investments, borrowings under available credit facilities and proceeds from any additional debt or equity financings. Please refer to Note 6 and Note 11 to our Consolidated Financial Statements in Part II, Item 8 of this Form 10-K for additional information on our investments and borrowings, respectively.</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are subject to risks associated with our capital expenditures, including those discussed in Part I, Item 1A of this Form 10-K under the caption “We make substantial investments in equipment and facilities to support the demand of our customers, which may materially and adversely affect our business if the demand of our customers does not develop as we expect or is adversely affected.”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(used in) operating, investing and financing activities for each of the three years ended December 31, 2024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80" w:type="dxa"/>
            <w:vAlign w:val="bottom"/>
            <w:gridSpan w:val="4"/>
          </w:tcPr>
          <w:p>
            <w:pPr>
              <w:jc w:val="center"/>
              <w:ind w:left="677"/>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20" w:type="dxa"/>
            <w:vAlign w:val="bottom"/>
          </w:tcPr>
          <w:p>
            <w:pPr>
              <w:spacing w:after="0"/>
              <w:rPr>
                <w:sz w:val="16"/>
                <w:szCs w:val="16"/>
                <w:color w:val="auto"/>
              </w:rPr>
            </w:pPr>
          </w:p>
        </w:tc>
      </w:tr>
      <w:tr>
        <w:trPr>
          <w:trHeight w:val="23"/>
        </w:trPr>
        <w:tc>
          <w:tcPr>
            <w:tcW w:w="6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1,088,868</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1,270,020</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1,098,756</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(800,324)</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(951,910)</w:t>
            </w: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(1,007,169)</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(260,432)</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(149,207)</w:t>
            </w: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Our cash flow provided by operating activities for the year ended December 31, 2024 decreased by $181.2 million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December 31, 2023, primarily due to changes in working capital and lower operating profits.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Our cash flow used in investing activities for the year ended December 31, 2024 decreased by $151.6 million compared to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2023, primarily due to lower net payments for short-term investment activity.</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The net cash used in financing activities for the year ended December 31, 2024 and 2023 was primarily due to the payments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payments of finance lease obligations and net debt repayments.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provide the following supplemental data to assist our investors and analysts in understanding our liquidity and capital resources. We define “free cash flow” as net cash provided by operating activities less payments for property, plant and equipment, plus proceeds from the sale of, insurance recovery for and grants for property, plant and equipment, if applicable. Free cash flow is not defined by U.S. GAAP. We believe free cash flow to be relevant and useful information to our investors because it provides them with additional information in assessing our liquidity, capital resources and financial operating results. Our management uses free cash flow in evaluating our liquidity, our ability to service debt, our ability to fund capital expenditures and our ability to pay dividends and the amount of dividends to be paid. However, free cash flow has certain limitations, including that it does not represent the residual cash flow available for discretionary expenditures since other, non-discretionary expenditures, such as mandatory debt service, are not deducted from the measure. The amount of mandatory versus discretionary expenditures can vary significantly between periods. This measure should be considered in addition to, and not as a substitute for, or superior to, other measures of liquidity or financial performance prepared in accordance with U.S. GAAP, such as net cash provided by operating activities. Furthermore, our definition of free cash flow may not be comparable to similarly titled measures reported by other companies.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80" w:type="dxa"/>
            <w:vAlign w:val="bottom"/>
            <w:gridSpan w:val="6"/>
          </w:tcPr>
          <w:p>
            <w:pPr>
              <w:jc w:val="center"/>
              <w:ind w:left="676"/>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20" w:type="dxa"/>
            <w:vAlign w:val="bottom"/>
          </w:tcPr>
          <w:p>
            <w:pPr>
              <w:spacing w:after="0"/>
              <w:rPr>
                <w:sz w:val="16"/>
                <w:szCs w:val="16"/>
                <w:color w:val="auto"/>
              </w:rPr>
            </w:pPr>
          </w:p>
        </w:tc>
      </w:tr>
      <w:tr>
        <w:trPr>
          <w:trHeight w:val="23"/>
        </w:trPr>
        <w:tc>
          <w:tcPr>
            <w:tcW w:w="6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1,088,868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1,270,020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1,098,756</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for property, plant and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(743,796)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(749,467)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(908,294)</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and grants for property, plant and equipment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359,275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533,585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193,610</w:t>
            </w:r>
          </w:p>
        </w:tc>
      </w:tr>
      <w:tr>
        <w:trPr>
          <w:trHeight w:val="20"/>
        </w:trPr>
        <w:tc>
          <w:tcPr>
            <w:tcW w:w="6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 Indemnifications and Guarantees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Please refer to Note 17 to our Consolidated Financial Statements in Part II, Item 8 of this Form 10-K for a discussion of contingencies related to litigation and other legal matters.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identified the policies below as critical to our business operations and the understanding of our results of operations. A summary of our significant accounting policies used in the preparation of our Consolidated Financial Statements appears in Note 1 to our Consolidated Financial Statements included in Part II, Item 8 of this Form 10-K. Our preparation of this Form 10-K requires us to make estimates and assumptions that affect the reported amount of assets and liabilities, disclosure of contingent assets and liabilities at the date of our financial statements and the reported amounts of revenue and expenses during the reporting period. There can be no assurance that actual results will not differ from those estimates, including the impact of any deterioration in the global business and economic environment.</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the following critical accounting estimates and policies, which have been reviewed with the Audit Committee of our Board of Directors, affect our more significant judgments and estimates used in the preparation of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We recognize revenue, net of sales, use, value-added and other similar taxes, as a performance obligation is satisfied in an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reflecting the consideration to which we expect to be entitled. We apply a five-step approach in determining the amount and timing of revenue to be recognized: (1) identifying the contract with a customer; (2) identifying the performance obligations in the contract; (3) determining the transaction price;</w:t>
      </w:r>
    </w:p>
    <w:p>
      <w:pPr>
        <w:spacing w:after="0" w:line="1" w:lineRule="exact"/>
        <w:rPr>
          <w:sz w:val="20"/>
          <w:szCs w:val="20"/>
          <w:color w:val="auto"/>
        </w:rPr>
      </w:pPr>
    </w:p>
    <w:p>
      <w:pPr>
        <w:ind w:firstLine="8"/>
        <w:spacing w:after="0" w:line="260" w:lineRule="auto"/>
        <w:tabs>
          <w:tab w:leader="none" w:pos="25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the performance obligations in the contract; and (5) recognizing revenue when the performance obligation is satisfied. Substantially all of our revenue is recognized as services are rendered.</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packaging and test services are our performance obligations to our customers. Our packaging services include wafer bump, probe and assembly. We provide packaging and test services to our customers either individually or as part of a combined offering. In a combined offering, we account for the individual services separately if they are determined to be distinct. We determine a service to be distinct if it is separately identifiable from other services in the combined offering and if a customer can benefit from the unique service on its own or with other resources that are readily available to the customer.</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consideration, including variable consideration, is allocated between the distinct services in a combined offering based upon the stand-alone selling prices of the individual services. Our services involve a high degree of specialization which are unique based on the design and purpose of the customer’s wafers. Accordingly, our negotiated pricing reflects the customized nature of our services and represents a customer-specific stand-alone selling price. We recognize revenue as services are rendered, which generally occurs over the course of two to three weeks. Services are generally billed at completion of each individual packaging or test service or in some instances at the completion of all services in a combined offering.</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revenue over time as services are rendered because our services create or enhance the customer’s wafer. We utilize an input method (cost incurred plus estimated margin) to determine the amount of revenue to recognize for in-process, but incomplete, customer orders at a reporting date. During the period of providing our services, we generally do not control or take ownership of customers’ wafers, nor do we include the cost of the wafer in our cost calculations. We believe that a cost-based input method is the most appropriate manner to measure how we satisfy our performance obligations to customers because the effort and costs incurred to package and/or test customer wafers are not linear over the duration of these services.</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Shipping and handling costs are accounted for as a cost to fulfill our performance obligations to customers. Accordingly, we record customer payments of shipping and handling costs as a component of net sales, and the costs incurred for shipping and handling are then charged to cost of sales.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We operate in and file income tax returns in various U.S. and non-U.S. jurisdictions which are subject to examination by tax authorities.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returns for years where the statute of limitations remains open in all jurisdictions in which we do business are subject to change upon examination. We believe that we have estimated and provided adequate accruals for potential additional taxes and related interest expense that may ultimately result from such examinations. We believe that any additional taxes or related interest over the amounts accrued will not have a material effect on our financial condition, results of operations or cash flows. However, resolution of these matters involves uncertainties, and there can be no assurance that the outcomes will be favorable. In addition, changes in the mix of income from our foreign subsidiaries, expiration of conditional reduced tax rates or changes in tax laws or regulations could result in increased tax expense and effective tax rates in the future.</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 planning strategies and results of recent operations. With the exception of a certain foreign jurisdiction and select U.S. and foreign carryforwards, we consider it more likely than not that we will have sufficient taxable income to allow us to realize these deferred tax assets. However, in the event taxable income falls short of current expectations, we may need to establish a valuation allowance against such deferred tax assets. We have valuation allowances on certain U.S. foreign tax credit carryforwards expected to expire unused and on select deferred tax assets in certain foreign jurisdictions. Such valuation allowances are released as the related tax benefits are realized or when sufficient evidence exists to conclude that it is more likely than not that the deferred tax assets will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Valuation of Inventory. </w:t>
      </w:r>
      <w:r>
        <w:rPr>
          <w:rFonts w:ascii="Times New Roman" w:cs="Times New Roman" w:eastAsia="Times New Roman" w:hAnsi="Times New Roman"/>
          <w:sz w:val="18"/>
          <w:szCs w:val="18"/>
          <w:color w:val="auto"/>
        </w:rPr>
        <w:t>We order raw materials based on customers’ forecasted demand. If our customers change their forecasted requirements and 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unable to cancel our raw materials order, or if our vendors require that we order a minimum quantity that exceeds the current forecasted demand, we will experience a build-up in raw material inventory. We will either seek to recover the cost of the materials from our customers or utilize the inventory in production. However, we may not be successful in recovering the cost from our customers or be able to use the inventory in production and, accordingly, if we believe that it is probable that we will not be able to recover such costs, we reduce the carrying value of our inventory. Additionally, we reduce the carrying value of our inventories by the cost of inventory we estimate is excess and obsolete based on the age of our inventories. When a determination is made that the inventory will not be utilized in production or is not saleable, it is written off. The forecast of demand and the evaluation of inventory recoverability require estimates and judgment. Although we make an effort to ensure forecasted demand and estimates of inventory are accurate, any unanticipated changes could have a material effect on our financial condition and result of operations.</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Inventories consist of raw materials and purchased components and are stated at the lower of cost and net realizable value. Cost is principally determined by standard cost or the weighted moving average method, both of which approximate actual cost. For inventory valued using the standard cost method, we review and set our standard costs as needed, but at a minimum on a quarterly basis.</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Valuation of Long-lived Assets. </w:t>
      </w:r>
      <w:r>
        <w:rPr>
          <w:rFonts w:ascii="Times New Roman" w:cs="Times New Roman" w:eastAsia="Times New Roman" w:hAnsi="Times New Roman"/>
          <w:sz w:val="18"/>
          <w:szCs w:val="18"/>
          <w:color w:val="auto"/>
        </w:rPr>
        <w:t>We review long-lived assets, which include property, plant and equipment and goodwill, for impairment whenever events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circumstances indicate that the carrying amount may not be recoverable. Factors we consider important which could trigger an impairment review include the following:</w:t>
      </w:r>
    </w:p>
    <w:p>
      <w:pPr>
        <w:spacing w:after="0" w:line="202"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under-performance relative to expected historical or projected future operating results;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the manner of our use of the asset;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industry or economic trends;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capitalization relative to net book value.</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Recoverability of a long-lived asset group to be held and used in operations is measured by a comparison of the carrying amount to the sum of the undiscounted cash flows expected to result from the use and eventual disposition of the asset group. If such asset group is considered to be impaired, the impairment loss is measured as the amount by which the carrying amount of the asset group exceeds its fair value. Long-lived assets to be disposed of are carried at the lower of cost or fair value less the costs of disposal.</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review goodwill for impairment annually during the fourth quarter of each year and whenever events or changes in circumstances indicate that an impairment may exist. Impairment losses are recorded when the carrying amount of the reporting unit exceeds its fair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Standards</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information regarding recently adopted and recently issued accounting standards, please refer to Note 1 to our Consolidated Financial Statements in Part II, Item 8 of this Annual Report on Form 10-K.</w:t>
      </w:r>
    </w:p>
    <w:p>
      <w:pPr>
        <w:spacing w:after="0" w:line="18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Sensitivity</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exposed to market risks, primarily related to foreign currency and interest rate fluctuations. In the normal course of business, we employ established policies and procedures to manage the exposure to fluctuations in foreign currency values and changes in interest rates.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U.S. dollar is our reporting and functional currency for our subsidiaries, except for our Japan operations, where the Japanese yen is the functional currency. In order to reduce our exposure to foreign currency gains and losses, we use natural hedging techniques and forward contracts to mitigate foreign currency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foreign currency exchange rate risk associated with the remeasurement of monetary assets and liabilities on our Consolidated Balance Sheets that are denominated in currencies other than the functional currency. We performed a sensitivity analysis of our foreign currency exposure as of December 31, 2024, to assess the potential impact of fluctuations in exchange rates for all foreign denominated assets and liabilities. Assuming that all foreign currencies appreciated 10% against the U.S. dollar and taking into account our foreign currency forward contracts, our income before taxes as of December 31, 2024 would have been approximately $11 million lower, due to the remeasurement of monetary assets and liabilities.</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we have foreign currency exchange rate exposure on our results of operations. For the year ended December 31, 2024, approximately 90% of our net sales were denominated in U.S. dollars. Our remaining net sales were principally denominated in Japanese yen. For the year ended December 31, 2024, approximately 60% of our cost of sales and operating expenses were denominated in U.S. dollars and were largely for raw materials and costs associated with property, plant and equipment. The remaining portion of our cost of sales and operating expenses was principally denominated in the Asian currencies where our production facilities are located and largely consisted of labor. To the extent that the U.S. dollar weakens against these Asian-based currencies, similar foreign currency denominated income and expenses in the future will result in higher sales, higher cost of sales and operating expenses, with cost of sales and operating expenses having the greater impact on our financial results. Similarly, our sales, cost of sales and operating expenses will decrease if the U.S. dollar strengthens against these foreign currencies. We performed a sensitivity analysis of our foreign currency exposure as of December 31, 2024 to assess the potential impact of fluctuations in exchange rates for all foreign denominated sales and operating expenses. Assuming that all foreign currencies appreciated 10% against the U.S. dollar, our operating income for the year ended December 31, 2024 would have been approximately $148 million lower.</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inherent limitations in the sensitivity analysis presented, primarily the assumption that foreign exchange rate movements across multiple jurisdictions would change instantaneously in an equal fashion. As a result, the analysis is unable to reflect the potential effects of more complex market or other changes that could arise which may positively or negatively affect our results of operations.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are impacted by changes in exchange rates at the entity where the local currency is the functional currency. To mitigate this impact, we started to hedge certain net investment positions in foreign subsidiaries by entering into foreign currency forward contracts that are designated as hedges of net investments beginning in April 2024. The effect of foreign exchange rate translation for these entities, inclusive of our foreign currency forward contracts, was a loss of $8.8 million and $3.8 million for the years ended December 31, 2024 and 2023, respectively, and was recognized as an adjustment to equity through other comprehensive income (loss).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interest rate risk with respect to our available-for-sale debt investments. Our investment portfolio consists of various security types and maturities, with our portfolio primarily having maturities of one year or less. Our primary objective with our investment portfolio is to invest available cash while preserving capital and meeting liquidity needs. These securities are subject to interest rate risk and will decrease in value if market interest rates increase. Due to the relatively short-term nature of our investment portfolio, we believe that an immediate increase in interest rates will not have a material impact on the fair value of our available-for-sale debt investments. For information regarding our available-for-sale debt investments, see Note 6 to our Consolidated Financial Statements in Part II, Item 8 of this Form 10-K.</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have interest rate risk with respect to our debt. Our fixed and variable rate debt includes foreign borrowings, revolving credit facilities and senior notes. Changes in interest rates have different impacts on the fixed and variable rate portions of our debt portfolio. A change in interest rates on the fixed portion of the debt portfolio impacts the fair value of the debt instrument but has no impact on interest expense or cash flows. A change in interest rates on the variable portion of the debt portfolio impacts the interest incurred and cash flows but will not have a material impact on the fair value of the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interest rates, maturities and fair value of our fixed and variable rate debt as of December 31, 2024: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40" w:type="dxa"/>
            <w:vAlign w:val="bottom"/>
          </w:tcPr>
          <w:p>
            <w:pPr>
              <w:spacing w:after="0"/>
              <w:rPr>
                <w:sz w:val="16"/>
                <w:szCs w:val="16"/>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9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1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1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9"/>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rate debt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144,529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130,662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638,995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94,020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21,756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1,029,962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1,017,507</w:t>
            </w:r>
          </w:p>
        </w:tc>
      </w:tr>
      <w:tr>
        <w:trPr>
          <w:trHeight w:val="195"/>
        </w:trPr>
        <w:tc>
          <w:tcPr>
            <w:tcW w:w="1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0"/>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Variable rate debt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91,500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43,000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134,500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133,873</w:t>
            </w:r>
          </w:p>
        </w:tc>
      </w:tr>
      <w:tr>
        <w:trPr>
          <w:trHeight w:val="196"/>
        </w:trPr>
        <w:tc>
          <w:tcPr>
            <w:tcW w:w="1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7"/>
                <w:szCs w:val="17"/>
                <w:color w:val="auto"/>
              </w:rPr>
            </w:pP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7"/>
                <w:szCs w:val="17"/>
                <w:color w:val="auto"/>
              </w:rPr>
            </w:pP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7"/>
                <w:szCs w:val="17"/>
                <w:color w:val="auto"/>
              </w:rPr>
            </w:pPr>
          </w:p>
        </w:tc>
        <w:tc>
          <w:tcPr>
            <w:tcW w:w="108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8"/>
        </w:trPr>
        <w:tc>
          <w:tcPr>
            <w:tcW w:w="1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debt maturities</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236,029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173,662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638,995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94,020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21,756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1,164,462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1,151,380</w:t>
            </w: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regarding the fair value of our long-term debt, see Note 16 to our Consolidated Financial Statements in Part II, Item 8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 and Supplementary Data</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 present the information required by Item 8 of Form 10-K here in the following order:</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760" w:type="dxa"/>
            <w:vAlign w:val="bottom"/>
          </w:tcPr>
          <w:p>
            <w:pPr>
              <w:spacing w:after="0"/>
              <w:rPr>
                <w:sz w:val="24"/>
                <w:szCs w:val="24"/>
                <w:color w:val="auto"/>
              </w:rPr>
            </w:pPr>
          </w:p>
        </w:tc>
        <w:tc>
          <w:tcPr>
            <w:tcW w:w="9780" w:type="dxa"/>
            <w:vAlign w:val="bottom"/>
          </w:tcPr>
          <w:p>
            <w:pPr>
              <w:spacing w:after="0"/>
              <w:rPr>
                <w:sz w:val="24"/>
                <w:szCs w:val="24"/>
                <w:color w:val="auto"/>
              </w:rPr>
            </w:pP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(PCAOB ID 238)</w:t>
            </w: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0540" w:type="dxa"/>
            <w:vAlign w:val="bottom"/>
            <w:gridSpan w:val="2"/>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10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Consolidated Statements of Income — Years ended December 31, 2024, 2023 and 2022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10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Consolidated Statements of Comprehensive Income — Years ended December 31, 2024, 2023 and 2022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10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Consolidated Balance Sheets — December 31, 2024 and 2023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10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Consolidated Statements of Stockholders’ Equity — Years ended December 31, 2024, 2023 and 2022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9"/>
        </w:trPr>
        <w:tc>
          <w:tcPr>
            <w:tcW w:w="10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Consolidated Statements of Cash Flows — Years ended December 31, 2024, 2023 and 2022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10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4"/>
        </w:trPr>
        <w:tc>
          <w:tcPr>
            <w:tcW w:w="10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Schedule II — Valuation and Qualifying Accounts — Years ended December 31, 2024, 2023 and 2022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Amkor Technology,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Amkor Technology, Inc. and its subsidiaries (the “Company”) as of December 31, 2024 and 2023, and the related consolidated statements of income, of comprehensive income, of stockholders’ equity and of cash flows for each of the three years in the period ended December 31, 2024, including the related notes and schedule of valuation and qualifying accounts for each of the three years in the period ended December 31, 2024 appearing under Item 8 (collectively referred to as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Income Taxes</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described in Notes 1 and 4 to the consolidated financial statements, the Company recorded income tax expense of $75.5 million for the year ended December 31, 2024, and net deferred tax assets of $55.9 million and unrecognized tax benefits of $36.3 million as of December 31, 2024. Income taxes are accounted for using the asset and liability method. Under this method, deferred income tax assets and liabilities are recognized for the future tax consequences attributable to temporary differences between the financial statement carrying amounts of existing assets and liabilities and their respective tax basis as well as for net operating loss and tax credit carryforwards. Management monitors on an ongoing basis its ability to utilize deferred tax assets and whether there is a need for a related valuation allowance. In evaluating the ability to recover deferred tax assets in the jurisdictions from which they arise, management considers all available positive and negative evidence, including scheduled reversals of deferred tax liabilities, projected future taxable income, tax-planning strategies and recent results of operations. The Company operates in and files income tax returns in various U.S. and foreign jurisdictions, which are subject to examination by tax authorities. Years open to examination contain matters that could be subject to differing interpretations of applicable tax laws and regulations related to the amount and/or timing of income, deductions and tax credits.</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accounting for income taxes is a critical audit matter are the significant judgment by management in determining the income tax provision and other tax positions. This in turn led to a high degree of auditor judgment, subjectivity and effort in performing procedures and in evaluating audit evidence relating to income taxes. The audit effort involved the use of professionals with specialized skill and knowledge to assist in evaluating the audit evidence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accounting for income taxes, including the controls addressing the completeness and accuracy of the data utilized. These procedures also included, among others (i) testing the income tax provision calculation and underlying data, including the effective tax rate reconciliation, significant return to provision adjustments, and permanent and temporary differences, (ii) evaluating management’s assessment of the realizability of deferred tax assets on a jurisdictional basis, (iii) evaluating the identification of reserves for unrecognized tax benefits and the reasonableness of the “more likely than not” determination considering the jurisdictions, court decisions, legislative actions, statute of limitations, and developments in tax examinations, and (iv) using professionals with specialized skill and knowledge to assist in evaluating the reasonableness of management’s judgment and estimates, including application of foreign and domestic tax laws and regulations.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Phoenix, Arizona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2025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40" w:type="dxa"/>
            <w:vAlign w:val="bottom"/>
            <w:gridSpan w:val="6"/>
          </w:tcPr>
          <w:p>
            <w:pPr>
              <w:jc w:val="center"/>
              <w:ind w:left="612"/>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7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6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340" w:type="dxa"/>
            <w:vAlign w:val="bottom"/>
            <w:gridSpan w:val="6"/>
          </w:tcPr>
          <w:p>
            <w:pPr>
              <w:jc w:val="center"/>
              <w:ind w:left="612"/>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6,317,692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6,503,065</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7,091,585</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5,384,480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5,559,912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5,761,598</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933,212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943,153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1,329,987</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295,393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283,372</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162,951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177,473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149,429</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494,757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472,866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432,801</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470,287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897,186</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58,563</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(18,309)</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expense,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40,254</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Income before taxes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443,841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856,932</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75,481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81,710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89,890</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767,042</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Amkor</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765,823</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Amkor per common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6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8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Shares used in computing per common share amounts: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245,628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244,676</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247,176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246,205</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80" w:type="dxa"/>
            <w:vAlign w:val="bottom"/>
            <w:gridSpan w:val="6"/>
          </w:tcPr>
          <w:p>
            <w:pPr>
              <w:jc w:val="center"/>
              <w:ind w:left="674"/>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20" w:type="dxa"/>
            <w:vAlign w:val="bottom"/>
          </w:tcPr>
          <w:p>
            <w:pPr>
              <w:spacing w:after="0"/>
              <w:rPr>
                <w:sz w:val="16"/>
                <w:szCs w:val="16"/>
                <w:color w:val="auto"/>
              </w:rPr>
            </w:pPr>
          </w:p>
        </w:tc>
      </w:tr>
      <w:tr>
        <w:trPr>
          <w:trHeight w:val="23"/>
        </w:trPr>
        <w:tc>
          <w:tcPr>
            <w:tcW w:w="6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355,535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362,131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767,042</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6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Adjustments to net unrealized gains (losses) on available-for-sale debt investments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r>
      <w:tr>
        <w:trPr>
          <w:trHeight w:val="229"/>
        </w:trPr>
        <w:tc>
          <w:tcPr>
            <w:tcW w:w="6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Adjustments to unrealized components of defined benefit pension plans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8,604</w:t>
            </w:r>
          </w:p>
        </w:tc>
      </w:tr>
      <w:tr>
        <w:trPr>
          <w:trHeight w:val="230"/>
        </w:trPr>
        <w:tc>
          <w:tcPr>
            <w:tcW w:w="6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(10,658)</w:t>
            </w:r>
          </w:p>
        </w:tc>
      </w:tr>
      <w:tr>
        <w:trPr>
          <w:trHeight w:val="223"/>
        </w:trPr>
        <w:tc>
          <w:tcPr>
            <w:tcW w:w="64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(3,279)</w:t>
            </w: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763,763</w:t>
            </w:r>
          </w:p>
        </w:tc>
      </w:tr>
      <w:tr>
        <w:trPr>
          <w:trHeight w:val="229"/>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Amkor</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762,544</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center"/>
              <w:ind w:lef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37"/>
        </w:trPr>
        <w:tc>
          <w:tcPr>
            <w:tcW w:w="8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00" w:type="dxa"/>
            <w:vAlign w:val="bottom"/>
            <w:gridSpan w:val="3"/>
          </w:tcPr>
          <w:p>
            <w:pPr>
              <w:jc w:val="center"/>
              <w:ind w:left="540"/>
              <w:spacing w:after="0" w:line="137"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8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60" w:type="dxa"/>
            <w:vAlign w:val="bottom"/>
            <w:gridSpan w:val="4"/>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except per share data)</w:t>
            </w:r>
          </w:p>
        </w:tc>
        <w:tc>
          <w:tcPr>
            <w:tcW w:w="0" w:type="dxa"/>
            <w:vAlign w:val="bottom"/>
          </w:tcPr>
          <w:p>
            <w:pPr>
              <w:spacing w:after="0"/>
              <w:rPr>
                <w:sz w:val="1"/>
                <w:szCs w:val="1"/>
                <w:color w:val="auto"/>
              </w:rPr>
            </w:pPr>
          </w:p>
        </w:tc>
      </w:tr>
      <w:tr>
        <w:trPr>
          <w:trHeight w:val="221"/>
        </w:trPr>
        <w:tc>
          <w:tcPr>
            <w:tcW w:w="8220" w:type="dxa"/>
            <w:vAlign w:val="bottom"/>
            <w:shd w:val="clear" w:color="auto" w:fill="CCEEFF"/>
          </w:tcPr>
          <w:p>
            <w:pPr>
              <w:ind w:left="38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1,133,553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1,119,818</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investments (amortized cost of $513,494 and $474,663, respectively)</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512,984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474,869</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allowances of $1,318 and $8,114, respectively</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1,055,013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1,149,493</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310,910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393,128</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61,012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58,502</w:t>
            </w:r>
          </w:p>
        </w:tc>
        <w:tc>
          <w:tcPr>
            <w:tcW w:w="0" w:type="dxa"/>
            <w:vAlign w:val="bottom"/>
          </w:tcPr>
          <w:p>
            <w:pPr>
              <w:spacing w:after="0"/>
              <w:rPr>
                <w:sz w:val="1"/>
                <w:szCs w:val="1"/>
                <w:color w:val="auto"/>
              </w:rPr>
            </w:pPr>
          </w:p>
        </w:tc>
      </w:tr>
      <w:tr>
        <w:trPr>
          <w:trHeight w:val="207"/>
        </w:trPr>
        <w:tc>
          <w:tcPr>
            <w:tcW w:w="8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3,073,472</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3,195,810</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3,576,148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3,299,445</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 of use assets</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109,730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117,006</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17,947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20,003</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166,272</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138,062</w:t>
            </w:r>
          </w:p>
        </w:tc>
        <w:tc>
          <w:tcPr>
            <w:tcW w:w="0" w:type="dxa"/>
            <w:vAlign w:val="bottom"/>
          </w:tcPr>
          <w:p>
            <w:pPr>
              <w:spacing w:after="0"/>
              <w:rPr>
                <w:sz w:val="1"/>
                <w:szCs w:val="1"/>
                <w:color w:val="auto"/>
              </w:rPr>
            </w:pPr>
          </w:p>
        </w:tc>
      </w:tr>
      <w:tr>
        <w:trPr>
          <w:trHeight w:val="212"/>
        </w:trPr>
        <w:tc>
          <w:tcPr>
            <w:tcW w:w="8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assets</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6,944,328</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6,771,125</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20" w:type="dxa"/>
            <w:vAlign w:val="bottom"/>
            <w:shd w:val="clear" w:color="auto" w:fill="CCEEFF"/>
          </w:tcPr>
          <w:p>
            <w:pPr>
              <w:ind w:left="308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Short-term borrowings and current portion of long-term debt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236,029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131,624</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Trade accounts payable</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712,887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754,453</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 payable</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123,195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106,368</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operating lease liability</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26,827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33,616</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expenses</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356,337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358,414</w:t>
            </w:r>
          </w:p>
        </w:tc>
        <w:tc>
          <w:tcPr>
            <w:tcW w:w="0" w:type="dxa"/>
            <w:vAlign w:val="bottom"/>
          </w:tcPr>
          <w:p>
            <w:pPr>
              <w:spacing w:after="0"/>
              <w:rPr>
                <w:sz w:val="1"/>
                <w:szCs w:val="1"/>
                <w:color w:val="auto"/>
              </w:rPr>
            </w:pPr>
          </w:p>
        </w:tc>
      </w:tr>
      <w:tr>
        <w:trPr>
          <w:trHeight w:val="207"/>
        </w:trPr>
        <w:tc>
          <w:tcPr>
            <w:tcW w:w="8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1,455,275</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1,384,475</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923,431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1,071,832</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and severance obligations</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70,594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87,133</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57,983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56,837</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253,880</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175,813</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2,761,163</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2,776,090</w:t>
            </w:r>
          </w:p>
        </w:tc>
        <w:tc>
          <w:tcPr>
            <w:tcW w:w="0" w:type="dxa"/>
            <w:vAlign w:val="bottom"/>
          </w:tcPr>
          <w:p>
            <w:pPr>
              <w:spacing w:after="0"/>
              <w:rPr>
                <w:sz w:val="1"/>
                <w:szCs w:val="1"/>
                <w:color w:val="auto"/>
              </w:rPr>
            </w:pPr>
          </w:p>
        </w:tc>
      </w:tr>
      <w:tr>
        <w:trPr>
          <w:trHeight w:val="19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17)</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Preferred stock, $0.001 par value, 10,000 shares authorized, designated Series A, none issued</w:t>
            </w:r>
          </w:p>
        </w:tc>
        <w:tc>
          <w:tcPr>
            <w:tcW w:w="3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8220" w:type="dxa"/>
            <w:vAlign w:val="bottom"/>
            <w:shd w:val="clear" w:color="auto" w:fill="CCEEFF"/>
          </w:tcPr>
          <w:p>
            <w:pPr>
              <w:ind w:left="480"/>
              <w:spacing w:after="0" w:line="165" w:lineRule="exact"/>
              <w:rPr>
                <w:sz w:val="20"/>
                <w:szCs w:val="20"/>
                <w:color w:val="auto"/>
              </w:rPr>
            </w:pPr>
            <w:r>
              <w:rPr>
                <w:rFonts w:ascii="Times New Roman" w:cs="Times New Roman" w:eastAsia="Times New Roman" w:hAnsi="Times New Roman"/>
                <w:sz w:val="16"/>
                <w:szCs w:val="16"/>
                <w:color w:val="auto"/>
              </w:rPr>
              <w:t>Common stock, $0.001 par value, 500,000 shares authorized, 293,052 and 292,167 shares issued, and 246,684 and</w:t>
            </w:r>
          </w:p>
        </w:tc>
        <w:tc>
          <w:tcPr>
            <w:tcW w:w="3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245,888 shares outstanding, respectively</w:t>
            </w:r>
          </w:p>
        </w:tc>
        <w:tc>
          <w:tcPr>
            <w:tcW w:w="3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2,031,643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2,008,170</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2,335,132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2,159,831</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16,350</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Treasury stock, at cost, 46,368 and 46,279 shares, respectively</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(225,033)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(222,335)</w:t>
            </w:r>
          </w:p>
        </w:tc>
        <w:tc>
          <w:tcPr>
            <w:tcW w:w="0" w:type="dxa"/>
            <w:vAlign w:val="bottom"/>
          </w:tcPr>
          <w:p>
            <w:pPr>
              <w:spacing w:after="0"/>
              <w:rPr>
                <w:sz w:val="1"/>
                <w:szCs w:val="1"/>
                <w:color w:val="auto"/>
              </w:rPr>
            </w:pPr>
          </w:p>
        </w:tc>
      </w:tr>
      <w:tr>
        <w:trPr>
          <w:trHeight w:val="207"/>
        </w:trPr>
        <w:tc>
          <w:tcPr>
            <w:tcW w:w="8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Amkor stockholders’ equity</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4,149,545</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3,962,308</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 in subsidiaries</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33,620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32,727</w:t>
            </w:r>
          </w:p>
        </w:tc>
        <w:tc>
          <w:tcPr>
            <w:tcW w:w="0" w:type="dxa"/>
            <w:vAlign w:val="bottom"/>
          </w:tcPr>
          <w:p>
            <w:pPr>
              <w:spacing w:after="0"/>
              <w:rPr>
                <w:sz w:val="1"/>
                <w:szCs w:val="1"/>
                <w:color w:val="auto"/>
              </w:rPr>
            </w:pPr>
          </w:p>
        </w:tc>
      </w:tr>
      <w:tr>
        <w:trPr>
          <w:trHeight w:val="207"/>
        </w:trPr>
        <w:tc>
          <w:tcPr>
            <w:tcW w:w="82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equity</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4,183,165</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3,995,035</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6,944,328</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6,771,125</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700" w:type="dxa"/>
            <w:vAlign w:val="bottom"/>
          </w:tcPr>
          <w:p>
            <w:pPr>
              <w:spacing w:after="0"/>
              <w:rPr>
                <w:sz w:val="10"/>
                <w:szCs w:val="10"/>
                <w:color w:val="auto"/>
              </w:rPr>
            </w:pPr>
          </w:p>
        </w:tc>
        <w:tc>
          <w:tcPr>
            <w:tcW w:w="1580" w:type="dxa"/>
            <w:vAlign w:val="bottom"/>
            <w:gridSpan w:val="5"/>
          </w:tcPr>
          <w:p>
            <w:pPr>
              <w:ind w:left="380"/>
              <w:spacing w:after="0" w:line="122"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680" w:type="dxa"/>
            <w:vAlign w:val="bottom"/>
            <w:gridSpan w:val="5"/>
          </w:tcPr>
          <w:p>
            <w:pPr>
              <w:ind w:left="440"/>
              <w:spacing w:after="0" w:line="122" w:lineRule="exact"/>
              <w:rPr>
                <w:sz w:val="20"/>
                <w:szCs w:val="20"/>
                <w:color w:val="auto"/>
              </w:rPr>
            </w:pPr>
            <w:r>
              <w:rPr>
                <w:rFonts w:ascii="Times New Roman" w:cs="Times New Roman" w:eastAsia="Times New Roman" w:hAnsi="Times New Roman"/>
                <w:sz w:val="11"/>
                <w:szCs w:val="11"/>
                <w:b w:val="1"/>
                <w:bCs w:val="1"/>
                <w:color w:val="auto"/>
              </w:rPr>
              <w:t>Treasury Stock</w:t>
            </w:r>
          </w:p>
        </w:tc>
        <w:tc>
          <w:tcPr>
            <w:tcW w:w="120" w:type="dxa"/>
            <w:vAlign w:val="bottom"/>
          </w:tcPr>
          <w:p>
            <w:pPr>
              <w:spacing w:after="0"/>
              <w:rPr>
                <w:sz w:val="10"/>
                <w:szCs w:val="10"/>
                <w:color w:val="auto"/>
              </w:rPr>
            </w:pPr>
          </w:p>
        </w:tc>
        <w:tc>
          <w:tcPr>
            <w:tcW w:w="9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Total Amkor</w:t>
            </w:r>
          </w:p>
        </w:tc>
        <w:tc>
          <w:tcPr>
            <w:tcW w:w="140" w:type="dxa"/>
            <w:vAlign w:val="bottom"/>
          </w:tcPr>
          <w:p>
            <w:pPr>
              <w:spacing w:after="0"/>
              <w:rPr>
                <w:sz w:val="10"/>
                <w:szCs w:val="10"/>
                <w:color w:val="auto"/>
              </w:rPr>
            </w:pPr>
          </w:p>
        </w:tc>
        <w:tc>
          <w:tcPr>
            <w:tcW w:w="100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Noncontrolling</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70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3"/>
            <w:vMerge w:val="restart"/>
          </w:tcPr>
          <w:p>
            <w:pPr>
              <w:jc w:val="center"/>
              <w:ind w:right="120"/>
              <w:spacing w:after="0" w:line="95" w:lineRule="exact"/>
              <w:rPr>
                <w:sz w:val="20"/>
                <w:szCs w:val="20"/>
                <w:color w:val="auto"/>
              </w:rPr>
            </w:pPr>
            <w:r>
              <w:rPr>
                <w:rFonts w:ascii="Times New Roman" w:cs="Times New Roman" w:eastAsia="Times New Roman" w:hAnsi="Times New Roman"/>
                <w:sz w:val="10"/>
                <w:szCs w:val="10"/>
                <w:b w:val="1"/>
                <w:bCs w:val="1"/>
                <w:color w:val="auto"/>
              </w:rPr>
              <w:t>Additional Paid-</w:t>
            </w: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jc w:val="center"/>
              <w:ind w:right="220"/>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restart"/>
          </w:tcPr>
          <w:p>
            <w:pPr>
              <w:jc w:val="center"/>
              <w:ind w:right="220"/>
              <w:spacing w:after="0" w:line="95"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140" w:type="dxa"/>
            <w:vAlign w:val="bottom"/>
          </w:tcPr>
          <w:p>
            <w:pPr>
              <w:spacing w:after="0"/>
              <w:rPr>
                <w:sz w:val="4"/>
                <w:szCs w:val="4"/>
                <w:color w:val="auto"/>
              </w:rPr>
            </w:pPr>
          </w:p>
        </w:tc>
        <w:tc>
          <w:tcPr>
            <w:tcW w:w="1000" w:type="dxa"/>
            <w:vAlign w:val="bottom"/>
            <w:gridSpan w:val="2"/>
            <w:vMerge w:val="restart"/>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Interest in</w:t>
            </w:r>
          </w:p>
        </w:tc>
        <w:tc>
          <w:tcPr>
            <w:tcW w:w="180" w:type="dxa"/>
            <w:vAlign w:val="bottom"/>
          </w:tcPr>
          <w:p>
            <w:pPr>
              <w:spacing w:after="0"/>
              <w:rPr>
                <w:sz w:val="4"/>
                <w:szCs w:val="4"/>
                <w:color w:val="auto"/>
              </w:rPr>
            </w:pPr>
          </w:p>
        </w:tc>
        <w:tc>
          <w:tcPr>
            <w:tcW w:w="700" w:type="dxa"/>
            <w:vAlign w:val="bottom"/>
            <w:vMerge w:val="restart"/>
          </w:tcPr>
          <w:p>
            <w:pPr>
              <w:jc w:val="right"/>
              <w:ind w:right="258"/>
              <w:spacing w:after="0" w:line="95"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line="20" w:lineRule="exact"/>
              <w:rPr>
                <w:sz w:val="1"/>
                <w:szCs w:val="1"/>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Par Value</w:t>
            </w:r>
          </w:p>
        </w:tc>
        <w:tc>
          <w:tcPr>
            <w:tcW w:w="1000" w:type="dxa"/>
            <w:vAlign w:val="bottom"/>
            <w:gridSpan w:val="3"/>
            <w:vMerge w:val="continue"/>
          </w:tcPr>
          <w:p>
            <w:pPr>
              <w:spacing w:after="0" w:line="20" w:lineRule="exact"/>
              <w:rPr>
                <w:sz w:val="1"/>
                <w:szCs w:val="1"/>
                <w:color w:val="auto"/>
              </w:rPr>
            </w:pPr>
          </w:p>
        </w:tc>
        <w:tc>
          <w:tcPr>
            <w:tcW w:w="1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14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7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line="20" w:lineRule="exact"/>
              <w:rPr>
                <w:sz w:val="1"/>
                <w:szCs w:val="1"/>
                <w:color w:val="auto"/>
              </w:rPr>
            </w:pP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2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00" w:type="dxa"/>
            <w:vAlign w:val="bottom"/>
          </w:tcPr>
          <w:p>
            <w:pPr>
              <w:spacing w:after="0"/>
              <w:rPr>
                <w:sz w:val="13"/>
                <w:szCs w:val="13"/>
                <w:color w:val="auto"/>
              </w:rPr>
            </w:pPr>
          </w:p>
        </w:tc>
        <w:tc>
          <w:tcPr>
            <w:tcW w:w="76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In Capital</w:t>
            </w:r>
          </w:p>
        </w:tc>
        <w:tc>
          <w:tcPr>
            <w:tcW w:w="1040" w:type="dxa"/>
            <w:vAlign w:val="bottom"/>
            <w:tcBorders>
              <w:bottom w:val="single" w:sz="8" w:color="auto"/>
            </w:tcBorders>
            <w:gridSpan w:val="3"/>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Income (Loss)</w:t>
            </w:r>
          </w:p>
        </w:tc>
        <w:tc>
          <w:tcPr>
            <w:tcW w:w="760" w:type="dxa"/>
            <w:vAlign w:val="bottom"/>
            <w:tcBorders>
              <w:bottom w:val="single" w:sz="8" w:color="auto"/>
            </w:tcBorders>
            <w:gridSpan w:val="2"/>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Subsidiaries</w:t>
            </w: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2"/>
        </w:trPr>
        <w:tc>
          <w:tcPr>
            <w:tcW w:w="1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4"/>
          </w:tcPr>
          <w:p>
            <w:pPr>
              <w:ind w:left="68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70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b w:val="1"/>
                <w:bCs w:val="1"/>
                <w:color w:val="auto"/>
              </w:rPr>
              <w:t>Balance at December 31,</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2021</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290,466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1,977,134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1,163,939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19,978</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(46,151)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(219,065)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2,942,276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30,270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2,972,546</w:t>
            </w:r>
          </w:p>
        </w:tc>
        <w:tc>
          <w:tcPr>
            <w:tcW w:w="0" w:type="dxa"/>
            <w:vAlign w:val="bottom"/>
          </w:tcPr>
          <w:p>
            <w:pPr>
              <w:spacing w:after="0"/>
              <w:rPr>
                <w:sz w:val="1"/>
                <w:szCs w:val="1"/>
                <w:color w:val="auto"/>
              </w:rPr>
            </w:pPr>
          </w:p>
        </w:tc>
      </w:tr>
      <w:tr>
        <w:trPr>
          <w:trHeight w:val="170"/>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income</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765,823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765,823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767,042</w:t>
            </w:r>
          </w:p>
        </w:tc>
        <w:tc>
          <w:tcPr>
            <w:tcW w:w="0" w:type="dxa"/>
            <w:vAlign w:val="bottom"/>
          </w:tcPr>
          <w:p>
            <w:pPr>
              <w:spacing w:after="0"/>
              <w:rPr>
                <w:sz w:val="1"/>
                <w:szCs w:val="1"/>
                <w:color w:val="auto"/>
              </w:rPr>
            </w:pPr>
          </w:p>
        </w:tc>
      </w:tr>
      <w:tr>
        <w:trPr>
          <w:trHeight w:val="127"/>
        </w:trPr>
        <w:tc>
          <w:tcPr>
            <w:tcW w:w="170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3"/>
                <w:szCs w:val="13"/>
                <w:color w:val="auto"/>
                <w:w w:val="97"/>
              </w:rPr>
              <w:t>Other comprehensive income</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(loss)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(3,279)</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(3,279)</w:t>
            </w:r>
          </w:p>
        </w:tc>
        <w:tc>
          <w:tcPr>
            <w:tcW w:w="0" w:type="dxa"/>
            <w:vAlign w:val="bottom"/>
          </w:tcPr>
          <w:p>
            <w:pPr>
              <w:spacing w:after="0"/>
              <w:rPr>
                <w:sz w:val="1"/>
                <w:szCs w:val="1"/>
                <w:color w:val="auto"/>
              </w:rPr>
            </w:pPr>
          </w:p>
        </w:tc>
      </w:tr>
      <w:tr>
        <w:trPr>
          <w:trHeight w:val="122"/>
        </w:trPr>
        <w:tc>
          <w:tcPr>
            <w:tcW w:w="170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Treasury stock acquired</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70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rPr>
              <w:t>through surrender of shares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 tax withholding</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0" w:type="dxa"/>
            <w:vAlign w:val="bottom"/>
          </w:tcPr>
          <w:p>
            <w:pPr>
              <w:spacing w:after="0"/>
              <w:rPr>
                <w:sz w:val="1"/>
                <w:szCs w:val="1"/>
                <w:color w:val="auto"/>
              </w:rPr>
            </w:pPr>
          </w:p>
        </w:tc>
      </w:tr>
      <w:tr>
        <w:trPr>
          <w:trHeight w:val="129"/>
        </w:trPr>
        <w:tc>
          <w:tcPr>
            <w:tcW w:w="1700" w:type="dxa"/>
            <w:vAlign w:val="bottom"/>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Issuance of stock through</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share-based compensation</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plans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5,648</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5,649</w:t>
            </w:r>
          </w:p>
        </w:tc>
        <w:tc>
          <w:tcPr>
            <w:tcW w:w="0" w:type="dxa"/>
            <w:vAlign w:val="bottom"/>
          </w:tcPr>
          <w:p>
            <w:pPr>
              <w:spacing w:after="0"/>
              <w:rPr>
                <w:sz w:val="1"/>
                <w:szCs w:val="1"/>
                <w:color w:val="auto"/>
              </w:rPr>
            </w:pPr>
          </w:p>
        </w:tc>
      </w:tr>
      <w:tr>
        <w:trPr>
          <w:trHeight w:val="170"/>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Share-based compensation</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13,562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13,562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13,562</w:t>
            </w:r>
          </w:p>
        </w:tc>
        <w:tc>
          <w:tcPr>
            <w:tcW w:w="0" w:type="dxa"/>
            <w:vAlign w:val="bottom"/>
          </w:tcPr>
          <w:p>
            <w:pPr>
              <w:spacing w:after="0"/>
              <w:rPr>
                <w:sz w:val="1"/>
                <w:szCs w:val="1"/>
                <w:color w:val="auto"/>
              </w:rPr>
            </w:pPr>
          </w:p>
        </w:tc>
      </w:tr>
      <w:tr>
        <w:trPr>
          <w:trHeight w:val="127"/>
        </w:trPr>
        <w:tc>
          <w:tcPr>
            <w:tcW w:w="170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3"/>
                <w:szCs w:val="13"/>
                <w:color w:val="auto"/>
              </w:rPr>
              <w:t>Cash dividends declared</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($0.225 per common share)</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(55,118)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(55,118)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(55,118)</w:t>
            </w:r>
          </w:p>
        </w:tc>
        <w:tc>
          <w:tcPr>
            <w:tcW w:w="0" w:type="dxa"/>
            <w:vAlign w:val="bottom"/>
          </w:tcPr>
          <w:p>
            <w:pPr>
              <w:spacing w:after="0"/>
              <w:rPr>
                <w:sz w:val="1"/>
                <w:szCs w:val="1"/>
                <w:color w:val="auto"/>
              </w:rPr>
            </w:pPr>
          </w:p>
        </w:tc>
      </w:tr>
      <w:tr>
        <w:trPr>
          <w:trHeight w:val="122"/>
        </w:trPr>
        <w:tc>
          <w:tcPr>
            <w:tcW w:w="170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Subsidiary dividends to</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w:t>
            </w:r>
          </w:p>
        </w:tc>
        <w:tc>
          <w:tcPr>
            <w:tcW w:w="0" w:type="dxa"/>
            <w:vAlign w:val="bottom"/>
          </w:tcPr>
          <w:p>
            <w:pPr>
              <w:spacing w:after="0"/>
              <w:rPr>
                <w:sz w:val="1"/>
                <w:szCs w:val="1"/>
                <w:color w:val="auto"/>
              </w:rPr>
            </w:pPr>
          </w:p>
        </w:tc>
      </w:tr>
      <w:tr>
        <w:trPr>
          <w:trHeight w:val="108"/>
        </w:trPr>
        <w:tc>
          <w:tcPr>
            <w:tcW w:w="1700" w:type="dxa"/>
            <w:vAlign w:val="bottom"/>
            <w:tcBorders>
              <w:top w:val="single" w:sz="8" w:color="CCEEFF"/>
            </w:tcBorders>
            <w:shd w:val="clear" w:color="auto" w:fill="CCEEFF"/>
          </w:tcPr>
          <w:p>
            <w:pPr>
              <w:ind w:left="180"/>
              <w:spacing w:after="0" w:line="108" w:lineRule="exact"/>
              <w:rPr>
                <w:sz w:val="20"/>
                <w:szCs w:val="20"/>
                <w:color w:val="auto"/>
              </w:rPr>
            </w:pPr>
            <w:r>
              <w:rPr>
                <w:rFonts w:ascii="Times New Roman" w:cs="Times New Roman" w:eastAsia="Times New Roman" w:hAnsi="Times New Roman"/>
                <w:sz w:val="12"/>
                <w:szCs w:val="12"/>
                <w:b w:val="1"/>
                <w:bCs w:val="1"/>
                <w:color w:val="auto"/>
              </w:rPr>
              <w:t>Balance at December 31,</w:t>
            </w:r>
          </w:p>
        </w:tc>
        <w:tc>
          <w:tcPr>
            <w:tcW w:w="6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2022</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291,249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1,996,344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1,874,644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16,699</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(46,158)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(219,226)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3,668,752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30,949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3,699,701</w:t>
            </w:r>
          </w:p>
        </w:tc>
        <w:tc>
          <w:tcPr>
            <w:tcW w:w="0" w:type="dxa"/>
            <w:vAlign w:val="bottom"/>
          </w:tcPr>
          <w:p>
            <w:pPr>
              <w:spacing w:after="0"/>
              <w:rPr>
                <w:sz w:val="1"/>
                <w:szCs w:val="1"/>
                <w:color w:val="auto"/>
              </w:rPr>
            </w:pPr>
          </w:p>
        </w:tc>
      </w:tr>
      <w:tr>
        <w:trPr>
          <w:trHeight w:val="170"/>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income</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359,813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359,813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362,131</w:t>
            </w:r>
          </w:p>
        </w:tc>
        <w:tc>
          <w:tcPr>
            <w:tcW w:w="0" w:type="dxa"/>
            <w:vAlign w:val="bottom"/>
          </w:tcPr>
          <w:p>
            <w:pPr>
              <w:spacing w:after="0"/>
              <w:rPr>
                <w:sz w:val="1"/>
                <w:szCs w:val="1"/>
                <w:color w:val="auto"/>
              </w:rPr>
            </w:pPr>
          </w:p>
        </w:tc>
      </w:tr>
      <w:tr>
        <w:trPr>
          <w:trHeight w:val="127"/>
        </w:trPr>
        <w:tc>
          <w:tcPr>
            <w:tcW w:w="170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3"/>
                <w:szCs w:val="13"/>
                <w:color w:val="auto"/>
                <w:w w:val="97"/>
              </w:rPr>
              <w:t>Other comprehensive income</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(loss)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w:t>
            </w:r>
          </w:p>
        </w:tc>
        <w:tc>
          <w:tcPr>
            <w:tcW w:w="0" w:type="dxa"/>
            <w:vAlign w:val="bottom"/>
          </w:tcPr>
          <w:p>
            <w:pPr>
              <w:spacing w:after="0"/>
              <w:rPr>
                <w:sz w:val="1"/>
                <w:szCs w:val="1"/>
                <w:color w:val="auto"/>
              </w:rPr>
            </w:pPr>
          </w:p>
        </w:tc>
      </w:tr>
      <w:tr>
        <w:trPr>
          <w:trHeight w:val="122"/>
        </w:trPr>
        <w:tc>
          <w:tcPr>
            <w:tcW w:w="170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Treasury stock acquired</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70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rPr>
              <w:t>through surrender of shares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 tax withholding</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(3,109)</w:t>
            </w:r>
          </w:p>
        </w:tc>
        <w:tc>
          <w:tcPr>
            <w:tcW w:w="0" w:type="dxa"/>
            <w:vAlign w:val="bottom"/>
          </w:tcPr>
          <w:p>
            <w:pPr>
              <w:spacing w:after="0"/>
              <w:rPr>
                <w:sz w:val="1"/>
                <w:szCs w:val="1"/>
                <w:color w:val="auto"/>
              </w:rPr>
            </w:pPr>
          </w:p>
        </w:tc>
      </w:tr>
      <w:tr>
        <w:trPr>
          <w:trHeight w:val="129"/>
        </w:trPr>
        <w:tc>
          <w:tcPr>
            <w:tcW w:w="1700" w:type="dxa"/>
            <w:vAlign w:val="bottom"/>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Issuance of stock through</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share-based compensation</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plans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3,550</w:t>
            </w:r>
          </w:p>
        </w:tc>
        <w:tc>
          <w:tcPr>
            <w:tcW w:w="0" w:type="dxa"/>
            <w:vAlign w:val="bottom"/>
          </w:tcPr>
          <w:p>
            <w:pPr>
              <w:spacing w:after="0"/>
              <w:rPr>
                <w:sz w:val="1"/>
                <w:szCs w:val="1"/>
                <w:color w:val="auto"/>
              </w:rPr>
            </w:pPr>
          </w:p>
        </w:tc>
      </w:tr>
      <w:tr>
        <w:trPr>
          <w:trHeight w:val="170"/>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Share-based compensation</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8,277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8,277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8,277</w:t>
            </w:r>
          </w:p>
        </w:tc>
        <w:tc>
          <w:tcPr>
            <w:tcW w:w="0" w:type="dxa"/>
            <w:vAlign w:val="bottom"/>
          </w:tcPr>
          <w:p>
            <w:pPr>
              <w:spacing w:after="0"/>
              <w:rPr>
                <w:sz w:val="1"/>
                <w:szCs w:val="1"/>
                <w:color w:val="auto"/>
              </w:rPr>
            </w:pPr>
          </w:p>
        </w:tc>
      </w:tr>
      <w:tr>
        <w:trPr>
          <w:trHeight w:val="127"/>
        </w:trPr>
        <w:tc>
          <w:tcPr>
            <w:tcW w:w="170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3"/>
                <w:szCs w:val="13"/>
                <w:color w:val="auto"/>
              </w:rPr>
              <w:t>Cash dividends declared</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($0.30375 per common</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share)</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(74,626)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(74,626)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(74,626)</w:t>
            </w:r>
          </w:p>
        </w:tc>
        <w:tc>
          <w:tcPr>
            <w:tcW w:w="0" w:type="dxa"/>
            <w:vAlign w:val="bottom"/>
          </w:tcPr>
          <w:p>
            <w:pPr>
              <w:spacing w:after="0"/>
              <w:rPr>
                <w:sz w:val="1"/>
                <w:szCs w:val="1"/>
                <w:color w:val="auto"/>
              </w:rPr>
            </w:pPr>
          </w:p>
        </w:tc>
      </w:tr>
      <w:tr>
        <w:trPr>
          <w:trHeight w:val="121"/>
        </w:trPr>
        <w:tc>
          <w:tcPr>
            <w:tcW w:w="170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Subsidiary dividends to</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w:t>
            </w:r>
          </w:p>
        </w:tc>
        <w:tc>
          <w:tcPr>
            <w:tcW w:w="0" w:type="dxa"/>
            <w:vAlign w:val="bottom"/>
          </w:tcPr>
          <w:p>
            <w:pPr>
              <w:spacing w:after="0"/>
              <w:rPr>
                <w:sz w:val="1"/>
                <w:szCs w:val="1"/>
                <w:color w:val="auto"/>
              </w:rPr>
            </w:pPr>
          </w:p>
        </w:tc>
      </w:tr>
      <w:tr>
        <w:trPr>
          <w:trHeight w:val="108"/>
        </w:trPr>
        <w:tc>
          <w:tcPr>
            <w:tcW w:w="1700" w:type="dxa"/>
            <w:vAlign w:val="bottom"/>
            <w:tcBorders>
              <w:top w:val="single" w:sz="8" w:color="CCEEFF"/>
            </w:tcBorders>
            <w:shd w:val="clear" w:color="auto" w:fill="CCEEFF"/>
          </w:tcPr>
          <w:p>
            <w:pPr>
              <w:ind w:left="180"/>
              <w:spacing w:after="0" w:line="108" w:lineRule="exact"/>
              <w:rPr>
                <w:sz w:val="20"/>
                <w:szCs w:val="20"/>
                <w:color w:val="auto"/>
              </w:rPr>
            </w:pPr>
            <w:r>
              <w:rPr>
                <w:rFonts w:ascii="Times New Roman" w:cs="Times New Roman" w:eastAsia="Times New Roman" w:hAnsi="Times New Roman"/>
                <w:sz w:val="12"/>
                <w:szCs w:val="12"/>
                <w:b w:val="1"/>
                <w:bCs w:val="1"/>
                <w:color w:val="auto"/>
              </w:rPr>
              <w:t>Balance at December 31,</w:t>
            </w:r>
          </w:p>
        </w:tc>
        <w:tc>
          <w:tcPr>
            <w:tcW w:w="6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2023</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292,167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2,008,170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2,159,831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16,350</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(46,279)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(222,335)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3,962,308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32,727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3,995,035</w:t>
            </w:r>
          </w:p>
        </w:tc>
        <w:tc>
          <w:tcPr>
            <w:tcW w:w="0" w:type="dxa"/>
            <w:vAlign w:val="bottom"/>
          </w:tcPr>
          <w:p>
            <w:pPr>
              <w:spacing w:after="0"/>
              <w:rPr>
                <w:sz w:val="1"/>
                <w:szCs w:val="1"/>
                <w:color w:val="auto"/>
              </w:rPr>
            </w:pPr>
          </w:p>
        </w:tc>
      </w:tr>
      <w:tr>
        <w:trPr>
          <w:trHeight w:val="170"/>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income</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354,012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354,012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355,535</w:t>
            </w:r>
          </w:p>
        </w:tc>
        <w:tc>
          <w:tcPr>
            <w:tcW w:w="0" w:type="dxa"/>
            <w:vAlign w:val="bottom"/>
          </w:tcPr>
          <w:p>
            <w:pPr>
              <w:spacing w:after="0"/>
              <w:rPr>
                <w:sz w:val="1"/>
                <w:szCs w:val="1"/>
                <w:color w:val="auto"/>
              </w:rPr>
            </w:pPr>
          </w:p>
        </w:tc>
      </w:tr>
      <w:tr>
        <w:trPr>
          <w:trHeight w:val="127"/>
        </w:trPr>
        <w:tc>
          <w:tcPr>
            <w:tcW w:w="170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3"/>
                <w:szCs w:val="13"/>
                <w:color w:val="auto"/>
                <w:w w:val="97"/>
              </w:rPr>
              <w:t>Other comprehensive income</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(loss)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(8,840)</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(8,840)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(8,840)</w:t>
            </w:r>
          </w:p>
        </w:tc>
        <w:tc>
          <w:tcPr>
            <w:tcW w:w="0" w:type="dxa"/>
            <w:vAlign w:val="bottom"/>
          </w:tcPr>
          <w:p>
            <w:pPr>
              <w:spacing w:after="0"/>
              <w:rPr>
                <w:sz w:val="1"/>
                <w:szCs w:val="1"/>
                <w:color w:val="auto"/>
              </w:rPr>
            </w:pPr>
          </w:p>
        </w:tc>
      </w:tr>
      <w:tr>
        <w:trPr>
          <w:trHeight w:val="122"/>
        </w:trPr>
        <w:tc>
          <w:tcPr>
            <w:tcW w:w="170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Treasury stock acquired</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70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rPr>
              <w:t>through surrender of shares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 tax withholding</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(2,698)</w:t>
            </w: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Issuance of stock through</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share-based compensation</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plans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5,103</w:t>
            </w:r>
          </w:p>
        </w:tc>
        <w:tc>
          <w:tcPr>
            <w:tcW w:w="0" w:type="dxa"/>
            <w:vAlign w:val="bottom"/>
          </w:tcPr>
          <w:p>
            <w:pPr>
              <w:spacing w:after="0"/>
              <w:rPr>
                <w:sz w:val="1"/>
                <w:szCs w:val="1"/>
                <w:color w:val="auto"/>
              </w:rPr>
            </w:pPr>
          </w:p>
        </w:tc>
      </w:tr>
      <w:tr>
        <w:trPr>
          <w:trHeight w:val="170"/>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Share-based compensation</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18,371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18,371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18,371</w:t>
            </w:r>
          </w:p>
        </w:tc>
        <w:tc>
          <w:tcPr>
            <w:tcW w:w="0" w:type="dxa"/>
            <w:vAlign w:val="bottom"/>
          </w:tcPr>
          <w:p>
            <w:pPr>
              <w:spacing w:after="0"/>
              <w:rPr>
                <w:sz w:val="1"/>
                <w:szCs w:val="1"/>
                <w:color w:val="auto"/>
              </w:rPr>
            </w:pPr>
          </w:p>
        </w:tc>
      </w:tr>
      <w:tr>
        <w:trPr>
          <w:trHeight w:val="127"/>
        </w:trPr>
        <w:tc>
          <w:tcPr>
            <w:tcW w:w="170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3"/>
                <w:szCs w:val="13"/>
                <w:color w:val="auto"/>
              </w:rPr>
              <w:t>Cash dividends declared</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($0.72440 per common</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share)</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(178,711)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(178,711)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(178,711)</w:t>
            </w:r>
          </w:p>
        </w:tc>
        <w:tc>
          <w:tcPr>
            <w:tcW w:w="0" w:type="dxa"/>
            <w:vAlign w:val="bottom"/>
          </w:tcPr>
          <w:p>
            <w:pPr>
              <w:spacing w:after="0"/>
              <w:rPr>
                <w:sz w:val="1"/>
                <w:szCs w:val="1"/>
                <w:color w:val="auto"/>
              </w:rPr>
            </w:pPr>
          </w:p>
        </w:tc>
      </w:tr>
      <w:tr>
        <w:trPr>
          <w:trHeight w:val="121"/>
        </w:trPr>
        <w:tc>
          <w:tcPr>
            <w:tcW w:w="170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Subsidiary dividends to</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w:t>
            </w:r>
          </w:p>
        </w:tc>
        <w:tc>
          <w:tcPr>
            <w:tcW w:w="0" w:type="dxa"/>
            <w:vAlign w:val="bottom"/>
          </w:tcPr>
          <w:p>
            <w:pPr>
              <w:spacing w:after="0"/>
              <w:rPr>
                <w:sz w:val="1"/>
                <w:szCs w:val="1"/>
                <w:color w:val="auto"/>
              </w:rPr>
            </w:pPr>
          </w:p>
        </w:tc>
      </w:tr>
      <w:tr>
        <w:trPr>
          <w:trHeight w:val="108"/>
        </w:trPr>
        <w:tc>
          <w:tcPr>
            <w:tcW w:w="1700" w:type="dxa"/>
            <w:vAlign w:val="bottom"/>
            <w:tcBorders>
              <w:top w:val="single" w:sz="8" w:color="CCEEFF"/>
            </w:tcBorders>
            <w:shd w:val="clear" w:color="auto" w:fill="CCEEFF"/>
          </w:tcPr>
          <w:p>
            <w:pPr>
              <w:ind w:left="180"/>
              <w:spacing w:after="0" w:line="108" w:lineRule="exact"/>
              <w:rPr>
                <w:sz w:val="20"/>
                <w:szCs w:val="20"/>
                <w:color w:val="auto"/>
              </w:rPr>
            </w:pPr>
            <w:r>
              <w:rPr>
                <w:rFonts w:ascii="Times New Roman" w:cs="Times New Roman" w:eastAsia="Times New Roman" w:hAnsi="Times New Roman"/>
                <w:sz w:val="12"/>
                <w:szCs w:val="12"/>
                <w:b w:val="1"/>
                <w:bCs w:val="1"/>
                <w:color w:val="auto"/>
              </w:rPr>
              <w:t>Balance at December 31,</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293,052</w:t>
            </w: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2,031,643</w:t>
            </w:r>
          </w:p>
        </w:tc>
        <w:tc>
          <w:tcPr>
            <w:tcW w:w="12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2,335,132</w:t>
            </w: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7,510</w:t>
            </w:r>
          </w:p>
        </w:tc>
        <w:tc>
          <w:tcPr>
            <w:tcW w:w="10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(46,368)</w:t>
            </w: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(225,033)</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4,149,545</w:t>
            </w: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33,620</w:t>
            </w: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4,183,165</w:t>
            </w:r>
          </w:p>
        </w:tc>
        <w:tc>
          <w:tcPr>
            <w:tcW w:w="0" w:type="dxa"/>
            <w:vAlign w:val="bottom"/>
          </w:tcPr>
          <w:p>
            <w:pPr>
              <w:spacing w:after="0"/>
              <w:rPr>
                <w:sz w:val="1"/>
                <w:szCs w:val="1"/>
                <w:color w:val="auto"/>
              </w:rPr>
            </w:pPr>
          </w:p>
        </w:tc>
      </w:tr>
      <w:tr>
        <w:trPr>
          <w:trHeight w:val="182"/>
        </w:trPr>
        <w:tc>
          <w:tcPr>
            <w:tcW w:w="1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2024</w:t>
            </w: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6"/>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020" w:type="dxa"/>
            <w:vAlign w:val="bottom"/>
            <w:tcBorders>
              <w:bottom w:val="single" w:sz="8" w:color="auto"/>
            </w:tcBorders>
          </w:tcPr>
          <w:p>
            <w:pPr>
              <w:spacing w:after="0"/>
              <w:rPr>
                <w:sz w:val="18"/>
                <w:szCs w:val="18"/>
                <w:color w:val="auto"/>
              </w:rPr>
            </w:pPr>
          </w:p>
        </w:tc>
      </w:tr>
      <w:tr>
        <w:trPr>
          <w:trHeight w:val="211"/>
        </w:trPr>
        <w:tc>
          <w:tcPr>
            <w:tcW w:w="66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0"/>
        </w:trPr>
        <w:tc>
          <w:tcPr>
            <w:tcW w:w="6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355,535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362,131</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767,042</w:t>
            </w:r>
          </w:p>
        </w:tc>
      </w:tr>
      <w:tr>
        <w:trPr>
          <w:trHeight w:val="219"/>
        </w:trPr>
        <w:tc>
          <w:tcPr>
            <w:tcW w:w="6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66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594,663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631,508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612,702</w:t>
            </w:r>
          </w:p>
        </w:tc>
      </w:tr>
      <w:tr>
        <w:trPr>
          <w:trHeight w:val="219"/>
        </w:trPr>
        <w:tc>
          <w:tcPr>
            <w:tcW w:w="6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Amortization of deferred debt issuance costs and premiums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3,247</w:t>
            </w:r>
          </w:p>
        </w:tc>
      </w:tr>
      <w:tr>
        <w:trPr>
          <w:trHeight w:val="213"/>
        </w:trPr>
        <w:tc>
          <w:tcPr>
            <w:tcW w:w="66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(11,623)</w:t>
            </w:r>
          </w:p>
        </w:tc>
      </w:tr>
      <w:tr>
        <w:trPr>
          <w:trHeight w:val="219"/>
        </w:trPr>
        <w:tc>
          <w:tcPr>
            <w:tcW w:w="6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Gain on disposal of fixed assets,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(2,807)</w:t>
            </w:r>
          </w:p>
        </w:tc>
      </w:tr>
      <w:tr>
        <w:trPr>
          <w:trHeight w:val="213"/>
        </w:trPr>
        <w:tc>
          <w:tcPr>
            <w:tcW w:w="66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Share-based compensation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13,562</w:t>
            </w:r>
          </w:p>
        </w:tc>
      </w:tr>
      <w:tr>
        <w:trPr>
          <w:trHeight w:val="219"/>
        </w:trPr>
        <w:tc>
          <w:tcPr>
            <w:tcW w:w="6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w:t>
            </w:r>
          </w:p>
        </w:tc>
      </w:tr>
      <w:tr>
        <w:trPr>
          <w:trHeight w:val="21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6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205,491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(103,990)</w:t>
            </w:r>
          </w:p>
        </w:tc>
      </w:tr>
      <w:tr>
        <w:trPr>
          <w:trHeight w:val="213"/>
        </w:trPr>
        <w:tc>
          <w:tcPr>
            <w:tcW w:w="66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Inventories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233,797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(148,137)</w:t>
            </w:r>
          </w:p>
        </w:tc>
      </w:tr>
      <w:tr>
        <w:trPr>
          <w:trHeight w:val="219"/>
        </w:trPr>
        <w:tc>
          <w:tcPr>
            <w:tcW w:w="6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current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(23,802)</w:t>
            </w:r>
          </w:p>
        </w:tc>
      </w:tr>
      <w:tr>
        <w:trPr>
          <w:trHeight w:val="213"/>
        </w:trPr>
        <w:tc>
          <w:tcPr>
            <w:tcW w:w="66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Other assets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(34,835)</w:t>
            </w:r>
          </w:p>
        </w:tc>
      </w:tr>
      <w:tr>
        <w:trPr>
          <w:trHeight w:val="219"/>
        </w:trPr>
        <w:tc>
          <w:tcPr>
            <w:tcW w:w="6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Trade accounts payable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(134,618)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86,574</w:t>
            </w:r>
          </w:p>
        </w:tc>
      </w:tr>
      <w:tr>
        <w:trPr>
          <w:trHeight w:val="213"/>
        </w:trPr>
        <w:tc>
          <w:tcPr>
            <w:tcW w:w="66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Accrued expenses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(48,389)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(40,637)</w:t>
            </w:r>
          </w:p>
        </w:tc>
      </w:tr>
      <w:tr>
        <w:trPr>
          <w:trHeight w:val="219"/>
        </w:trPr>
        <w:tc>
          <w:tcPr>
            <w:tcW w:w="6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Pension and severance obligations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(10,547)</w:t>
            </w:r>
          </w:p>
        </w:tc>
      </w:tr>
      <w:tr>
        <w:trPr>
          <w:trHeight w:val="213"/>
        </w:trPr>
        <w:tc>
          <w:tcPr>
            <w:tcW w:w="66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operating lease ROU asset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50,650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(14,483)</w:t>
            </w:r>
          </w:p>
        </w:tc>
      </w:tr>
      <w:tr>
        <w:trPr>
          <w:trHeight w:val="219"/>
        </w:trPr>
        <w:tc>
          <w:tcPr>
            <w:tcW w:w="6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(52,543)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w:t>
            </w:r>
          </w:p>
        </w:tc>
      </w:tr>
      <w:tr>
        <w:trPr>
          <w:trHeight w:val="213"/>
        </w:trPr>
        <w:tc>
          <w:tcPr>
            <w:tcW w:w="66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(34,826)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(30,365)</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6,873</w:t>
            </w:r>
          </w:p>
        </w:tc>
      </w:tr>
      <w:tr>
        <w:trPr>
          <w:trHeight w:val="212"/>
        </w:trPr>
        <w:tc>
          <w:tcPr>
            <w:tcW w:w="6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1,088,868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1,270,020</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1,098,756</w:t>
            </w:r>
          </w:p>
        </w:tc>
      </w:tr>
      <w:tr>
        <w:trPr>
          <w:trHeight w:val="19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for property, plant and equipment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(743,796)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(749,467)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(908,294)</w:t>
            </w:r>
          </w:p>
        </w:tc>
      </w:tr>
      <w:tr>
        <w:trPr>
          <w:trHeight w:val="21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sale of property, plant and equipment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3,148</w:t>
            </w:r>
          </w:p>
        </w:tc>
      </w:tr>
      <w:tr>
        <w:trPr>
          <w:trHeight w:val="21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foreign exchange forward contracts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44,013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33,578</w:t>
            </w:r>
          </w:p>
        </w:tc>
      </w:tr>
      <w:tr>
        <w:trPr>
          <w:trHeight w:val="21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for foreign exchange forward contracts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(75,786)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(104,703)</w:t>
            </w:r>
          </w:p>
        </w:tc>
      </w:tr>
      <w:tr>
        <w:trPr>
          <w:trHeight w:val="21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for short-term investments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(568,711)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(657,583)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(438,803)</w:t>
            </w:r>
          </w:p>
        </w:tc>
      </w:tr>
      <w:tr>
        <w:trPr>
          <w:trHeight w:val="21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sale of short-term investments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94,242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33,972</w:t>
            </w:r>
          </w:p>
        </w:tc>
      </w:tr>
      <w:tr>
        <w:trPr>
          <w:trHeight w:val="21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maturities of short-term investments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474,097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379,344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370,924</w:t>
            </w:r>
          </w:p>
        </w:tc>
      </w:tr>
      <w:tr>
        <w:trPr>
          <w:trHeight w:val="213"/>
        </w:trPr>
        <w:tc>
          <w:tcPr>
            <w:tcW w:w="6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10,181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4,883</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3,009</w:t>
            </w:r>
          </w:p>
        </w:tc>
      </w:tr>
      <w:tr>
        <w:trPr>
          <w:trHeight w:val="212"/>
        </w:trPr>
        <w:tc>
          <w:tcPr>
            <w:tcW w:w="6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(800,324)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(951,910)</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(1,007,169)</w:t>
            </w:r>
          </w:p>
        </w:tc>
      </w:tr>
      <w:tr>
        <w:trPr>
          <w:trHeight w:val="19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revolving credit facilities</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370,000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80,000</w:t>
            </w:r>
          </w:p>
        </w:tc>
      </w:tr>
      <w:tr>
        <w:trPr>
          <w:trHeight w:val="21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of revolving credit facilities</w:t>
            </w:r>
          </w:p>
        </w:tc>
        <w:tc>
          <w:tcPr>
            <w:tcW w:w="3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(370,000)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(80,000)</w:t>
            </w:r>
          </w:p>
        </w:tc>
      </w:tr>
      <w:tr>
        <w:trPr>
          <w:trHeight w:val="21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short-term debt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29,711</w:t>
            </w:r>
          </w:p>
        </w:tc>
      </w:tr>
      <w:tr>
        <w:trPr>
          <w:trHeight w:val="21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of short-term debt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(27,187)</w:t>
            </w:r>
          </w:p>
        </w:tc>
      </w:tr>
      <w:tr>
        <w:trPr>
          <w:trHeight w:val="21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168,335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366,386</w:t>
            </w:r>
          </w:p>
        </w:tc>
      </w:tr>
      <w:tr>
        <w:trPr>
          <w:trHeight w:val="21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of long-term debt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(177,214)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(175,427)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(214,290)</w:t>
            </w:r>
          </w:p>
        </w:tc>
      </w:tr>
      <w:tr>
        <w:trPr>
          <w:trHeight w:val="21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for debt issuance costs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(7,297)</w:t>
            </w:r>
          </w:p>
        </w:tc>
      </w:tr>
      <w:tr>
        <w:trPr>
          <w:trHeight w:val="21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of finance lease obligations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(66,398)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(40,673)</w:t>
            </w:r>
          </w:p>
        </w:tc>
      </w:tr>
      <w:tr>
        <w:trPr>
          <w:trHeight w:val="21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issuance of stock through share-based compensation plans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5,635</w:t>
            </w:r>
          </w:p>
        </w:tc>
      </w:tr>
      <w:tr>
        <w:trPr>
          <w:trHeight w:val="21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of dividends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(178,605)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(74,686)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(55,116)</w:t>
            </w:r>
          </w:p>
        </w:tc>
      </w:tr>
      <w:tr>
        <w:trPr>
          <w:trHeight w:val="21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(1,572)</w:t>
            </w:r>
          </w:p>
        </w:tc>
      </w:tr>
      <w:tr>
        <w:trPr>
          <w:trHeight w:val="207"/>
        </w:trPr>
        <w:tc>
          <w:tcPr>
            <w:tcW w:w="6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(260,432)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(149,207)</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55,597</w:t>
            </w:r>
          </w:p>
        </w:tc>
      </w:tr>
      <w:tr>
        <w:trPr>
          <w:trHeight w:val="21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fluctuations on cash, cash equivalents and restricted cash</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(10,692)</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(16,299)</w:t>
            </w:r>
          </w:p>
        </w:tc>
      </w:tr>
      <w:tr>
        <w:trPr>
          <w:trHeight w:val="207"/>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158,211</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130,885</w:t>
            </w: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1,120,617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962,406</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831,521</w:t>
            </w:r>
          </w:p>
        </w:tc>
      </w:tr>
      <w:tr>
        <w:trPr>
          <w:trHeight w:val="212"/>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1,134,312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1,120,617</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962,406</w:t>
            </w:r>
          </w:p>
        </w:tc>
      </w:tr>
      <w:tr>
        <w:trPr>
          <w:trHeight w:val="20"/>
        </w:trPr>
        <w:tc>
          <w:tcPr>
            <w:tcW w:w="6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6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4"/>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000" w:type="dxa"/>
            <w:vAlign w:val="bottom"/>
            <w:tcBorders>
              <w:bottom w:val="single" w:sz="8" w:color="auto"/>
            </w:tcBorders>
          </w:tcPr>
          <w:p>
            <w:pPr>
              <w:spacing w:after="0"/>
              <w:rPr>
                <w:sz w:val="18"/>
                <w:szCs w:val="18"/>
                <w:color w:val="auto"/>
              </w:rPr>
            </w:pPr>
          </w:p>
        </w:tc>
      </w:tr>
      <w:tr>
        <w:trPr>
          <w:trHeight w:val="211"/>
        </w:trPr>
        <w:tc>
          <w:tcPr>
            <w:tcW w:w="66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0"/>
        </w:trPr>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6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Interest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60,263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54,306</w:t>
            </w:r>
          </w:p>
        </w:tc>
        <w:tc>
          <w:tcPr>
            <w:tcW w:w="5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54,355</w:t>
            </w:r>
          </w:p>
        </w:tc>
      </w:tr>
      <w:tr>
        <w:trPr>
          <w:trHeight w:val="213"/>
        </w:trPr>
        <w:tc>
          <w:tcPr>
            <w:tcW w:w="66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Income taxes</w:t>
            </w:r>
          </w:p>
        </w:tc>
        <w:tc>
          <w:tcPr>
            <w:tcW w:w="3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82,617</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90,458</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97,333</w:t>
            </w:r>
          </w:p>
        </w:tc>
      </w:tr>
      <w:tr>
        <w:trPr>
          <w:trHeight w:val="21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66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Property, plant and equipment included in capital expenditures payable</w:t>
            </w:r>
          </w:p>
        </w:tc>
        <w:tc>
          <w:tcPr>
            <w:tcW w:w="3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118,082</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104,109</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142,160</w:t>
            </w:r>
          </w:p>
        </w:tc>
      </w:tr>
      <w:tr>
        <w:trPr>
          <w:trHeight w:val="219"/>
        </w:trPr>
        <w:tc>
          <w:tcPr>
            <w:tcW w:w="66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Property, plant and equipment acquired through grants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32,670</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Right of use assets acquired through operating lease liabilities</w:t>
            </w:r>
          </w:p>
        </w:tc>
        <w:tc>
          <w:tcPr>
            <w:tcW w:w="3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29,541</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6,270</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64,849</w:t>
            </w:r>
          </w:p>
        </w:tc>
      </w:tr>
      <w:tr>
        <w:trPr>
          <w:trHeight w:val="219"/>
        </w:trPr>
        <w:tc>
          <w:tcPr>
            <w:tcW w:w="66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Right of use assets acquired through finance lease liabilities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149,865</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58,232</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58,166</w:t>
            </w:r>
          </w:p>
        </w:tc>
      </w:tr>
      <w:tr>
        <w:trPr>
          <w:trHeight w:val="210"/>
        </w:trPr>
        <w:tc>
          <w:tcPr>
            <w:tcW w:w="66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Grants and incentive receivables for qualified capital expenditures</w:t>
            </w:r>
          </w:p>
        </w:tc>
        <w:tc>
          <w:tcPr>
            <w:tcW w:w="3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1,403</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Amkor is the world’s largest U.S. headquartered OSAT (outsourced semiconductor assembly and test) service provider. Since its founding in 1968, Amkor has pioneered the outsourcing of IC packaging and test services and is a strategic manufacturing partner for the world’s leading semiconductor companies, foundries, and electronics OEMs. Amkor provides turnkey manufacturing services for the communication, computing, automotive and industrial and consumer markets, including smartphones, data centers, artificial intelligence, electric vehicles and wearables. Amkor’s operational base includes production facilities, research and development centers and sales and support offices located in key electronics manufacturing regions in Asia, Europe and the United States. Amkor has built a leading position by:</w:t>
      </w:r>
    </w:p>
    <w:p>
      <w:pPr>
        <w:spacing w:after="0" w:line="133" w:lineRule="exact"/>
        <w:rPr>
          <w:sz w:val="20"/>
          <w:szCs w:val="20"/>
          <w:color w:val="auto"/>
        </w:rPr>
      </w:pPr>
    </w:p>
    <w:p>
      <w:pPr>
        <w:ind w:left="66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developing innovative packaging and test technologies focused on advanced packaging solutions in high growth markets, including artificial intelligence;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expertise in high-volume manufacturing processes and developing a reputation for high quality and solid execution;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Cultivating long-standing relationships with our customers and industry partners;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on strategic end markets that offer solid growth potential;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geographically diverse operating base with manufacturing facilities in multiple countries across Asia and in Europe;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competitive cost structure through disciplined capital investment.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include the accounts of Amkor Technology, Inc. and its subsidiaries. Our Consolidated Financial Statements reflect the elimination of all significant inter-company accounts and transactions. Our investments in variable interest entities in which we are the primary beneficiary are consolidated. We reflect the remaining portion of variable interest entities and foreign subsidiaries that are not wholly owned as noncontrolling interests.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requires management to make estimates and assumptions that affect the amounts reported in the financial statements and accompanying notes. On an ongoing basis, we evaluate our estimates, including those related to revenue recognition, income taxes, inventory and long-lived assets. These estimates are based on management’s best knowledge of current events, historical experience, actions that we may undertake in the future and on various other assumptions that are believed to be reasonable under the circumstances. As a result, actual results could differ materially from these estimates and assumptions, including the impact of any deterioration in the global business and economic environment.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of Variable Interest Entities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variable interests in certain Philippine realty corporations in which we have a 40% ownership. We lease land and buildings in the Philippines from these entities and we are the primary beneficiary of these arrangements. As of December 31, 2024 and 2023, the combined book value of the assets and liabilities associated with these Philippine realty corporations included in our Consolidated Balance Sheet were $17.3 million and $0.1 million, respectively, for each period. The impact of consolidating these variable interest entities on our Consolidated Statements of Income was not significant, and other than our lease payments, we have not provided any significant assistance or other financial support to these variable interest entities for the years ended December 31, 2024, 2023 or 2022. The creditors of the Philippine realty corporations have no recourse to our general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U.S. dollar is the functional currency of our subsidiaries other than our Japan operations. The foreign currency asset and liability amounts at these subsidiaries are remeasured into U.S. dollars at end-of-period exchange rates, except for nonmonetary items which are remeasured at historical rates. Foreign currency income and expenses are remeasured at daily exchange rates, except for expenses related to balance sheet amounts which are remeasured at historical exchange rates. Exchange gains and losses arising from remeasurement of foreign currency-denominated monetary assets and liabilities are included in other (income) expense, net in the period in which they occur.</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Japanese yen is the functional currency of our Japan operations. The asset and liability amounts of our Japan operations are translated into U.S. dollars at end-of-period exchange rates. Income and expenses are translated into U.S. dollars at the daily exchange rate. The resulting translation adjustments are reported as a component of accumulated other comprehensive income (loss) in the stockholders’ equity section of the balance sheet. Assets and liabilities denominated in a currency other than the functional currency are remeasured into the functional currency prior to translation into U.S. dollars, and the resulting transaction exchange gains or losses are included in other (income) expense, net in the period in which they occur.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Concentrations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semiconductor industry is characterized by rapid technological change, competitive pricing pressures and cyclical market patterns. Our financial results are affected by a wide variety of factors, including general economic conditions worldwide, economic conditions specific to the semiconductor industry, the timely implementation of new package and test technologies, the ability to safeguard patents and intellectual property in a rapidly evolving market and reliance on materials and equipment suppliers. In addition, the semiconductor market has historically been cyclical and subject to significant economic downturns at various times. Our profitability and ability to generate cash from operations is principally dependent upon demand for semiconductors, the utilization of our capacity, semiconductor package mix, the average selling price of our services, our ability to manage our capital expenditures and our ability to control our costs including labor, material, overhead and financing costs.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significant portion of our revenues is concentrated with a small group of customers (Note 18). Direct sales to our two largest customers accounted for 30.8% and 10.2% of our net sales for the year ended December 31, 2024. The loss of a significant customer, a business combination among customers, a reduction in orders or decrease in price from a significant customer or disruption in any of our significant strategic partnerships or other commercial arrangements could have a material adverse effect on our business, liquidity, results of operations, financial condition and cash flows.</w:t>
      </w:r>
    </w:p>
    <w:p>
      <w:pPr>
        <w:spacing w:after="0" w:line="2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Financial instruments, for which we are subject to credit risk, consist principally of accounts receivable and cash, cash equivalents and short-term investments. With respect to accounts receivable, we mitigate our credit risk by selling primarily to well-established companies, performing ongoing credit evaluations and making frequent contact with customers. In addition, we may utilize non-recourse factoring when considered appropriate. We have historically mitigated our credit risk with respect to cash and cash equivalents through diversification of our holdings into various high quality money market funds and bank deposit accounts. Our short-term investments are principally investments in debt securities with maximum duration of twenty-four months and range from AAA to BB rated financial instruments. Our short-term investments are primarily in corporate bonds, direct obligations of the U.S. Government or its agencies, asset-backed securities and commercial paper. At December 31, 2024, our cash and cash equivalents were primarily maintained in various U.S. and foreign bank operating and time deposit accounts and invested in various available-for-sale debt investments. See Note 6 for further discussion regarding our available-for-sale debt investments.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 and Litigation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be subject to certain legal proceedings, lawsuits and other claims, as discussed in Note 17. We accrue for a loss contingency, including legal proceedings, lawsuits, pending claims and other legal matters, when we conclude that the likelihood of a loss is probable and the amount of the loss can be reasonably estimated. When the reasonable estimate of the loss is within a range of amounts, and no amount in the range constitutes a better estimate than any other amount,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accrue for the amount at the low end of the range. We adjust our accruals from time to time as we receive additional information, but the loss we incur may be significantly greater than or less than the amount we have accrued. We disclose loss contingencies if we believe they are material and there is at least a reasonable possibility that a loss has been incurred. Attorney fees related to legal matters are expensed as incurred.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consider all highly liquid investments with a maturity of three months or less when purchased to be cash equivalents. Our cash and cash equivalents are primarily maintained in various U.S. and foreign bank operating and time deposit accounts and invested in various available-for-sale debt investments. See Note 6 for further discussion regarding our available-for-sale debt investments.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non-current, mainly consists of collateral to fulfill utility requirements.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Generally, we classify our short-term investments in fixed income securities as available-for-sale debt investments. All of our available-for-sale debt investments as of December 31, 2024 are available to fund current operations and are recorded at fair value (Note 6). Unrealized gains and losses on our available-for-sale debt investments are included as a separate component of accumulated other comprehensive income (loss), net of tax. Realized gains and losses on our available-for-sale debt investments and declines in value judged to be an impairment are included in other (income) expense, net. The cost of short-term investments matured or sold is based on the average cost method.</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evaluate on an ongoing basis the market conditions, trends of earnings, financial condition, credit ratings, any underlying collateral and other key measures for our short-term investments in determining if and when a decline in value below the adjusted cost of our available-for-sale debt investments is an impairment. An impairment is considered if (i) we have the intent to sell the security, (ii) it is more likely than not that we will be required to sell the security before recovery of the entire amortized cost basis or (iii) we do not expect to recover the entire amortized cost basis of the security. If impairment is considered on condition (i) or (ii) above, the entire difference between the amortized cost and the fair value of the debt security is recognized in earnings. If impairment is considered based on condition (iii), the amount representing credit losses will be recognized in earnings and as an allowance for credit losses. The amount relating to all other factors will be recognized in other comprehensive income.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Inventories consist of raw materials and purchased components and are stated at the lower of cost and net realizable value. Cost is principally determined by standard cost or the weighted moving average method, both of which approximate actual cost. We review and set our standard costs as needed, but at a minimum on a quarterly basis. We reduce the carrying value of our inventories for the cost of inventory we estimate is excess and obsolete based on the age of our inventories. When a determination is made that the inventory will not be utilized in production or is not saleable, it is written-off.</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assets consist principally of prepaid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plant and equipment are stated at cost. Depreciation is calculated by the straight-line method over the estimated useful lives of depreciable assets which are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4940" w:type="dxa"/>
            <w:vAlign w:val="bottom"/>
            <w:shd w:val="clear" w:color="auto" w:fill="CCEEFF"/>
          </w:tcPr>
          <w:p>
            <w:pPr>
              <w:ind w:left="3440"/>
              <w:spacing w:after="0"/>
              <w:rPr>
                <w:sz w:val="20"/>
                <w:szCs w:val="20"/>
                <w:color w:val="auto"/>
              </w:rPr>
            </w:pPr>
            <w:r>
              <w:rPr>
                <w:rFonts w:ascii="Times New Roman" w:cs="Times New Roman" w:eastAsia="Times New Roman" w:hAnsi="Times New Roman"/>
                <w:sz w:val="18"/>
                <w:szCs w:val="18"/>
                <w:color w:val="auto"/>
              </w:rPr>
              <w:t>10 to 40 years</w:t>
            </w: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4940" w:type="dxa"/>
            <w:vAlign w:val="bottom"/>
          </w:tcPr>
          <w:p>
            <w:pPr>
              <w:ind w:left="3440"/>
              <w:spacing w:after="0"/>
              <w:rPr>
                <w:sz w:val="20"/>
                <w:szCs w:val="20"/>
                <w:color w:val="auto"/>
              </w:rPr>
            </w:pPr>
            <w:r>
              <w:rPr>
                <w:rFonts w:ascii="Times New Roman" w:cs="Times New Roman" w:eastAsia="Times New Roman" w:hAnsi="Times New Roman"/>
                <w:sz w:val="18"/>
                <w:szCs w:val="18"/>
                <w:color w:val="auto"/>
              </w:rPr>
              <w:t>2 to 7 years</w:t>
            </w: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and computer equipment</w:t>
            </w:r>
          </w:p>
        </w:tc>
        <w:tc>
          <w:tcPr>
            <w:tcW w:w="4940" w:type="dxa"/>
            <w:vAlign w:val="bottom"/>
            <w:shd w:val="clear" w:color="auto" w:fill="CCEEFF"/>
          </w:tcPr>
          <w:p>
            <w:pPr>
              <w:ind w:left="3440"/>
              <w:spacing w:after="0"/>
              <w:rPr>
                <w:sz w:val="20"/>
                <w:szCs w:val="20"/>
                <w:color w:val="auto"/>
              </w:rPr>
            </w:pPr>
            <w:r>
              <w:rPr>
                <w:rFonts w:ascii="Times New Roman" w:cs="Times New Roman" w:eastAsia="Times New Roman" w:hAnsi="Times New Roman"/>
                <w:sz w:val="18"/>
                <w:szCs w:val="18"/>
                <w:color w:val="auto"/>
              </w:rPr>
              <w:t>3 to 5 years</w:t>
            </w:r>
          </w:p>
        </w:tc>
      </w:tr>
      <w:tr>
        <w:trPr>
          <w:trHeight w:val="234"/>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other equipment</w:t>
            </w:r>
          </w:p>
        </w:tc>
        <w:tc>
          <w:tcPr>
            <w:tcW w:w="4940" w:type="dxa"/>
            <w:vAlign w:val="bottom"/>
          </w:tcPr>
          <w:p>
            <w:pPr>
              <w:ind w:left="3440"/>
              <w:spacing w:after="0"/>
              <w:rPr>
                <w:sz w:val="20"/>
                <w:szCs w:val="20"/>
                <w:color w:val="auto"/>
              </w:rPr>
            </w:pPr>
            <w:r>
              <w:rPr>
                <w:rFonts w:ascii="Times New Roman" w:cs="Times New Roman" w:eastAsia="Times New Roman" w:hAnsi="Times New Roman"/>
                <w:sz w:val="18"/>
                <w:szCs w:val="18"/>
                <w:color w:val="auto"/>
              </w:rPr>
              <w:t>4 to 10 years</w:t>
            </w:r>
          </w:p>
        </w:tc>
      </w:tr>
    </w:tbl>
    <w:p>
      <w:pPr>
        <w:spacing w:after="0" w:line="3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periodically assess the estimated useful lives of our property, plant and equipment. Based on our assessment of test equipment and its increased interchangeability enabling broader and longer use, we extended the estimated useful lives of test equipment from five years to seven years as of January 1, 2024. See Note 8 for further discussion of the estimated useful lives assessment.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and accumulated depreciation for property retired or disposed of are removed from the accounts, and any resulting gain or loss is included in earnings.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Expenditures for maintenance and repairs are charged to expense as incurred.</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review long-lived assets for impairment whenever events or changes in circumstances indicate that the carrying amount may not be recoverable. Recoverability of a long-lived asset group to be held and used in operations is measured by a comparison of the carrying amount to the sum of the undiscounted cash flows expected to result from the use and eventual disposition of the asset group. If such asset group is considered to be impaired, the impairment loss is measured as the amount by which the carrying amount of the asset group exceeds its fair value. Long-lived assets to be disposed of are carried at the lower of cost or fair value less the costs of disposal.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 Accounting</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receive grants from governmental agencies. We recognize grants in our financial statements when there is reasonable assurance that we will comply with conditions attached to the grants and the grants will be received. Government grants are recognized in earnings on a systematic basis over the periods in which the entity incurs costs for which the grants are intended to compensate.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2024, we acquired approximately 56 acres of land related to the Arizona Facility with a total fair value of $36.9 million. In connection with this acquisition, we paid $4.2 million with the remaining amount obtained as a tangible non-monetary grant subject to the construction and operation of the Arizona Facility. We initially recorded the grant as a deferred liability in other non-current liabilities, and subsequently it will be reclassified on a net basis against construction and operation costs.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2022, the U.S. government enacted the CHIPS Act, which provides funding for manufacturing grants and research investments and establishes a 25% investment tax credit for certain investments in U.S. semiconductor manufacturing. In 2024, we recorded $1.4 million of investment tax credits, which reduced the carrying amounts of the qualifying property, plant and equipment in our Consolidated Balance Sheets. These investment tax credits are recorded either as a reduction of current income taxes payable or as other assets. In December 2024, Commerce awarded us up to $407 million in direct funding pursuant to the CHIPS Act for the Arizona Facility. This award requires us to achieve construction and production milestones and restrict us from undertaking certain activities. As of December 31, 2024, no funding amounts have been received.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lease certain machinery and equipment, office space, and manufacturing facilities. Leases with an initial term of 12 months or less are not recorded on the balance sheet, and we recognize lease expense for these leases on a straight-line basis over the lease term. We combine lease components (e.g., fixed payments including rent, real estate taxes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insurance costs) with the non-lease components (e.g., common-area maintenance costs) for all asset classes. We use our incremental borrowing rate based on the information available at the lease commencement date to determine the lease liability. Our leases have remaining lease terms ranging from less than one year to 81 years. For purposes of calculating our lease liabilities, our lease terms include options to extend or terminate the lease when it is reasonably certain that we will exercise those options. Certain leases also include options or obligations to purchase the leased property. Total long-term finance lease liabilities as of December 31, 2024 and December 31, 2023 were $122.7 million and $47.8 million, respectively, and are included in other non-current liabilities.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is recorded when the cost of an acquisition exceeds the fair value of the net tangible and identifiable intangible assets acquired. We review goodwill for impairment annually during the fourth quarter of each year and whenever events or changes in circumstances indicate that an impairment may exist. Impairment losses are recorded when the carrying amount of the reporting unit exceeds its fair value. The balance of goodwill in our Consolidated Balance Sheets reflects adjustments for foreign currency translation.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 consist principally of deferred tax assets, refundable security deposits and advanced payments to vendors.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foreign exchange risk related to monetary asset and liability positions at certain subsidiaries. To mitigate the impacts of these exposures, we enter into foreign exchange forward contracts, generally settled monthly. We do not apply hedge accounting to these derivatives. The derivatives are recorded at the fair value either in other current assets or accrued expenses, with the associated gains and losses charged to other (income) expense, net in the period in which they occur. Gains and losses recognized on these derivatives are classified as operating activities and are included within other, net in our Consolidated Statements of Cash Flows.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hedge certain net investment positions in foreign subsidiaries. To accomplish this, we enter into foreign currency forward contracts, generally settled monthly, that are designated as hedges of net investments. The difference between the forward rate and the spot rate of the net investment hedge forward contracts is excluded from the assessment of hedge effectiveness and subsequently reported in other (income) expense, net on a straight-line basis over the life of the forward contracts. These gains and losses are classified as operating activities and are included within other, net in our Consolidated Statements of Cash Flows. Changes in the fair value of the forward contracts are recognized in other comprehensive income (loss) within foreign currency translation.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15 for further discussion about the derivatives.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apply fair value accounting for assets and liabilities that are recognized or disclosed at fair value in the financial statements on a recurring or nonrecurring basis. We define fair value as the price that would be received from selling an asset or paid to transfer a liability in the principal or most advantageous market for the asset or liability in an orderly transaction between market participants at the measurement date. See Note 16 for further discussion of fair value measurements.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revenue, net of sales, use, value-added and other similar taxes, as a performance obligation is satisfied in an amount reflecting the consideration to which we expect to be entitled. We apply a five-step approach in determining the amount and timing of revenue to be recognized: (1) identifying the contract with a customer; (2) identifying the performance obligations in the contract; (3) determining the transaction price; (4) allocating the transaction price to the performance obligations in the contract; and (5) recognizing revenue when the performance obligation is satisfied. Substantially all of our revenue is recognized as services are rendered.</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packaging and test services are our performance obligations to our customers. Our packaging services include wafer bump, probe and assembly. We provide packaging and test services to our customers either individually or as part of a combined offering. In a combined offering, we account for the individual services separately if they are determined to be distinct. We determine a service to be distinct if it is separately identifiable from other services in the combined offering and if a customer can benefit from the unique service on its own or with other resources that are readily available to the customer.</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consideration, including variable consideration, is allocated between the distinct services in a combined offering based upon the stand-alone selling prices of the individual services. Our services involve a high degree of specialization which are unique based on the design and purpose of the customer’s wafers. Accordingly, our negotiated pricing reflects the customized nature of our services and represents a customer-specific stand-alone selling price. We recognize revenue as services are rendered, which generally occurs over the course of two to three weeks. Services are generally billed at completion of each individual packaging or test service or in some instances at the completion of all services in a combined offering.</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revenue over time as services are rendered because our services create or enhance the customer’s wafer. We utilize an input method (cost incurred plus estimated margin) to determine the amount of revenue to recognize for in-process, but incomplete, customer orders at a reporting date. During the period of providing our services, we generally do not control or take ownership of customers’ wafers, nor do we include the cost of the wafer in our cost calculations. We believe that a cost-based input method is the most appropriate manner to measure how we satisfy our performance obligations to customers because the effort and costs incurred to package and/or test customer wafers are not linear over the duration of these services.</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Shipping and handling costs are accounted for as a cost to fulfill our performance obligations to customers. Accordingly, we record customer payments of shipping and handling costs as a component of net sales, and the costs incurred for shipping and handling are then charged to cost of sales.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Unbilled receivables are revenues that have been recognized for performance obligations that have been satisfied, or partially satisfied, in advance of billing the customer. Revenue may be recognized in advance of billing as our contracts provide us with an unconditional right to consideration for work that is performed. Total unbilled receivables as of December 31, 2024 and 2023 were $210.1 million and $260.8 million, respectively. These amounts are included in accounts receivable, net of allowances in our Consolidated Balance Sheets.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times, we receive cash payments from customers in advance of our performance. In such cases, we record deferred revenue until the performance obligation is satisfied, which represents a contract liability and is included in accrued expenses and other non-current liabilities in the consolidated balance sheets. These contract liabilities are classified as either current or long-term based on the timing of when we expect to recognize revenue. Contract liabilities were $95.6 million and $135.5 million as of December 31, 2024 and December 31, 2023, respectively. As of December 31, 2024 and December 31, 2023, the short-term portion of the liability was $59.7 million and $71.1 million, respectively. The remainder of the December 31, 2024 contract liability balance is expected to be recognized in revenue over the next 1-5 years. Revenue recognized during the year that was included in the contract liability balance at the beginning of the period was $66.0 million, $66.9 million, and $101.2 million, for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include costs attributable to the conduct of research and development programs primarily related to the development of new package designs or technologies and improving the efficiency and capabilities of our existing production processes. Such costs include labor, materials, supplies, depreciation and maintenance of research equipment, services provided by outside contractors and the allocable portions of facility costs such as rent, utilities, insurance, repairs and maintenance, depreciation and general support services. Costs associated with research and development are expensed as incurred.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Income taxes are accounted for using the asset and liability method. Under this method, deferred income tax assets and liabilities are recognized for the future tax consequences attributable to temporary differences between the financial statement carrying amounts of existing assets and liabilities and their respective tax basis as well as for net operating loss and tax credit carryforwards. Deferred income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A valuation allowance is provided for those deferred tax assets for which it is more likely than not that the related tax benefits will not be realized.</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tax-planning strategies and recent results of operations. With the exception of a certain foreign jurisdiction and select U.S. and foreign carryforwards, we consider it more likely than not that we will have sufficient taxable income to allow us to realize these deferred tax assets. However, in the event taxable income falls short of current expectations, we may need to establish a valuation allowance against such deferred tax assets.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in our Consolidated Financial Statements the impact of an income tax position, if that position is more likely than not of being sustained on audit, based on the technical merits of the position. Related interest and penalties are classified as income taxes in the financial statements. See Note 4 for further discussion regarding unrecognized income tax benefits.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Standards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2023-09, </w:t>
      </w:r>
      <w:r>
        <w:rPr>
          <w:rFonts w:ascii="Times New Roman" w:cs="Times New Roman" w:eastAsia="Times New Roman" w:hAnsi="Times New Roman"/>
          <w:sz w:val="18"/>
          <w:szCs w:val="18"/>
          <w:i w:val="1"/>
          <w:iCs w:val="1"/>
          <w:color w:val="auto"/>
        </w:rPr>
        <w:t>Income Taxes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740): Improvements to Income Tax Disclosures </w:t>
      </w:r>
      <w:r>
        <w:rPr>
          <w:rFonts w:ascii="Times New Roman" w:cs="Times New Roman" w:eastAsia="Times New Roman" w:hAnsi="Times New Roman"/>
          <w:sz w:val="18"/>
          <w:szCs w:val="18"/>
          <w:color w:val="auto"/>
        </w:rPr>
        <w:t>(“ASU 2023-09”). ASU 2023-09 requires disclosure of additional income tax information, primarily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effective tax rate reconciliation and income taxes paid. ASU 2023-09 is effective for annual periods beginning after December 15, 2024. Early adoption is permitted. Adoption of this ASU should be applied on a prospective basis, but retrospective application is permitted. The new standard will result in enhanced disclosures in our financial statements.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Disaggregation of Income Statement Expenses </w:t>
      </w:r>
      <w:r>
        <w:rPr>
          <w:rFonts w:ascii="Times New Roman" w:cs="Times New Roman" w:eastAsia="Times New Roman" w:hAnsi="Times New Roman"/>
          <w:sz w:val="18"/>
          <w:szCs w:val="18"/>
          <w:color w:val="auto"/>
        </w:rPr>
        <w:t>(“ASU 2024-03”), which was subsequently amended and clarified. ASU 2024-03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disaggregation of key expense categories such as inventory purchases, employee compensation, depreciation and intangible asset amortization in the financial statements. ASU 2024-03 is effective for annual reporting periods beginning after December 15, 2026, and interim periods within annual reporting periods beginning after December 15, 2027. Early adoption is permitted. Adoption of this ASU should be applied either prospectively after the effective date or retrospectively to any or all periods presented in the financial statements. We are currently evaluating the impact of this new standard on our financial statements, which is expected to result in enhanced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Share-Based Compensation Plans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2024, 2023 and 2022, we recognized share-based compensation of $18.4 million, $8.3 million and $13.6 million, respectively, primarily in selling, general and administrative expenses. The amount of compensation expense to be recognized is adjusted for an estimated forfeiture rate which is based on historical data. The corresponding deferred income tax benefits are $2.4 million, $0.7 million and $1.7 million for 2024, 2023 and 2022,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Second Amended and Restated 2007 Equity Incentive Plan. </w:t>
      </w:r>
      <w:r>
        <w:rPr>
          <w:rFonts w:ascii="Times New Roman" w:cs="Times New Roman" w:eastAsia="Times New Roman" w:hAnsi="Times New Roman"/>
          <w:sz w:val="18"/>
          <w:szCs w:val="18"/>
          <w:color w:val="auto"/>
        </w:rPr>
        <w:t>The Second Amended and Restated 2007 Equity Incentive Plan (as amended, the “2007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for the grant of the following types of incentive awards: (i) stock options; (ii) restricted stock; (iii) restricted stock units; (iv) stock appreciation rights; (v) performance units and performance shares; and (vi) other stock or cash awards. Those eligible for awards included employees, directors and consultants who provide services to Amkor and its subsidiaries. There were originally 17.0 million shares of our common stock reserved for issuance under the 2007 Plan. No awards have been or will be granted under the 2007 Plan after the effective date of the 2021 Plan (as defined below), but all outstanding awards under the 2007 Plan will continue in full force and effect, subject to their original terms.</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2021 Equity Incentive Plan. </w:t>
      </w:r>
      <w:r>
        <w:rPr>
          <w:rFonts w:ascii="Times New Roman" w:cs="Times New Roman" w:eastAsia="Times New Roman" w:hAnsi="Times New Roman"/>
          <w:sz w:val="18"/>
          <w:szCs w:val="18"/>
          <w:color w:val="auto"/>
        </w:rPr>
        <w:t>On May 18, 2021, at our 2021 Annual Meeting of Stockholders (the “2021 Annual Meeting”), our stockholders approved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Amkor Technology, Inc. 2021 Equity Incentive Plan (as amended, the “2021 Plan”) to replace the 2007 Plan. The 2021 Plan provides for the grant of the following types of incentive awards: (i) stock options; (ii) restricted stock; (iii) restricted stock units; (iv) stock appreciation rights; (v) performance units and performance shares; and (vi) other stock or cash awards. Those eligible for awards include employees, directors and consultants who provide services to Amkor and its subsidiaries. The number of shares authorized and available for issuance under the 2021 Plan is 23,100,000 shares, reduced for certain awards granted under the 2007 Plan after December 31, 2020, but before May 18, 2021. There were originally 22.8 million shares of our common stock reserved for issuance under the 2021 Plan, and at December 31, 2024, there were 19.4 million shares available for grant under the 2021 Plan.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options are generally granted with an exercise price equal to the market price of the stock at the date of grant. Substantially all of the options granted are exercisable pursuant to a one to four year vesting schedule, and the term of the options granted is no longer than ten years. Upon option exercise, we may issue new shares of common or treasury stock.</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calculate the fair value of stock options at the date of grant, we use the Black-Scholes option pricing model. Expected volatilities are based on historical performance of our stock. We also use historical data to estimate the timing and amount of option exercises and forfeitures within the valuation model. The expected term of the options is based on evaluations of historical and expected future employee exercise behavior and represents the period of time that options granted are expected to be outstanding. The risk-free interest rate for periods within the contractual life of the option is based on the U.S. Treasury yield curve in effect at the time of grant. The dividend yield is based on the annualized declared quarterly dividend rate divided by our closing stock price at the date of the grant. There have been no stock options granted since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stock option activity for the year ended December 31, 2024: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0" w:type="dxa"/>
            <w:vAlign w:val="bottom"/>
          </w:tcPr>
          <w:p>
            <w:pPr>
              <w:spacing w:after="0"/>
              <w:rPr>
                <w:sz w:val="13"/>
                <w:szCs w:val="13"/>
                <w:color w:val="auto"/>
              </w:rPr>
            </w:pPr>
          </w:p>
        </w:tc>
        <w:tc>
          <w:tcPr>
            <w:tcW w:w="130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30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37"/>
        </w:trPr>
        <w:tc>
          <w:tcPr>
            <w:tcW w:w="4440" w:type="dxa"/>
            <w:vAlign w:val="bottom"/>
          </w:tcPr>
          <w:p>
            <w:pPr>
              <w:spacing w:after="0"/>
              <w:rPr>
                <w:sz w:val="11"/>
                <w:szCs w:val="11"/>
                <w:color w:val="auto"/>
              </w:rPr>
            </w:pPr>
          </w:p>
        </w:tc>
        <w:tc>
          <w:tcPr>
            <w:tcW w:w="15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8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20" w:type="dxa"/>
            <w:vAlign w:val="bottom"/>
          </w:tcPr>
          <w:p>
            <w:pPr>
              <w:spacing w:after="0"/>
              <w:rPr>
                <w:sz w:val="11"/>
                <w:szCs w:val="11"/>
                <w:color w:val="auto"/>
              </w:rPr>
            </w:pPr>
          </w:p>
        </w:tc>
        <w:tc>
          <w:tcPr>
            <w:tcW w:w="1300" w:type="dxa"/>
            <w:vAlign w:val="bottom"/>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0"/>
        </w:trPr>
        <w:tc>
          <w:tcPr>
            <w:tcW w:w="444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20" w:type="dxa"/>
            <w:vAlign w:val="bottom"/>
          </w:tcPr>
          <w:p>
            <w:pPr>
              <w:spacing w:after="0"/>
              <w:rPr>
                <w:sz w:val="16"/>
                <w:szCs w:val="16"/>
                <w:color w:val="auto"/>
              </w:rPr>
            </w:pPr>
          </w:p>
        </w:tc>
        <w:tc>
          <w:tcPr>
            <w:tcW w:w="130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44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3.45 years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25,380</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Fully vested at December 31, 2024 and expected to vest</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440" w:type="dxa"/>
            <w:vAlign w:val="bottom"/>
            <w:vMerge w:val="continue"/>
          </w:tcPr>
          <w:p>
            <w:pPr>
              <w:spacing w:after="0"/>
              <w:rPr>
                <w:sz w:val="10"/>
                <w:szCs w:val="10"/>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gridSpan w:val="2"/>
            <w:vMerge w:val="restart"/>
          </w:tcPr>
          <w:p>
            <w:pPr>
              <w:ind w:left="980"/>
              <w:spacing w:after="0"/>
              <w:rPr>
                <w:sz w:val="20"/>
                <w:szCs w:val="20"/>
                <w:color w:val="auto"/>
              </w:rPr>
            </w:pPr>
            <w:r>
              <w:rPr>
                <w:rFonts w:ascii="Times New Roman" w:cs="Times New Roman" w:eastAsia="Times New Roman" w:hAnsi="Times New Roman"/>
                <w:sz w:val="18"/>
                <w:szCs w:val="18"/>
                <w:color w:val="auto"/>
              </w:rPr>
              <w:t>3.45 years</w:t>
            </w: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25,380</w:t>
            </w:r>
          </w:p>
        </w:tc>
        <w:tc>
          <w:tcPr>
            <w:tcW w:w="0" w:type="dxa"/>
            <w:vAlign w:val="bottom"/>
          </w:tcPr>
          <w:p>
            <w:pPr>
              <w:spacing w:after="0"/>
              <w:rPr>
                <w:sz w:val="1"/>
                <w:szCs w:val="1"/>
                <w:color w:val="auto"/>
              </w:rPr>
            </w:pPr>
          </w:p>
        </w:tc>
      </w:tr>
      <w:tr>
        <w:trPr>
          <w:trHeight w:val="216"/>
        </w:trPr>
        <w:tc>
          <w:tcPr>
            <w:tcW w:w="4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thereafter</w:t>
            </w:r>
          </w:p>
        </w:tc>
        <w:tc>
          <w:tcPr>
            <w:tcW w:w="1500" w:type="dxa"/>
            <w:vAlign w:val="bottom"/>
            <w:vMerge w:val="continue"/>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Pr>
          <w:p>
            <w:pPr>
              <w:spacing w:after="0"/>
              <w:rPr>
                <w:sz w:val="18"/>
                <w:szCs w:val="18"/>
                <w:color w:val="auto"/>
              </w:rPr>
            </w:pPr>
          </w:p>
        </w:tc>
        <w:tc>
          <w:tcPr>
            <w:tcW w:w="184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9"/>
              </w:rPr>
              <w:t>3.45 years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25,380</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unrecognized compensation expense from stock options as of December 31, 2024. The total intrinsic value of options exercised during fiscal years 2024, 2023, and 2022 was $7.9 million, $5.8 million, and $8.0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From time to time, and pursuant to the 2021 Plan, we grant time-vested restricted stock units (“RSUs”) to our non-employee directors and certain employees and performance-vested restricted stock units (“PSUs”) to certain employees. RSUs granted prior to 2024 generally vest in four equal installments over a four-year period such that 100% of the RSUs will become vested on the fourth anniversary of the award, subject to the recipient’s continued employment with us on the applicable vesting dates. The general vesting period for RSUs granted since the start of 2024 decreased to three years. In some circumstances, we have granted RSUs subject to different vesting conditions, including RSUs that vest in a single installment or on a ratable schedule. Provided that the RSUs have not been forfeited earlier, they will generally vest upon the recipient’s retirement, death or disability, or upon a change in control of Amkor, in accordance with the terms and conditions of the applicable award agreement. The value of the RSUs is determined based on the fair market value of the underlying shares on the date of the grant, reduced by the present value of dividends or dividend equivalent rights expected to be paid on our common stock prior to vesting, and is recognized ratably over the vesting period.</w:t>
      </w:r>
    </w:p>
    <w:p>
      <w:pPr>
        <w:spacing w:after="0" w:line="21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PSUs granted prior to 2024 generally vest in one installment after a two-year period such that any earned PSUs will become vested within 90 days of the second anniversary of the award, subject to the recipient’s continued employment with us on the applicable vesting date. Generally for these PSUs, the number of shares of our common stock to be received at vesting will range from 0% to 200% of the target grant amount based on Cumulative Basic EPS (as defined in the applicable award agreement) over a two-year performance measurement period. In some circumstances, we have granted PSUs subject to different vesting conditions, including PSUs that vest in full upon the achievement of performance goals other than Cumulative Basic EPS.</w:t>
      </w:r>
    </w:p>
    <w:p>
      <w:pPr>
        <w:spacing w:after="0" w:line="21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2024, we granted PSUs that were divided between PSUs based on earnings per share in each of 2024, 2025 and 2026 (“EPS PSUs”), and PSUs based on relative total shareholder return (“rTSR PSUs”) as compared to the components of the PHLX Semiconductor Index (the “SOX”) over a three-year period, with half of the awards as EPS PSUs and half as rTSR PSUs. EPS PSUs will vest in three installments over a three-year period such that any earned PSUs will become vested within 90 days of each year ending 2024, 2025 and 2026, subject to the recipient’s continued employment with us on the applicable vesting dates. For EPS PSUs, the number of shares of our common stock to be received at vesting will range from 0% to 225% of the target grant amount. The rTSR PSUs will vest in one installment after a three-year period and the number of shares of our common stock to be received at vesting will range from 0% to 150% of the target grant amount based on rTSR performance over the three-year performance period.</w:t>
      </w:r>
    </w:p>
    <w:p>
      <w:pPr>
        <w:spacing w:after="0" w:line="2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Provided the PSUs have not been forfeited earlier, the PSUs will generally vest upon the recipient’s retirement, death or disability, or upon a change of control of Amkor, in accordance with the terms and conditions of the applicable award agreement. For the PSUs granted prior to 2024 and the EPS PSUs, the value is initially determined based on the fair market value of the underlying shares on the date of the grant, reduced by the present value of dividends expected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paid on our common stock prior to vesting. For the rTSR PSUs, we estimated the grant-date fair value using a Monte Carlo simulation model, using the following weighted-average assumptions: risk-free interest rate of 4.33% and annualized volatility of 46.77%. We recognize the grant date fair value of the PSUs as compensation expense ratably over the vesting period.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RSU and PSU activity: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81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6"/>
        </w:trPr>
        <w:tc>
          <w:tcPr>
            <w:tcW w:w="8100" w:type="dxa"/>
            <w:vAlign w:val="bottom"/>
          </w:tcPr>
          <w:p>
            <w:pPr>
              <w:spacing w:after="0"/>
              <w:rPr>
                <w:sz w:val="12"/>
                <w:szCs w:val="12"/>
                <w:color w:val="auto"/>
              </w:rPr>
            </w:pPr>
          </w:p>
        </w:tc>
        <w:tc>
          <w:tcPr>
            <w:tcW w:w="15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74"/>
              <w:spacing w:after="0" w:line="146"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8"/>
        </w:trPr>
        <w:tc>
          <w:tcPr>
            <w:tcW w:w="8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28"/>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0" w:type="dxa"/>
            <w:vAlign w:val="bottom"/>
          </w:tcPr>
          <w:p>
            <w:pPr>
              <w:spacing w:after="0"/>
              <w:rPr>
                <w:sz w:val="1"/>
                <w:szCs w:val="1"/>
                <w:color w:val="auto"/>
              </w:rPr>
            </w:pPr>
          </w:p>
        </w:tc>
      </w:tr>
      <w:tr>
        <w:trPr>
          <w:trHeight w:val="229"/>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Awards 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Awards 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Awards 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0" w:type="dxa"/>
            <w:vAlign w:val="bottom"/>
          </w:tcPr>
          <w:p>
            <w:pPr>
              <w:spacing w:after="0"/>
              <w:rPr>
                <w:sz w:val="1"/>
                <w:szCs w:val="1"/>
                <w:color w:val="auto"/>
              </w:rPr>
            </w:pPr>
          </w:p>
        </w:tc>
      </w:tr>
      <w:tr>
        <w:trPr>
          <w:trHeight w:val="229"/>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Awards 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Awards 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Awards 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Awards 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Awards 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Awards 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unrecognized compensation expense from RSUs and PSUs was $16.5 million as of December 31, 2024, which is expected to be recognized over a weighted-average period of approximately 1.78 years beginning January 1, 2025.</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the total fair values of vested RSUs and PSUs were $15.5 million, $11.6 million and $0.5 million, respectively.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3. Other Income and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and expense consists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80" w:type="dxa"/>
            <w:vAlign w:val="bottom"/>
            <w:gridSpan w:val="6"/>
          </w:tcPr>
          <w:p>
            <w:pPr>
              <w:jc w:val="center"/>
              <w:ind w:left="67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20" w:type="dxa"/>
            <w:vAlign w:val="bottom"/>
          </w:tcPr>
          <w:p>
            <w:pPr>
              <w:spacing w:after="0"/>
              <w:rPr>
                <w:sz w:val="16"/>
                <w:szCs w:val="16"/>
                <w:color w:val="auto"/>
              </w:rPr>
            </w:pPr>
          </w:p>
        </w:tc>
      </w:tr>
      <w:tr>
        <w:trPr>
          <w:trHeight w:val="23"/>
        </w:trPr>
        <w:tc>
          <w:tcPr>
            <w:tcW w:w="6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(12,762)</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(gain) loss,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debt retirement</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30"/>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(4,439)</w:t>
            </w:r>
          </w:p>
        </w:tc>
      </w:tr>
      <w:tr>
        <w:trPr>
          <w:trHeight w:val="248"/>
        </w:trPr>
        <w:tc>
          <w:tcPr>
            <w:tcW w:w="6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(18,309)</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4. Income Taxes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Geographic sources of income (loss) before taxes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300" w:type="dxa"/>
            <w:vAlign w:val="bottom"/>
            <w:gridSpan w:val="8"/>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6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81,289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94,643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81,488</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349,727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349,198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775,444</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Income before taxes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431,016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443,841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856,932</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The components of the provision (benefit) for income taxes are as follows: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4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gridSpan w:val="8"/>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6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7,898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19,831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40,063</w:t>
            </w:r>
          </w:p>
        </w:tc>
        <w:tc>
          <w:tcPr>
            <w:tcW w:w="0" w:type="dxa"/>
            <w:vAlign w:val="bottom"/>
          </w:tcPr>
          <w:p>
            <w:pPr>
              <w:spacing w:after="0"/>
              <w:rPr>
                <w:sz w:val="1"/>
                <w:szCs w:val="1"/>
                <w:color w:val="auto"/>
              </w:rPr>
            </w:pPr>
          </w:p>
        </w:tc>
      </w:tr>
      <w:tr>
        <w:trPr>
          <w:trHeight w:val="229"/>
        </w:trPr>
        <w:tc>
          <w:tcPr>
            <w:tcW w:w="6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68,333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48,478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61,300</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76,265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68,316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101,513</w:t>
            </w:r>
          </w:p>
        </w:tc>
        <w:tc>
          <w:tcPr>
            <w:tcW w:w="0" w:type="dxa"/>
            <w:vAlign w:val="bottom"/>
          </w:tcPr>
          <w:p>
            <w:pPr>
              <w:spacing w:after="0"/>
              <w:rPr>
                <w:sz w:val="1"/>
                <w:szCs w:val="1"/>
                <w:color w:val="auto"/>
              </w:rPr>
            </w:pPr>
          </w:p>
        </w:tc>
      </w:tr>
      <w:tr>
        <w:trPr>
          <w:trHeight w:val="210"/>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(10,156)</w:t>
            </w:r>
          </w:p>
        </w:tc>
        <w:tc>
          <w:tcPr>
            <w:tcW w:w="0" w:type="dxa"/>
            <w:vAlign w:val="bottom"/>
          </w:tcPr>
          <w:p>
            <w:pPr>
              <w:spacing w:after="0"/>
              <w:rPr>
                <w:sz w:val="1"/>
                <w:szCs w:val="1"/>
                <w:color w:val="auto"/>
              </w:rPr>
            </w:pPr>
          </w:p>
        </w:tc>
      </w:tr>
      <w:tr>
        <w:trPr>
          <w:trHeight w:val="230"/>
        </w:trPr>
        <w:tc>
          <w:tcPr>
            <w:tcW w:w="6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Pr>
          <w:p>
            <w:pPr>
              <w:spacing w:after="0"/>
              <w:rPr>
                <w:sz w:val="19"/>
                <w:szCs w:val="19"/>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0" w:type="dxa"/>
            <w:vAlign w:val="bottom"/>
          </w:tcPr>
          <w:p>
            <w:pPr>
              <w:spacing w:after="0"/>
              <w:rPr>
                <w:sz w:val="1"/>
                <w:szCs w:val="1"/>
                <w:color w:val="auto"/>
              </w:rPr>
            </w:pPr>
          </w:p>
        </w:tc>
      </w:tr>
      <w:tr>
        <w:trPr>
          <w:trHeight w:val="230"/>
        </w:trPr>
        <w:tc>
          <w:tcPr>
            <w:tcW w:w="6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4,494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0" w:type="dxa"/>
            <w:vAlign w:val="bottom"/>
          </w:tcPr>
          <w:p>
            <w:pPr>
              <w:spacing w:after="0"/>
              <w:rPr>
                <w:sz w:val="1"/>
                <w:szCs w:val="1"/>
                <w:color w:val="auto"/>
              </w:rPr>
            </w:pPr>
          </w:p>
        </w:tc>
      </w:tr>
      <w:tr>
        <w:trPr>
          <w:trHeight w:val="223"/>
        </w:trPr>
        <w:tc>
          <w:tcPr>
            <w:tcW w:w="62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13,394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(11,623)</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75,481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81,710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89,890</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4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reconciliation between the U.S. federal statutory income tax rate of 21% and our effective tax rate is as follows: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6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80" w:type="dxa"/>
            <w:vAlign w:val="bottom"/>
            <w:gridSpan w:val="9"/>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29"/>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income taxed at different rates</w:t>
            </w:r>
          </w:p>
        </w:tc>
        <w:tc>
          <w:tcPr>
            <w:tcW w:w="240" w:type="dxa"/>
            <w:vAlign w:val="bottom"/>
          </w:tcPr>
          <w:p>
            <w:pPr>
              <w:spacing w:after="0"/>
              <w:rPr>
                <w:sz w:val="19"/>
                <w:szCs w:val="19"/>
                <w:color w:val="auto"/>
              </w:rPr>
            </w:pPr>
          </w:p>
        </w:tc>
        <w:tc>
          <w:tcPr>
            <w:tcW w:w="10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0"/>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40" w:type="dxa"/>
            <w:vAlign w:val="bottom"/>
          </w:tcPr>
          <w:p>
            <w:pPr>
              <w:spacing w:after="0"/>
              <w:rPr>
                <w:sz w:val="19"/>
                <w:szCs w:val="19"/>
                <w:color w:val="auto"/>
              </w:rPr>
            </w:pPr>
          </w:p>
        </w:tc>
        <w:tc>
          <w:tcPr>
            <w:tcW w:w="10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credits generated</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9"/>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earnings and profits</w:t>
            </w:r>
          </w:p>
        </w:tc>
        <w:tc>
          <w:tcPr>
            <w:tcW w:w="24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0"/>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derived intangible income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Settlements and changes in uncertain tax positions</w:t>
            </w:r>
          </w:p>
        </w:tc>
        <w:tc>
          <w:tcPr>
            <w:tcW w:w="24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2022, we reversed $17.8 million of valuation allowance recorded against U.S. foreign tax credit carryforwards previously projected to expire unused due to the limitations to utilize the credits under current tax law. Realization of these carryforwards is dependent on generating sufficient taxable income to overcome the foreign tax credit limitation provisions. Although utilization of these carryforwards is not assured, in light of our current earnings and recent</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estimates of future taxable income, management believes sufficient positive evidence exists to conclude that the respective valuation allowances are no longer needed, resulting in the reversal of these valuation allowances.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certain capital investments, export commitments and employment levels, income from operations in Korea, Singapore and Vietnam was subject to reduced income tax rates and, in some cases, was exempt from income taxes. The most significant tax rate impact is in Singapore where we have been granted a conditional reduced tax rate that expires at the end of 2028. We recognized $33.2 million, $18.6 million and $84.5 million in tax benefits as a result of the conditional reduced tax rates in 2024, 2023 and 2022, respectively. The benefit of the conditional reduced tax rates on diluted earnings per share was approximately $0.13, $0.08 and $0.34 for 2024, 2023 and 2022,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components of our deferred tax assets and liabilities: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7"/>
                <w:szCs w:val="17"/>
                <w:color w:val="auto"/>
              </w:rPr>
            </w:pPr>
          </w:p>
        </w:tc>
      </w:tr>
      <w:tr>
        <w:trPr>
          <w:trHeight w:val="23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21,420</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33,679</w:t>
            </w:r>
          </w:p>
        </w:tc>
      </w:tr>
      <w:tr>
        <w:trPr>
          <w:trHeight w:val="22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credit carryforwards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69,373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88,147</w:t>
            </w: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21,387</w:t>
            </w: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interest expense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37,832</w:t>
            </w:r>
          </w:p>
        </w:tc>
      </w:tr>
      <w:tr>
        <w:trPr>
          <w:trHeight w:val="22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Receivable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30,086</w:t>
            </w:r>
          </w:p>
        </w:tc>
      </w:tr>
      <w:tr>
        <w:trPr>
          <w:trHeight w:val="23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foreign exchange loss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7,205</w:t>
            </w:r>
          </w:p>
        </w:tc>
      </w:tr>
      <w:tr>
        <w:trPr>
          <w:trHeight w:val="22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16,053</w:t>
            </w:r>
          </w:p>
        </w:tc>
      </w:tr>
      <w:tr>
        <w:trPr>
          <w:trHeight w:val="230"/>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15,219</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250,084</w:t>
            </w:r>
          </w:p>
        </w:tc>
      </w:tr>
      <w:tr>
        <w:trPr>
          <w:trHeight w:val="230"/>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Valuation allowance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(107,113)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(114,811)</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120,687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135,273</w:t>
            </w:r>
          </w:p>
        </w:tc>
      </w:tr>
      <w:tr>
        <w:trPr>
          <w:trHeight w:val="21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34,206</w:t>
            </w: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gain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w:t>
            </w: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foreign exchange gain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r>
      <w:tr>
        <w:trPr>
          <w:trHeight w:val="23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Unbilled receivables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8,995</w:t>
            </w: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16,031</w:t>
            </w:r>
          </w:p>
        </w:tc>
      </w:tr>
      <w:tr>
        <w:trPr>
          <w:trHeight w:val="229"/>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5,533</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64,765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73,633</w:t>
            </w: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55,922</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61,640</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6"/>
        </w:trPr>
        <w:tc>
          <w:tcPr>
            <w:tcW w:w="81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Recognized as: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72,488</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73,585</w:t>
            </w: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(11,945)</w:t>
            </w: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55,922</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61,640</w:t>
            </w:r>
          </w:p>
        </w:tc>
      </w:tr>
      <w:tr>
        <w:trPr>
          <w:trHeight w:val="20"/>
        </w:trPr>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tax-planning strategies and recent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Valuation allowance against deferred tax assets consist of the following:</w:t>
      </w:r>
    </w:p>
    <w:p>
      <w:pPr>
        <w:spacing w:after="0" w:line="138"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33655</wp:posOffset>
            </wp:positionV>
            <wp:extent cx="19888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35" w:lineRule="exact"/>
        <w:rPr>
          <w:sz w:val="20"/>
          <w:szCs w:val="20"/>
          <w:color w:val="auto"/>
        </w:rPr>
      </w:pPr>
    </w:p>
    <w:p>
      <w:pPr>
        <w:jc w:val="both"/>
        <w:ind w:left="8720"/>
        <w:spacing w:after="0"/>
        <w:tabs>
          <w:tab w:leader="none" w:pos="103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33655</wp:posOffset>
            </wp:positionV>
            <wp:extent cx="19888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35"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4"/>
          <w:szCs w:val="14"/>
          <w:b w:val="1"/>
          <w:bCs w:val="1"/>
          <w:color w:val="auto"/>
        </w:rPr>
        <w:t>(In thousands)</w:t>
      </w:r>
    </w:p>
    <w:p>
      <w:pPr>
        <w:sectPr>
          <w:pgSz w:w="11900" w:h="16838" w:orient="portrait"/>
          <w:cols w:equalWidth="0" w:num="1">
            <w:col w:w="11240"/>
          </w:cols>
          <w:pgMar w:left="320" w:top="117" w:right="339" w:bottom="1440" w:gutter="0" w:footer="0" w:header="0"/>
        </w:sectPr>
      </w:pP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Valuation allowance:</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U.S.</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Foreign</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valuation allowance</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net operating loss carryforwards are as follows:</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line="1" w:lineRule="exact"/>
        <w:rPr>
          <w:sz w:val="1"/>
          <w:szCs w:val="1"/>
          <w:color w:val="auto"/>
        </w:rPr>
      </w:pPr>
    </w:p>
    <w:tbl>
      <w:tblPr>
        <w:tblLayout w:type="fixed"/>
        <w:tblInd w:w="1620" w:type="dxa"/>
        <w:tblCellMar>
          <w:top w:w="0" w:type="dxa"/>
          <w:left w:w="0" w:type="dxa"/>
          <w:bottom w:w="0" w:type="dxa"/>
          <w:right w:w="0" w:type="dxa"/>
        </w:tblCellMar>
      </w:tblPr>
      <w:tr>
        <w:trPr>
          <w:trHeight w:val="230"/>
        </w:trPr>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44,853</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44,426</w:t>
            </w:r>
          </w:p>
        </w:tc>
      </w:tr>
      <w:tr>
        <w:trPr>
          <w:trHeight w:val="234"/>
        </w:trPr>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62,260</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70,385</w:t>
            </w:r>
          </w:p>
        </w:tc>
      </w:tr>
      <w:tr>
        <w:trPr>
          <w:trHeight w:val="223"/>
        </w:trPr>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107,113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114,811</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-4109085</wp:posOffset>
            </wp:positionH>
            <wp:positionV relativeFrom="paragraph">
              <wp:posOffset>-624840</wp:posOffset>
            </wp:positionV>
            <wp:extent cx="7132320" cy="145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-333375</wp:posOffset>
            </wp:positionV>
            <wp:extent cx="7132320" cy="145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 w:type="dxa"/>
            <w:vAlign w:val="bottom"/>
          </w:tcPr>
          <w:p>
            <w:pPr>
              <w:spacing w:after="0"/>
              <w:rPr>
                <w:sz w:val="16"/>
                <w:szCs w:val="16"/>
                <w:color w:val="auto"/>
              </w:rPr>
            </w:pPr>
          </w:p>
        </w:tc>
        <w:tc>
          <w:tcPr>
            <w:tcW w:w="2220" w:type="dxa"/>
            <w:vAlign w:val="bottom"/>
            <w:gridSpan w:val="2"/>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90"/>
        </w:trPr>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12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20" w:type="dxa"/>
            <w:vAlign w:val="bottom"/>
          </w:tcPr>
          <w:p>
            <w:pPr>
              <w:spacing w:after="0"/>
              <w:rPr>
                <w:sz w:val="16"/>
                <w:szCs w:val="16"/>
                <w:color w:val="auto"/>
              </w:rPr>
            </w:pPr>
          </w:p>
        </w:tc>
        <w:tc>
          <w:tcPr>
            <w:tcW w:w="2120" w:type="dxa"/>
            <w:vAlign w:val="bottom"/>
          </w:tcPr>
          <w:p>
            <w:pPr>
              <w:jc w:val="center"/>
              <w:ind w:right="94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5760" w:space="720"/>
            <w:col w:w="476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net operating loss carryforwards</w:t>
            </w:r>
          </w:p>
        </w:tc>
        <w:tc>
          <w:tcPr>
            <w:tcW w:w="20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5,611</w:t>
            </w:r>
          </w:p>
        </w:tc>
        <w:tc>
          <w:tcPr>
            <w:tcW w:w="14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state net operating loss carryforwards</w:t>
            </w:r>
          </w:p>
        </w:tc>
        <w:tc>
          <w:tcPr>
            <w:tcW w:w="2080" w:type="dxa"/>
            <w:vAlign w:val="bottom"/>
          </w:tcPr>
          <w:p>
            <w:pPr>
              <w:spacing w:after="0"/>
              <w:rPr>
                <w:sz w:val="19"/>
                <w:szCs w:val="19"/>
                <w:color w:val="auto"/>
              </w:rPr>
            </w:pPr>
          </w:p>
        </w:tc>
        <w:tc>
          <w:tcPr>
            <w:tcW w:w="16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27,334</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32,612</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2025-2036</w:t>
            </w: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net operating loss carryforwards</w:t>
            </w:r>
          </w:p>
        </w:tc>
        <w:tc>
          <w:tcPr>
            <w:tcW w:w="20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207,203</w:t>
            </w:r>
          </w:p>
        </w:tc>
        <w:tc>
          <w:tcPr>
            <w:tcW w:w="12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196,636</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2025-2031</w:t>
            </w: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2024 and 2023, a portion of our remaining U.S. federal net operating loss carryforwards was reserved with a valuation allowance due to ownership change limitations from a prior year acquisition as well as certain state net operating loss carryforwards expected to expire unused. Also, we have a valuation allowance against foreign net operating loss carryforwards that we do not expect to have sufficient taxable income to realize as of December 31, 2024 and 2023.</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tax credit carryforwards are as follows:</w:t>
      </w:r>
    </w:p>
    <w:p>
      <w:pPr>
        <w:spacing w:after="0" w:line="124"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60" w:type="dxa"/>
            <w:vAlign w:val="bottom"/>
            <w:gridSpan w:val="2"/>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90"/>
        </w:trPr>
        <w:tc>
          <w:tcPr>
            <w:tcW w:w="626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60" w:type="dxa"/>
            <w:vAlign w:val="bottom"/>
            <w:gridSpan w:val="2"/>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Foreign Tax Credits</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49,639</w:t>
            </w:r>
          </w:p>
        </w:tc>
        <w:tc>
          <w:tcPr>
            <w:tcW w:w="102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51,512</w:t>
            </w: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2027-2034</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Other Tax Credits</w:t>
            </w:r>
          </w:p>
        </w:tc>
        <w:tc>
          <w:tcPr>
            <w:tcW w:w="940" w:type="dxa"/>
            <w:vAlign w:val="bottom"/>
          </w:tcPr>
          <w:p>
            <w:pPr>
              <w:spacing w:after="0"/>
              <w:rPr>
                <w:sz w:val="19"/>
                <w:szCs w:val="19"/>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3,817</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12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2026-2034</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Credits</w:t>
            </w: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19,543</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34,546</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2025-2034</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2024 and 2023, a portion of our U.S. and foreign tax credit carryforwards were reserved with a valuation allowance for the amount expected to expire unused.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Distributions of cash to the U.S. as dividends generally will not be subject to U.S. federal income tax. We have not provided foreign withholding taxes or state income taxes on the undistributed earnings of our foreign subsidiaries, over which we have sufficient influence to control the distribution of such earnings and have determined that substantially all such earnings have been reinvested indefinitely. These earnings could become subject to foreign withholding tax if they are remitted as dividends. For the year ended December 31, 2024, we estimate that repatriation of these foreign earnings would generate withholding taxes and state income taxes of approximately $160 million.</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in and file income tax returns in various U.S. and foreign jurisdictions which are subject to examination by tax authorities. We have tax returns that are open to examination in various jurisdictions for tax years 2013-2024. The open years contain matters that could be subject to differing interpretations of applicable tax laws and regulations related to the amount and/or timing of income, deductions and tax credits. There can be no assurance that the outcome of examinations will be favorable. Our unrecognized tax benefits are subject to change as examinations of specific tax years are completed in the respective jurisdictions. In certain circumstances where we elect to appeal the results of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examination, we may be required to make tax assessment payments to proceed with the administrative appeal process. Current examinations include 2017-2021 Malaysia income tax returns and 2021 Philippine income tax return.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gross amount of unrecognized tax benefits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700" w:type="dxa"/>
            <w:vAlign w:val="bottom"/>
            <w:gridSpan w:val="6"/>
          </w:tcPr>
          <w:p>
            <w:pPr>
              <w:jc w:val="center"/>
              <w:ind w:left="92"/>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20" w:type="dxa"/>
            <w:vAlign w:val="bottom"/>
          </w:tcPr>
          <w:p>
            <w:pPr>
              <w:spacing w:after="0"/>
              <w:rPr>
                <w:sz w:val="16"/>
                <w:szCs w:val="16"/>
                <w:color w:val="auto"/>
              </w:rPr>
            </w:pPr>
          </w:p>
        </w:tc>
      </w:tr>
      <w:tr>
        <w:trPr>
          <w:trHeight w:val="23"/>
        </w:trPr>
        <w:tc>
          <w:tcPr>
            <w:tcW w:w="64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648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94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31,537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37,293</w:t>
            </w:r>
          </w:p>
        </w:tc>
      </w:tr>
      <w:tr>
        <w:trPr>
          <w:trHeight w:val="229"/>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r>
      <w:tr>
        <w:trPr>
          <w:trHeight w:val="22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r>
      <w:tr>
        <w:trPr>
          <w:trHeight w:val="230"/>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(5,755)</w:t>
            </w:r>
          </w:p>
        </w:tc>
      </w:tr>
      <w:tr>
        <w:trPr>
          <w:trHeight w:val="22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Reductions related to settlements with tax authorities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r>
      <w:tr>
        <w:trPr>
          <w:trHeight w:val="230"/>
        </w:trPr>
        <w:tc>
          <w:tcPr>
            <w:tcW w:w="6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Reductions from lapse of statutes of limitations</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36,316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33,253</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net increase in our unrecognized tax benefits was $4.8 million from December 31, 2023 to December 31, 2024. The increase was primarily related to income attribution. At December 31, 2024, $32.7 million of our gross unrecognized tax benefits would reduce our effective tax rate, if recognized. It is reasonably possible that unrecognized tax benefits primarily related to income attribution will decrease in the next 12 months by up to $6.6 million due to the lapse of statutes of limitations in foreign jurisdictions.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liability related to our unrecognized tax benefits, before interest and penalties, was $21.9 million as of December 31, 2024 and is reported as a component of other non-current liabilities. The unrecognized tax benefits presented in the table above also include positions that have reduced deferred tax assets by $14.4 million. The balance of accrued and unpaid interest and penalties was $4.5 million as of December 31, 2024 and 2023 and is included as a component of other non-current liabilities in connection with our unrecognized tax benefits.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5. Earnings Per Share</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attributable to Amkor common stockholders by the weighted-average number of common shares outstanding during the period. The weighted-average number of common shares outstanding is reduced for treasury stock.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Diluted EPS is computed based on the weighted-average number of common shares outstanding plus the effect of dilutive potential common shares outstanding during the period. Dilutive potential common shares include outstanding stock options, PSUs, RSUs and unvested restricted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computations of basic and diluted EPS: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40" w:type="dxa"/>
            <w:vAlign w:val="bottom"/>
            <w:gridSpan w:val="6"/>
          </w:tcPr>
          <w:p>
            <w:pPr>
              <w:jc w:val="center"/>
              <w:ind w:left="616"/>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60" w:type="dxa"/>
            <w:vAlign w:val="bottom"/>
          </w:tcPr>
          <w:p>
            <w:pPr>
              <w:spacing w:after="0"/>
              <w:rPr>
                <w:sz w:val="16"/>
                <w:szCs w:val="16"/>
                <w:color w:val="auto"/>
              </w:rPr>
            </w:pPr>
          </w:p>
        </w:tc>
      </w:tr>
      <w:tr>
        <w:trPr>
          <w:trHeight w:val="23"/>
        </w:trPr>
        <w:tc>
          <w:tcPr>
            <w:tcW w:w="6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340" w:type="dxa"/>
            <w:vAlign w:val="bottom"/>
            <w:gridSpan w:val="6"/>
          </w:tcPr>
          <w:p>
            <w:pPr>
              <w:jc w:val="center"/>
              <w:ind w:left="616"/>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060" w:type="dxa"/>
            <w:vAlign w:val="bottom"/>
          </w:tcPr>
          <w:p>
            <w:pPr>
              <w:spacing w:after="0"/>
              <w:rPr>
                <w:sz w:val="17"/>
                <w:szCs w:val="17"/>
                <w:color w:val="auto"/>
              </w:rPr>
            </w:pPr>
          </w:p>
        </w:tc>
      </w:tr>
      <w:tr>
        <w:trPr>
          <w:trHeight w:val="261"/>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Amkor common stockholders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359,813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765,823</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basic</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244,676</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awards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r>
      <w:tr>
        <w:trPr>
          <w:trHeight w:val="223"/>
        </w:trPr>
        <w:tc>
          <w:tcPr>
            <w:tcW w:w="6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Weighted-average number of common shares outstanding — diluted</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247,818</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247,176</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246,205</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6"/>
        </w:trPr>
        <w:tc>
          <w:tcPr>
            <w:tcW w:w="64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attributable to Amkor per common share:</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2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potential shares of common stock that were excluded from diluted EPS, because the effect of including these potential shares was anti-dilutive:</w:t>
      </w:r>
    </w:p>
    <w:p>
      <w:pPr>
        <w:spacing w:after="0" w:line="74"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8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8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760" w:type="dxa"/>
            <w:vAlign w:val="bottom"/>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00" w:type="dxa"/>
            <w:vAlign w:val="bottom"/>
          </w:tcPr>
          <w:p>
            <w:pPr>
              <w:spacing w:after="0"/>
              <w:rPr>
                <w:sz w:val="17"/>
                <w:szCs w:val="17"/>
                <w:color w:val="auto"/>
              </w:rPr>
            </w:pPr>
          </w:p>
        </w:tc>
      </w:tr>
      <w:tr>
        <w:trPr>
          <w:trHeight w:val="236"/>
        </w:trPr>
        <w:tc>
          <w:tcPr>
            <w:tcW w:w="7560" w:type="dxa"/>
            <w:vAlign w:val="bottom"/>
            <w:gridSpan w:val="2"/>
            <w:shd w:val="clear" w:color="auto" w:fill="CCEEFF"/>
          </w:tcPr>
          <w:p>
            <w:pPr>
              <w:jc w:val="right"/>
              <w:ind w:right="6028"/>
              <w:spacing w:after="0"/>
              <w:rPr>
                <w:sz w:val="20"/>
                <w:szCs w:val="20"/>
                <w:color w:val="auto"/>
              </w:rPr>
            </w:pPr>
            <w:r>
              <w:rPr>
                <w:rFonts w:ascii="Times New Roman" w:cs="Times New Roman" w:eastAsia="Times New Roman" w:hAnsi="Times New Roman"/>
                <w:sz w:val="18"/>
                <w:szCs w:val="18"/>
                <w:color w:val="auto"/>
              </w:rPr>
              <w:t>Share-based awards</w:t>
            </w:r>
          </w:p>
        </w:tc>
        <w:tc>
          <w:tcPr>
            <w:tcW w:w="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322"/>
              <w:spacing w:after="0"/>
              <w:rPr>
                <w:sz w:val="20"/>
                <w:szCs w:val="20"/>
                <w:color w:val="auto"/>
              </w:rPr>
            </w:pPr>
            <w:r>
              <w:rPr>
                <w:rFonts w:ascii="Times New Roman" w:cs="Times New Roman" w:eastAsia="Times New Roman" w:hAnsi="Times New Roman"/>
                <w:sz w:val="18"/>
                <w:szCs w:val="18"/>
                <w:color w:val="auto"/>
              </w:rPr>
              <w:t>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equivalents and available-for-sale debt investments: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Fair Value Level</w:t>
            </w:r>
          </w:p>
        </w:tc>
        <w:tc>
          <w:tcPr>
            <w:tcW w:w="0" w:type="dxa"/>
            <w:vAlign w:val="bottom"/>
          </w:tcPr>
          <w:p>
            <w:pPr>
              <w:spacing w:after="0"/>
              <w:rPr>
                <w:sz w:val="1"/>
                <w:szCs w:val="1"/>
                <w:color w:val="auto"/>
              </w:rPr>
            </w:pPr>
          </w:p>
        </w:tc>
      </w:tr>
      <w:tr>
        <w:trPr>
          <w:trHeight w:val="122"/>
        </w:trPr>
        <w:tc>
          <w:tcPr>
            <w:tcW w:w="3680" w:type="dxa"/>
            <w:vAlign w:val="bottom"/>
          </w:tcPr>
          <w:p>
            <w:pPr>
              <w:spacing w:after="0"/>
              <w:rPr>
                <w:sz w:val="10"/>
                <w:szCs w:val="10"/>
                <w:color w:val="auto"/>
              </w:rPr>
            </w:pPr>
          </w:p>
        </w:tc>
        <w:tc>
          <w:tcPr>
            <w:tcW w:w="12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6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60" w:type="dxa"/>
            <w:vAlign w:val="bottom"/>
            <w:gridSpan w:val="3"/>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240" w:type="dxa"/>
            <w:vAlign w:val="bottom"/>
          </w:tcPr>
          <w:p>
            <w:pPr>
              <w:spacing w:after="0"/>
              <w:rPr>
                <w:sz w:val="10"/>
                <w:szCs w:val="10"/>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0"/>
                <w:szCs w:val="10"/>
                <w:color w:val="auto"/>
              </w:rPr>
            </w:pPr>
          </w:p>
        </w:tc>
        <w:tc>
          <w:tcPr>
            <w:tcW w:w="92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0" w:type="dxa"/>
            <w:vAlign w:val="bottom"/>
          </w:tcPr>
          <w:p>
            <w:pPr>
              <w:spacing w:after="0"/>
              <w:rPr>
                <w:sz w:val="1"/>
                <w:szCs w:val="1"/>
                <w:color w:val="auto"/>
              </w:rPr>
            </w:pPr>
          </w:p>
        </w:tc>
      </w:tr>
      <w:tr>
        <w:trPr>
          <w:trHeight w:val="112"/>
        </w:trPr>
        <w:tc>
          <w:tcPr>
            <w:tcW w:w="368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9"/>
                <w:szCs w:val="9"/>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Losses (1)</w:t>
            </w:r>
          </w:p>
        </w:tc>
        <w:tc>
          <w:tcPr>
            <w:tcW w:w="126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368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gridSpan w:val="2"/>
            <w:vMerge w:val="continue"/>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gridSpan w:val="2"/>
            <w:vMerge w:val="continue"/>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53,110</w:t>
            </w:r>
          </w:p>
        </w:tc>
        <w:tc>
          <w:tcPr>
            <w:tcW w:w="1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53,110</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30"/>
        </w:trPr>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146,679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cash equivalents (2)</w:t>
            </w: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216,994</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216,998</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163,133</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53,865</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62,386</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Certificate of deposits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36,829</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258,657</w:t>
            </w:r>
          </w:p>
        </w:tc>
        <w:tc>
          <w:tcPr>
            <w:tcW w:w="0" w:type="dxa"/>
            <w:vAlign w:val="bottom"/>
          </w:tcPr>
          <w:p>
            <w:pPr>
              <w:spacing w:after="0"/>
              <w:rPr>
                <w:sz w:val="1"/>
                <w:szCs w:val="1"/>
                <w:color w:val="auto"/>
              </w:rPr>
            </w:pPr>
          </w:p>
        </w:tc>
      </w:tr>
      <w:tr>
        <w:trPr>
          <w:trHeight w:val="229"/>
        </w:trPr>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government bonds</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11,143</w:t>
            </w:r>
          </w:p>
        </w:tc>
        <w:tc>
          <w:tcPr>
            <w:tcW w:w="0" w:type="dxa"/>
            <w:vAlign w:val="bottom"/>
          </w:tcPr>
          <w:p>
            <w:pPr>
              <w:spacing w:after="0"/>
              <w:rPr>
                <w:sz w:val="1"/>
                <w:szCs w:val="1"/>
                <w:color w:val="auto"/>
              </w:rPr>
            </w:pPr>
          </w:p>
        </w:tc>
      </w:tr>
      <w:tr>
        <w:trPr>
          <w:trHeight w:val="230"/>
        </w:trPr>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Municipal bonds</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11,367</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110,454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110,454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509,067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508,556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125,575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382,981</w:t>
            </w:r>
          </w:p>
        </w:tc>
        <w:tc>
          <w:tcPr>
            <w:tcW w:w="0" w:type="dxa"/>
            <w:vAlign w:val="bottom"/>
          </w:tcPr>
          <w:p>
            <w:pPr>
              <w:spacing w:after="0"/>
              <w:rPr>
                <w:sz w:val="1"/>
                <w:szCs w:val="1"/>
                <w:color w:val="auto"/>
              </w:rPr>
            </w:pPr>
          </w:p>
        </w:tc>
      </w:tr>
      <w:tr>
        <w:trPr>
          <w:trHeight w:val="223"/>
        </w:trPr>
        <w:tc>
          <w:tcPr>
            <w:tcW w:w="3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726,061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725,554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288,708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436,846</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Fair Value Level</w:t>
            </w:r>
          </w:p>
        </w:tc>
        <w:tc>
          <w:tcPr>
            <w:tcW w:w="0" w:type="dxa"/>
            <w:vAlign w:val="bottom"/>
          </w:tcPr>
          <w:p>
            <w:pPr>
              <w:spacing w:after="0"/>
              <w:rPr>
                <w:sz w:val="1"/>
                <w:szCs w:val="1"/>
                <w:color w:val="auto"/>
              </w:rPr>
            </w:pPr>
          </w:p>
        </w:tc>
      </w:tr>
      <w:tr>
        <w:trPr>
          <w:trHeight w:val="122"/>
        </w:trPr>
        <w:tc>
          <w:tcPr>
            <w:tcW w:w="3740" w:type="dxa"/>
            <w:vAlign w:val="bottom"/>
          </w:tcPr>
          <w:p>
            <w:pPr>
              <w:spacing w:after="0"/>
              <w:rPr>
                <w:sz w:val="10"/>
                <w:szCs w:val="10"/>
                <w:color w:val="auto"/>
              </w:rPr>
            </w:pPr>
          </w:p>
        </w:tc>
        <w:tc>
          <w:tcPr>
            <w:tcW w:w="12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8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60" w:type="dxa"/>
            <w:vAlign w:val="bottom"/>
            <w:gridSpan w:val="3"/>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240" w:type="dxa"/>
            <w:vAlign w:val="bottom"/>
          </w:tcPr>
          <w:p>
            <w:pPr>
              <w:spacing w:after="0"/>
              <w:rPr>
                <w:sz w:val="10"/>
                <w:szCs w:val="10"/>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0"/>
                <w:szCs w:val="10"/>
                <w:color w:val="auto"/>
              </w:rPr>
            </w:pPr>
          </w:p>
        </w:tc>
        <w:tc>
          <w:tcPr>
            <w:tcW w:w="92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1260" w:type="dxa"/>
            <w:vAlign w:val="bottom"/>
            <w:tcBorders>
              <w:bottom w:val="single" w:sz="8" w:color="auto"/>
            </w:tcBorders>
            <w:gridSpan w:val="3"/>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Losses (1)</w:t>
            </w:r>
          </w:p>
        </w:tc>
        <w:tc>
          <w:tcPr>
            <w:tcW w:w="1260" w:type="dxa"/>
            <w:vAlign w:val="bottom"/>
            <w:tcBorders>
              <w:bottom w:val="single" w:sz="8" w:color="auto"/>
            </w:tcBorders>
            <w:gridSpan w:val="3"/>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48,063</w:t>
            </w:r>
          </w:p>
        </w:tc>
        <w:tc>
          <w:tcPr>
            <w:tcW w:w="0" w:type="dxa"/>
            <w:vAlign w:val="bottom"/>
          </w:tcPr>
          <w:p>
            <w:pPr>
              <w:spacing w:after="0"/>
              <w:rPr>
                <w:sz w:val="1"/>
                <w:szCs w:val="1"/>
                <w:color w:val="auto"/>
              </w:rPr>
            </w:pPr>
          </w:p>
        </w:tc>
      </w:tr>
      <w:tr>
        <w:trPr>
          <w:trHeight w:val="230"/>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cash equivalents (2)</w:t>
            </w: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111,916</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111,916</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63,715</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48,201</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65,488</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Certificate of deposits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56,273</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251,804</w:t>
            </w:r>
          </w:p>
        </w:tc>
        <w:tc>
          <w:tcPr>
            <w:tcW w:w="0" w:type="dxa"/>
            <w:vAlign w:val="bottom"/>
          </w:tcPr>
          <w:p>
            <w:pPr>
              <w:spacing w:after="0"/>
              <w:rPr>
                <w:sz w:val="1"/>
                <w:szCs w:val="1"/>
                <w:color w:val="auto"/>
              </w:rPr>
            </w:pPr>
          </w:p>
        </w:tc>
      </w:tr>
      <w:tr>
        <w:trPr>
          <w:trHeight w:val="229"/>
        </w:trPr>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13,191</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65,881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65,815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65,815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469,451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469,657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386,756</w:t>
            </w: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434,957</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660" w:hanging="328"/>
        <w:spacing w:after="0" w:line="266" w:lineRule="auto"/>
        <w:tabs>
          <w:tab w:leader="none" w:pos="65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unrealized losses have been in a continuous loss position for less than 12 months. We do not intend to sell the investments in an unrealized loss position, and we do not believe it is more likely than not that we will be required to sell these investments before recovery of their amortized cost bases.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years ended December 31, 2024, 2023, and 2022 we sold cash equivalent investments for proceeds of $29.8 million, $47.0 million and $29.6 million, respectively, and realized no gain or loss on such sales.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our cash equivalents and available-for-sale debt investments as of December 31, 2024:</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60" w:type="dxa"/>
            <w:vAlign w:val="bottom"/>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644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1 year</w:t>
            </w:r>
          </w:p>
        </w:tc>
        <w:tc>
          <w:tcPr>
            <w:tcW w:w="1680" w:type="dxa"/>
            <w:vAlign w:val="bottom"/>
            <w:shd w:val="clear" w:color="auto" w:fill="CCEEFF"/>
          </w:tcPr>
          <w:p>
            <w:pPr>
              <w:jc w:val="right"/>
              <w:ind w:right="14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493,164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493,511</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1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158,482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158,514</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and mortgage-backed securities</w:t>
            </w:r>
          </w:p>
        </w:tc>
        <w:tc>
          <w:tcPr>
            <w:tcW w:w="16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74,415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73,529</w:t>
            </w:r>
          </w:p>
        </w:tc>
      </w:tr>
      <w:tr>
        <w:trPr>
          <w:trHeight w:val="223"/>
        </w:trPr>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bottom w:val="single" w:sz="8" w:color="auto"/>
            </w:tcBorders>
          </w:tcPr>
          <w:p>
            <w:pPr>
              <w:jc w:val="right"/>
              <w:ind w:right="14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726,061</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725,554</w:t>
            </w:r>
          </w:p>
        </w:tc>
      </w:tr>
      <w:tr>
        <w:trPr>
          <w:trHeight w:val="20"/>
        </w:trPr>
        <w:tc>
          <w:tcPr>
            <w:tcW w:w="64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Actual maturities can differ from contractual maturities due to various factors including whether the issuers have the right to call or prepay obligations without call or prepayment penalties, and we view our available-for-sale debt investments as available for current operations.</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2024, the amortized cost and fair market value of our held-to-maturity government bonds (Level 1) maturing within a year were $4.4 million. As of December 31, 2023 the amortized cost and fair market value of our held-to-maturity government bonds (Level 1) maturing within a year were $5.2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7. Factoring of Accounts Receivable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certain accounts receivable, we use non-recourse factoring arrangements with third-party financial institutions to manage our working capital and cash flows. Under these arrangements, we sell receivables to a financial institution for cash at a discount to the face amount. As part of the factoring arrangements, we perform certain collection and administrative functions for the receivables sold. For the years ended December 31, 2024 and 2023, we sold accounts receivable totaling $158.6 million and $253.9 million, net of discounts and fees of $0.4 million and $1.3 million, respectively.</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8. Property, Plant and Equipment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consist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7"/>
                <w:szCs w:val="17"/>
                <w:color w:val="auto"/>
              </w:rPr>
            </w:pPr>
          </w:p>
        </w:tc>
      </w:tr>
      <w:tr>
        <w:trPr>
          <w:trHeight w:val="23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246,953</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212,722</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2,239,481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2,080,589</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7,389,787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7,022,614</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274,302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209,506</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other equipment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22,655</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and computer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215,031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200,362</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185,351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223,332</w:t>
            </w:r>
          </w:p>
        </w:tc>
      </w:tr>
      <w:tr>
        <w:trPr>
          <w:trHeight w:val="223"/>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10,569,557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9,971,780</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(6,993,409)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(6,672,335)</w:t>
            </w:r>
          </w:p>
        </w:tc>
      </w:tr>
      <w:tr>
        <w:trPr>
          <w:trHeight w:val="223"/>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3,576,148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3,299,445</w:t>
            </w:r>
          </w:p>
        </w:tc>
      </w:tr>
      <w:tr>
        <w:trPr>
          <w:trHeight w:val="20"/>
        </w:trPr>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2024, we acquired land for the Arizona Facility with a total fair market value of $36.9 million. We anticipate beginning construction of the new facility in the second half of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depreciation expense: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80" w:type="dxa"/>
            <w:vAlign w:val="bottom"/>
            <w:gridSpan w:val="4"/>
          </w:tcPr>
          <w:p>
            <w:pPr>
              <w:jc w:val="center"/>
              <w:ind w:left="682"/>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20" w:type="dxa"/>
            <w:vAlign w:val="bottom"/>
          </w:tcPr>
          <w:p>
            <w:pPr>
              <w:spacing w:after="0"/>
              <w:rPr>
                <w:sz w:val="16"/>
                <w:szCs w:val="16"/>
                <w:color w:val="auto"/>
              </w:rPr>
            </w:pPr>
          </w:p>
        </w:tc>
      </w:tr>
      <w:tr>
        <w:trPr>
          <w:trHeight w:val="23"/>
        </w:trPr>
        <w:tc>
          <w:tcPr>
            <w:tcW w:w="6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6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132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80" w:type="dxa"/>
            <w:vAlign w:val="bottom"/>
          </w:tcPr>
          <w:p>
            <w:pPr>
              <w:spacing w:after="0"/>
              <w:rPr>
                <w:sz w:val="16"/>
                <w:szCs w:val="16"/>
                <w:color w:val="auto"/>
              </w:rPr>
            </w:pPr>
          </w:p>
        </w:tc>
        <w:tc>
          <w:tcPr>
            <w:tcW w:w="112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6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6"/>
        </w:trPr>
        <w:tc>
          <w:tcPr>
            <w:tcW w:w="6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594,141</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630,941</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612,105</w:t>
            </w:r>
          </w:p>
        </w:tc>
      </w:tr>
    </w:tbl>
    <w:p>
      <w:pPr>
        <w:spacing w:after="0" w:line="200" w:lineRule="exact"/>
        <w:rPr>
          <w:sz w:val="20"/>
          <w:szCs w:val="20"/>
          <w:color w:val="auto"/>
        </w:rPr>
      </w:pPr>
    </w:p>
    <w:p>
      <w:pPr>
        <w:spacing w:after="0" w:line="2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extension in the estimated useful lives of test equipment (Note 1) reduced depreciation expense by approximately $59 million in 2024. This benefited net income by approximately $49 million and diluted earnings per share by $0.20.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138"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70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20" w:type="dxa"/>
            <w:vAlign w:val="bottom"/>
          </w:tcPr>
          <w:p>
            <w:pPr>
              <w:spacing w:after="0"/>
              <w:rPr>
                <w:sz w:val="16"/>
                <w:szCs w:val="16"/>
                <w:color w:val="auto"/>
              </w:rPr>
            </w:pPr>
          </w:p>
        </w:tc>
      </w:tr>
      <w:tr>
        <w:trPr>
          <w:trHeight w:val="23"/>
        </w:trPr>
        <w:tc>
          <w:tcPr>
            <w:tcW w:w="6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610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40,110</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70,722</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81,410</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24,644</w:t>
            </w:r>
          </w:p>
        </w:tc>
      </w:tr>
      <w:tr>
        <w:trPr>
          <w:trHeight w:val="230"/>
        </w:trPr>
        <w:tc>
          <w:tcPr>
            <w:tcW w:w="6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3,891</w:t>
            </w:r>
          </w:p>
        </w:tc>
      </w:tr>
      <w:tr>
        <w:trPr>
          <w:trHeight w:val="223"/>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28,535</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9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6,592</w:t>
            </w:r>
          </w:p>
        </w:tc>
      </w:tr>
      <w:tr>
        <w:trPr>
          <w:trHeight w:val="223"/>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lease cost</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96,546</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130,297</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122,286</w:t>
            </w:r>
          </w:p>
        </w:tc>
      </w:tr>
      <w:tr>
        <w:trPr>
          <w:trHeight w:val="20"/>
        </w:trPr>
        <w:tc>
          <w:tcPr>
            <w:tcW w:w="6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related to leases was as follows:</w:t>
      </w:r>
    </w:p>
    <w:p>
      <w:pPr>
        <w:spacing w:after="0" w:line="151"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5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38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220" w:type="dxa"/>
            <w:vAlign w:val="bottom"/>
          </w:tcPr>
          <w:p>
            <w:pPr>
              <w:spacing w:after="0"/>
              <w:rPr>
                <w:sz w:val="16"/>
                <w:szCs w:val="16"/>
                <w:color w:val="auto"/>
              </w:rPr>
            </w:pPr>
          </w:p>
        </w:tc>
      </w:tr>
      <w:tr>
        <w:trPr>
          <w:trHeight w:val="23"/>
        </w:trPr>
        <w:tc>
          <w:tcPr>
            <w:tcW w:w="58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58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Flows Information (in thousands)</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39,111</w:t>
            </w:r>
          </w:p>
        </w:tc>
        <w:tc>
          <w:tcPr>
            <w:tcW w:w="6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73,774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81,044</w:t>
            </w:r>
          </w:p>
        </w:tc>
      </w:tr>
      <w:tr>
        <w:trPr>
          <w:trHeight w:val="229"/>
        </w:trPr>
        <w:tc>
          <w:tcPr>
            <w:tcW w:w="5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5,419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3,933</w:t>
            </w:r>
          </w:p>
        </w:tc>
      </w:tr>
      <w:tr>
        <w:trPr>
          <w:trHeight w:val="230"/>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72,255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66,398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40,673</w:t>
            </w:r>
          </w:p>
        </w:tc>
      </w:tr>
    </w:tbl>
    <w:p>
      <w:pPr>
        <w:spacing w:after="0" w:line="270"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 (years)</w:t>
            </w:r>
          </w:p>
        </w:tc>
        <w:tc>
          <w:tcPr>
            <w:tcW w:w="26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26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6.0</w:t>
            </w:r>
          </w:p>
        </w:tc>
        <w:tc>
          <w:tcPr>
            <w:tcW w:w="17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6.1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26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3.9</w:t>
            </w:r>
          </w:p>
        </w:tc>
        <w:tc>
          <w:tcPr>
            <w:tcW w:w="170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3.2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0"/>
        </w:trPr>
        <w:tc>
          <w:tcPr>
            <w:tcW w:w="538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26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26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5.8 %</w:t>
            </w:r>
          </w:p>
        </w:tc>
        <w:tc>
          <w:tcPr>
            <w:tcW w:w="17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5.2 %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30"/>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26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6.3 %</w:t>
            </w:r>
          </w:p>
        </w:tc>
        <w:tc>
          <w:tcPr>
            <w:tcW w:w="170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5.7 %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7" w:right="5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lease liabilities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4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40" w:type="dxa"/>
            <w:vAlign w:val="bottom"/>
          </w:tcPr>
          <w:p>
            <w:pPr>
              <w:spacing w:after="0"/>
              <w:rPr>
                <w:sz w:val="16"/>
                <w:szCs w:val="16"/>
                <w:color w:val="auto"/>
              </w:rPr>
            </w:pPr>
          </w:p>
        </w:tc>
      </w:tr>
      <w:tr>
        <w:trPr>
          <w:trHeight w:val="23"/>
        </w:trPr>
        <w:tc>
          <w:tcPr>
            <w:tcW w:w="6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190"/>
        </w:trPr>
        <w:tc>
          <w:tcPr>
            <w:tcW w:w="6120" w:type="dxa"/>
            <w:vAlign w:val="bottom"/>
          </w:tcPr>
          <w:p>
            <w:pPr>
              <w:spacing w:after="0"/>
              <w:rPr>
                <w:sz w:val="16"/>
                <w:szCs w:val="16"/>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196"/>
        </w:trPr>
        <w:tc>
          <w:tcPr>
            <w:tcW w:w="6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40" w:type="dxa"/>
            <w:vAlign w:val="bottom"/>
          </w:tcPr>
          <w:p>
            <w:pPr>
              <w:spacing w:after="0"/>
              <w:rPr>
                <w:sz w:val="17"/>
                <w:szCs w:val="17"/>
                <w:color w:val="auto"/>
              </w:rPr>
            </w:pPr>
          </w:p>
        </w:tc>
      </w:tr>
      <w:tr>
        <w:trPr>
          <w:trHeight w:val="23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20" w:type="dxa"/>
            <w:vAlign w:val="bottom"/>
            <w:shd w:val="clear" w:color="auto" w:fill="CCEEFF"/>
          </w:tcPr>
          <w:p>
            <w:pPr>
              <w:jc w:val="right"/>
              <w:ind w:right="16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30,852</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65,666</w:t>
            </w:r>
          </w:p>
        </w:tc>
      </w:tr>
      <w:tr>
        <w:trPr>
          <w:trHeight w:val="23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23,072</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52,194</w:t>
            </w:r>
          </w:p>
        </w:tc>
      </w:tr>
      <w:tr>
        <w:trPr>
          <w:trHeight w:val="22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16,258</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32,624</w:t>
            </w:r>
          </w:p>
        </w:tc>
      </w:tr>
      <w:tr>
        <w:trPr>
          <w:trHeight w:val="23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17,433</w:t>
            </w:r>
          </w:p>
        </w:tc>
      </w:tr>
      <w:tr>
        <w:trPr>
          <w:trHeight w:val="22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23,836</w:t>
            </w:r>
          </w:p>
        </w:tc>
      </w:tr>
      <w:tr>
        <w:trPr>
          <w:trHeight w:val="229"/>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16,884</w:t>
            </w:r>
          </w:p>
        </w:tc>
        <w:tc>
          <w:tcPr>
            <w:tcW w:w="16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12,618</w:t>
            </w:r>
          </w:p>
        </w:tc>
      </w:tr>
      <w:tr>
        <w:trPr>
          <w:trHeight w:val="223"/>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8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98,484</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204,371</w:t>
            </w:r>
          </w:p>
        </w:tc>
      </w:tr>
      <w:tr>
        <w:trPr>
          <w:trHeight w:val="229"/>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8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(13,674)</w:t>
            </w:r>
          </w:p>
        </w:tc>
        <w:tc>
          <w:tcPr>
            <w:tcW w:w="16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(26,050)</w:t>
            </w:r>
          </w:p>
        </w:tc>
      </w:tr>
      <w:tr>
        <w:trPr>
          <w:trHeight w:val="248"/>
        </w:trPr>
        <w:tc>
          <w:tcPr>
            <w:tcW w:w="6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bottom w:val="single" w:sz="8" w:color="auto"/>
            </w:tcBorders>
            <w:shd w:val="clear" w:color="auto" w:fill="CCEEFF"/>
          </w:tcPr>
          <w:p>
            <w:pPr>
              <w:jc w:val="right"/>
              <w:ind w:right="16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84,810</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178,321</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we have entered into additional lease agreements that have not yet commenced of approximately $22 million.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Accrued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7"/>
                <w:szCs w:val="17"/>
                <w:color w:val="auto"/>
              </w:rPr>
            </w:pPr>
          </w:p>
        </w:tc>
      </w:tr>
      <w:tr>
        <w:trPr>
          <w:trHeight w:val="23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benefits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121,683</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115,604</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and customer advances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59,656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71,117</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finance lease liability</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57,761</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35,215</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pension and severance obligations (Note 12)</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7,906</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11,175</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59,636</w:t>
            </w:r>
          </w:p>
        </w:tc>
      </w:tr>
      <w:tr>
        <w:trPr>
          <w:trHeight w:val="223"/>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accrued expenses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356,337</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358,414</w:t>
            </w:r>
          </w:p>
        </w:tc>
      </w:tr>
      <w:tr>
        <w:trPr>
          <w:trHeight w:val="21"/>
        </w:trPr>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borrowings and long-term debt consist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7"/>
                <w:szCs w:val="17"/>
                <w:color w:val="auto"/>
              </w:rPr>
            </w:pPr>
          </w:p>
        </w:tc>
      </w:tr>
      <w:tr>
        <w:trPr>
          <w:trHeight w:val="23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of Amkor Technology, Inc.:</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Senior notes: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1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6.625% Senior notes, due September 2027</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of subsidiaries: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Amkor Technology Korea, Inc.:</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Term loan, fixed rate at 3.95%, due May 2027 (1)</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Term loan, fixed rate at 2.12%, due December 2028</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Amkor Technology Japan, Inc.:</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1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Short-term term loans, variable rate (2)</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w:t>
            </w:r>
          </w:p>
        </w:tc>
      </w:tr>
      <w:tr>
        <w:trPr>
          <w:trHeight w:val="229"/>
        </w:trPr>
        <w:tc>
          <w:tcPr>
            <w:tcW w:w="8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Term loan, fixed rate at 1.35%, due December 2024</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40,414</w:t>
            </w:r>
          </w:p>
        </w:tc>
      </w:tr>
      <w:tr>
        <w:trPr>
          <w:trHeight w:val="230"/>
        </w:trPr>
        <w:tc>
          <w:tcPr>
            <w:tcW w:w="81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Term loan, fixed rate at 1.20%, due December 2025</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30,913</w:t>
            </w:r>
          </w:p>
        </w:tc>
      </w:tr>
      <w:tr>
        <w:trPr>
          <w:trHeight w:val="229"/>
        </w:trPr>
        <w:tc>
          <w:tcPr>
            <w:tcW w:w="8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Term loan, fixed rate at 1.23%, due December 2026</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55,729</w:t>
            </w:r>
          </w:p>
        </w:tc>
      </w:tr>
      <w:tr>
        <w:trPr>
          <w:trHeight w:val="229"/>
        </w:trPr>
        <w:tc>
          <w:tcPr>
            <w:tcW w:w="81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Term loan, fixed rate at 1.59%, due December 2027</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59,923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89,053</w:t>
            </w:r>
          </w:p>
        </w:tc>
      </w:tr>
      <w:tr>
        <w:trPr>
          <w:trHeight w:val="230"/>
        </w:trPr>
        <w:tc>
          <w:tcPr>
            <w:tcW w:w="8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Term loan, fixed rate at 1.80%, due December 2028</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89,059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124,078</w:t>
            </w:r>
          </w:p>
        </w:tc>
      </w:tr>
      <w:tr>
        <w:trPr>
          <w:trHeight w:val="229"/>
        </w:trPr>
        <w:tc>
          <w:tcPr>
            <w:tcW w:w="81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Term loan, fixed rate at 2.05%, due December 2029 (3)</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108,779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Amkor Assembly &amp; Test (Shanghai) Co., Ltd.:</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1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Term loans, SOFR plus 0.75%, due June 2025</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w:t>
            </w:r>
          </w:p>
        </w:tc>
      </w:tr>
      <w:tr>
        <w:trPr>
          <w:trHeight w:val="229"/>
        </w:trPr>
        <w:tc>
          <w:tcPr>
            <w:tcW w:w="8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Term loans, SOFR plus 0.75%, due 2025</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w:t>
            </w:r>
          </w:p>
        </w:tc>
      </w:tr>
      <w:tr>
        <w:trPr>
          <w:trHeight w:val="230"/>
        </w:trPr>
        <w:tc>
          <w:tcPr>
            <w:tcW w:w="81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Term loans, SOFR plus 0.95%, due December 2026 (4)</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r>
      <w:tr>
        <w:trPr>
          <w:trHeight w:val="23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75"/>
        </w:trPr>
        <w:tc>
          <w:tcPr>
            <w:tcW w:w="8100" w:type="dxa"/>
            <w:vAlign w:val="bottom"/>
            <w:shd w:val="clear" w:color="auto" w:fill="CCEEFF"/>
          </w:tcPr>
          <w:p>
            <w:pPr>
              <w:ind w:left="600"/>
              <w:spacing w:after="0" w:line="176" w:lineRule="exact"/>
              <w:rPr>
                <w:sz w:val="20"/>
                <w:szCs w:val="20"/>
                <w:color w:val="auto"/>
              </w:rPr>
            </w:pPr>
            <w:r>
              <w:rPr>
                <w:rFonts w:ascii="Times New Roman" w:cs="Times New Roman" w:eastAsia="Times New Roman" w:hAnsi="Times New Roman"/>
                <w:sz w:val="18"/>
                <w:szCs w:val="18"/>
                <w:color w:val="auto"/>
              </w:rPr>
              <w:t>Senior secured revolving credit facility, applicable bank rate plus 1.75%, due March 2027 (Singapore)</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43"/>
        </w:trPr>
        <w:tc>
          <w:tcPr>
            <w:tcW w:w="81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1,164,462</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1,209,785</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discount and deferred debt costs,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w:t>
            </w:r>
          </w:p>
        </w:tc>
      </w:tr>
      <w:tr>
        <w:trPr>
          <w:trHeight w:val="23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Short-term borrowings and current portion of long-term debt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(236,029)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(131,624)</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923,431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1,071,832</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left="660" w:hanging="328"/>
        <w:spacing w:after="0" w:line="277" w:lineRule="auto"/>
        <w:tabs>
          <w:tab w:leader="none" w:pos="65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April 2021, we entered into a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80 billion term loan agreement with the option to borrow and re-borrow the funds up to six times per year through April 2024 at a fixed rate of 1.85%. In May 2024, we replaced this loan by entering into a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80.0 billion (approximately $59 million) term loan agreement with the option to borrow and re-borrow the funds up to six times per year through May 2027. Principal is payable at maturity, and interest is payable monthly, at a fixed rate of 3.95%. During the year ended December 31, 2024, we borrowed $58.7 million, which we immediately repaid. As of December 31, 2024, </w:t>
      </w:r>
      <w:r>
        <w:rPr>
          <w:rFonts w:ascii="Arial" w:cs="Arial" w:eastAsia="Arial" w:hAnsi="Arial"/>
          <w:sz w:val="18"/>
          <w:szCs w:val="18"/>
          <w:color w:val="auto"/>
        </w:rPr>
        <w:t>₩</w:t>
      </w:r>
      <w:r>
        <w:rPr>
          <w:rFonts w:ascii="Times New Roman" w:cs="Times New Roman" w:eastAsia="Times New Roman" w:hAnsi="Times New Roman"/>
          <w:sz w:val="18"/>
          <w:szCs w:val="18"/>
          <w:color w:val="auto"/>
        </w:rPr>
        <w:t>80.0 billion, or approximately $54 million, was available to be drawn.</w:t>
      </w:r>
    </w:p>
    <w:p>
      <w:pPr>
        <w:spacing w:after="0" w:line="85"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various short-term term loans which mature semiannually. Principal and interest are payable in monthly installments. As of December 31, 2024, $6.0 million was available to be drawn.</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we borrowed ¥17.1 billion (US$113.9 million) under a new term loan agreement due December 2029, guaranteed by Amkor Technology, Inc. and our subsidiary, ATSH. Principal is due in 20 equal, quarterly installments plus accrued interest, through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right="20" w:hanging="328"/>
        <w:spacing w:after="0" w:line="282" w:lineRule="auto"/>
        <w:tabs>
          <w:tab w:leader="none" w:pos="65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2024, Amkor Assembly &amp; Test (Shanghai) Co. Ltd. amended the term loan due December 2026 to reduce the interest rate from SOFR plus 1.40% to SOFR plus 0.95%. This contractual amendment is treated as a modification with no recognized gain or loss.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2022, ATSH entered into the 2022 Singapore Revolver, which is guaranteed by Amkor Technology, Inc., ATT and AATT. The maximum borrowing capacity under the 2022 Singapore Revolver is limited to a base amount equal to the lesser of: (1) $600.0 million; or (2) $250.0 million plus a variable amount equal to 37.5% of our consolidated accounts receivable balance. As of December 31, 2024, $600.0 million was available for future borrowings under the 2022 Singapore Revolver.</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our foreign debt is collateralized by the land, buildings, equipment and accounts receivable in the respective locations. As of December 31, 2024 the collateralized debt balance was $639.5 million, of which $286.1 million of assets were pledged as collateral.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is payable semiannually on our senior notes and quarterly or monthly on our other fixed- and variable-rate debt. Refer to the table above for the interest rates on our fixed-rate debt and to the table below for the interest rates on our variable-rate debt.</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16"/>
                <w:szCs w:val="16"/>
                <w:color w:val="auto"/>
              </w:rPr>
            </w:pPr>
          </w:p>
        </w:tc>
      </w:tr>
      <w:tr>
        <w:trPr>
          <w:trHeight w:val="23"/>
        </w:trPr>
        <w:tc>
          <w:tcPr>
            <w:tcW w:w="2820" w:type="dxa"/>
            <w:vAlign w:val="bottom"/>
          </w:tcPr>
          <w:p>
            <w:pPr>
              <w:spacing w:after="0"/>
              <w:rPr>
                <w:sz w:val="2"/>
                <w:szCs w:val="2"/>
                <w:color w:val="auto"/>
              </w:rPr>
            </w:pPr>
          </w:p>
        </w:tc>
        <w:tc>
          <w:tcPr>
            <w:tcW w:w="608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0"/>
        </w:trPr>
        <w:tc>
          <w:tcPr>
            <w:tcW w:w="28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0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Amkor Technology Japan, Inc:</w:t>
            </w:r>
          </w:p>
        </w:tc>
        <w:tc>
          <w:tcPr>
            <w:tcW w:w="50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2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term loans, variable rate</w:t>
            </w:r>
          </w:p>
        </w:tc>
        <w:tc>
          <w:tcPr>
            <w:tcW w:w="5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20" w:type="dxa"/>
            <w:vAlign w:val="bottom"/>
          </w:tcPr>
          <w:p>
            <w:pPr>
              <w:jc w:val="right"/>
              <w:ind w:right="554"/>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0.24 %</w:t>
            </w:r>
          </w:p>
        </w:tc>
      </w:tr>
      <w:tr>
        <w:trPr>
          <w:trHeight w:val="229"/>
        </w:trPr>
        <w:tc>
          <w:tcPr>
            <w:tcW w:w="8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Amkor Assembly &amp; Test (Shanghai) Co., Ltd.:</w:t>
            </w:r>
          </w:p>
        </w:tc>
        <w:tc>
          <w:tcPr>
            <w:tcW w:w="1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9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Term loans, SOFR plus 0.75% due June 2025</w:t>
            </w:r>
          </w:p>
        </w:tc>
        <w:tc>
          <w:tcPr>
            <w:tcW w:w="1220" w:type="dxa"/>
            <w:vAlign w:val="bottom"/>
          </w:tcPr>
          <w:p>
            <w:pPr>
              <w:jc w:val="right"/>
              <w:ind w:right="554"/>
              <w:spacing w:after="0"/>
              <w:rPr>
                <w:sz w:val="20"/>
                <w:szCs w:val="20"/>
                <w:color w:val="auto"/>
              </w:rPr>
            </w:pPr>
            <w:r>
              <w:rPr>
                <w:rFonts w:ascii="Times New Roman" w:cs="Times New Roman" w:eastAsia="Times New Roman" w:hAnsi="Times New Roman"/>
                <w:sz w:val="18"/>
                <w:szCs w:val="18"/>
                <w:color w:val="auto"/>
              </w:rPr>
              <w:t>5.15 %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6.07 %</w:t>
            </w:r>
          </w:p>
        </w:tc>
      </w:tr>
      <w:tr>
        <w:trPr>
          <w:trHeight w:val="229"/>
        </w:trPr>
        <w:tc>
          <w:tcPr>
            <w:tcW w:w="2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9"/>
              </w:rPr>
              <w:t>Term loans, SOFR plus 0.75%, due</w:t>
            </w:r>
          </w:p>
        </w:tc>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5.15 %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6.07 %</w:t>
            </w:r>
          </w:p>
        </w:tc>
      </w:tr>
      <w:tr>
        <w:trPr>
          <w:trHeight w:val="234"/>
        </w:trPr>
        <w:tc>
          <w:tcPr>
            <w:tcW w:w="28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Term loans, SOFR plus 0.95%, due</w:t>
            </w: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2026</w:t>
            </w:r>
          </w:p>
        </w:tc>
        <w:tc>
          <w:tcPr>
            <w:tcW w:w="1220" w:type="dxa"/>
            <w:vAlign w:val="bottom"/>
          </w:tcPr>
          <w:p>
            <w:pPr>
              <w:jc w:val="right"/>
              <w:ind w:right="554"/>
              <w:spacing w:after="0"/>
              <w:rPr>
                <w:sz w:val="20"/>
                <w:szCs w:val="20"/>
                <w:color w:val="auto"/>
              </w:rPr>
            </w:pPr>
            <w:r>
              <w:rPr>
                <w:rFonts w:ascii="Times New Roman" w:cs="Times New Roman" w:eastAsia="Times New Roman" w:hAnsi="Times New Roman"/>
                <w:sz w:val="18"/>
                <w:szCs w:val="18"/>
                <w:color w:val="auto"/>
              </w:rPr>
              <w:t>5.28 %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6.76 %</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Debt Covenants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debt of Amkor Technology, Inc. is structurally subordinated in right of payment to all existing and future debt and other liabilities of our subsidiaries. From time to time, Amkor Technology, Inc., ATT, AATT and ATSH guarantee certain debt of our subsidiaries. The agreements governing our indebtedness contain affirmative and negative covenants which restrict our ability to pay dividends and could restrict our operations. These restrictions are determined in part by calculations based upon cumulative net income and do not currently have a material impact on our ability to make dividend payments or stock repurchases.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in compliance with all debt covenants at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720" w:type="dxa"/>
            <w:vAlign w:val="bottom"/>
          </w:tcPr>
          <w:p>
            <w:pPr>
              <w:ind w:left="4360"/>
              <w:spacing w:after="0"/>
              <w:rPr>
                <w:sz w:val="20"/>
                <w:szCs w:val="20"/>
                <w:color w:val="auto"/>
              </w:rPr>
            </w:pPr>
            <w:r>
              <w:rPr>
                <w:rFonts w:ascii="Times New Roman" w:cs="Times New Roman" w:eastAsia="Times New Roman" w:hAnsi="Times New Roman"/>
                <w:sz w:val="18"/>
                <w:szCs w:val="18"/>
                <w:b w:val="1"/>
                <w:bCs w:val="1"/>
                <w:color w:val="auto"/>
              </w:rPr>
              <w:t>AMKOR TECHNOLOGY, INC.</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8"/>
        </w:trPr>
        <w:tc>
          <w:tcPr>
            <w:tcW w:w="9720" w:type="dxa"/>
            <w:vAlign w:val="bottom"/>
          </w:tcPr>
          <w:p>
            <w:pPr>
              <w:ind w:left="33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823"/>
        </w:trPr>
        <w:tc>
          <w:tcPr>
            <w:tcW w:w="97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Maturities</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0"/>
        </w:trPr>
        <w:tc>
          <w:tcPr>
            <w:tcW w:w="9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Total Debt</w:t>
            </w:r>
          </w:p>
        </w:tc>
      </w:tr>
      <w:tr>
        <w:trPr>
          <w:trHeight w:val="23"/>
        </w:trPr>
        <w:tc>
          <w:tcPr>
            <w:tcW w:w="9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9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due for the year ending December 31,</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9"/>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236,029</w:t>
            </w:r>
          </w:p>
        </w:tc>
      </w:tr>
      <w:tr>
        <w:trPr>
          <w:trHeight w:val="23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173,662</w:t>
            </w:r>
          </w:p>
        </w:tc>
      </w:tr>
      <w:tr>
        <w:trPr>
          <w:trHeight w:val="229"/>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638,995</w:t>
            </w:r>
          </w:p>
        </w:tc>
      </w:tr>
      <w:tr>
        <w:trPr>
          <w:trHeight w:val="22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94,020</w:t>
            </w:r>
          </w:p>
        </w:tc>
      </w:tr>
      <w:tr>
        <w:trPr>
          <w:trHeight w:val="230"/>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21,756</w:t>
            </w:r>
          </w:p>
        </w:tc>
      </w:tr>
      <w:tr>
        <w:trPr>
          <w:trHeight w:val="22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1,164,462</w:t>
            </w:r>
          </w:p>
        </w:tc>
      </w:tr>
      <w:tr>
        <w:trPr>
          <w:trHeight w:val="20"/>
        </w:trPr>
        <w:tc>
          <w:tcPr>
            <w:tcW w:w="9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Pension and Severance Plans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Korean Severance Plan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subsidiary in Korea maintains an unfunded severance plan that covers certain employees that were employed prior to August 1, 2015. To the extent eligible employees are terminated, our subsidiary in Korea would be required to make lump-sum severance payments on behalf of these eligible employees for service provided prior to August 1, 2015. Factors used to determine severance benefits include employees’ length of service, seniority and rate of pay. The employees’ length of service and seniority are fixed as of July 31, 2015. The employees’ rate of pay is adjusted to the rate of pay at the time of termination. Accrued severance benefits are estimated assuming all eligible employees were to terminate their employment at the balance sheet date. Our contributions to the National Pension Plan of the Republic of Korea are deducted from accrued severance benefit liabilities. On August 1, 2015, our subsidiary in Korea began sponsoring a defined benefit pension plan and a defined contribution plan. Existing employees at that time were given the option of choosing either a defined benefit pension plan or a defined contribution plan for their future benefits and new employees since that date are enrolled in a defined contribution plan.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to the balance of our accrued severance plan obligations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3140" w:type="dxa"/>
            <w:vAlign w:val="bottom"/>
            <w:gridSpan w:val="5"/>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23"/>
        </w:trPr>
        <w:tc>
          <w:tcPr>
            <w:tcW w:w="8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1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7"/>
                <w:szCs w:val="17"/>
                <w:color w:val="auto"/>
              </w:rPr>
            </w:pPr>
          </w:p>
        </w:tc>
      </w:tr>
      <w:tr>
        <w:trPr>
          <w:trHeight w:val="23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47,906</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56,289</w:t>
            </w:r>
          </w:p>
        </w:tc>
      </w:tr>
      <w:tr>
        <w:trPr>
          <w:trHeight w:val="23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of severance benefits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Severance payments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(8,770)</w:t>
            </w:r>
          </w:p>
        </w:tc>
      </w:tr>
      <w:tr>
        <w:trPr>
          <w:trHeight w:val="230"/>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currency (gain) loss</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43,438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47,906</w:t>
            </w:r>
          </w:p>
        </w:tc>
      </w:tr>
      <w:tr>
        <w:trPr>
          <w:trHeight w:val="230"/>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Payments remaining with the National Pension Fund</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severance plan obligations at December 31</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43,337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47,787</w:t>
            </w:r>
          </w:p>
        </w:tc>
      </w:tr>
      <w:tr>
        <w:trPr>
          <w:trHeight w:val="23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of accrued severance plan obligations (Note 10) (1)</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12,231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7,906</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portion of accrued severance plan obligations</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31,106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39,881</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60" w:hanging="328"/>
        <w:spacing w:after="0" w:line="266" w:lineRule="auto"/>
        <w:tabs>
          <w:tab w:leader="none" w:pos="65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some employees accepted our offer to convert their Korean severance and defined benefit pension plan participation to a defined contribution plan. This will result in the conversion of approximately $5 million of obligations from our Korean severance plan to a defined contribution plan, which is expected to be funded during the first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Defined Benefit Pension Plans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subsidiaries in Japan, Korea, Malaysia, the Philippines and Taiwan sponsor defined benefit plans (the “Plans”). Charges to expense are based upon actuarial analyses. The following table summarizes the changes to the Plans’ benefit obligations, fair value of the Plans’ assets and the funded status of the Plans at December 31, 2024 and 2023:</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4"/>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23"/>
        </w:trPr>
        <w:tc>
          <w:tcPr>
            <w:tcW w:w="8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20" w:type="dxa"/>
            <w:vAlign w:val="bottom"/>
            <w:gridSpan w:val="3"/>
          </w:tcPr>
          <w:p>
            <w:pPr>
              <w:jc w:val="center"/>
              <w:ind w:left="59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7"/>
                <w:szCs w:val="17"/>
                <w:color w:val="auto"/>
              </w:rPr>
            </w:pPr>
          </w:p>
        </w:tc>
      </w:tr>
      <w:tr>
        <w:trPr>
          <w:trHeight w:val="23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projected benefit obligation:</w:t>
            </w: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Projected benefit obligation at January 1</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164,281</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159,760</w:t>
            </w:r>
          </w:p>
        </w:tc>
      </w:tr>
      <w:tr>
        <w:trPr>
          <w:trHeight w:val="22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 cost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15,032</w:t>
            </w: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cost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6,202</w:t>
            </w: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Benefits paid</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(14,056)</w:t>
            </w: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Actuarial (gain) loss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w:t>
            </w: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Effects of curtailment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Settlement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r>
      <w:tr>
        <w:trPr>
          <w:trHeight w:val="22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w:t>
            </w:r>
          </w:p>
        </w:tc>
      </w:tr>
      <w:tr>
        <w:trPr>
          <w:trHeight w:val="223"/>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Projected benefit obligation at December 31</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159,156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164,281</w:t>
            </w:r>
          </w:p>
        </w:tc>
      </w:tr>
      <w:tr>
        <w:trPr>
          <w:trHeight w:val="20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plan assets: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Fair value of plan assets at January 1</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129,196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127,338</w:t>
            </w:r>
          </w:p>
        </w:tc>
      </w:tr>
      <w:tr>
        <w:trPr>
          <w:trHeight w:val="22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Actual gain (loss) on plan assets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12,325</w:t>
            </w:r>
          </w:p>
        </w:tc>
      </w:tr>
      <w:tr>
        <w:trPr>
          <w:trHeight w:val="23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Employer contributions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7,368</w:t>
            </w: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Settlement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Benefits paid</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(14,056)</w:t>
            </w: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w:t>
            </w:r>
          </w:p>
        </w:tc>
      </w:tr>
      <w:tr>
        <w:trPr>
          <w:trHeight w:val="223"/>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Fair value of plan assets at December 31</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125,282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129,196</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status of the Plans at December 31</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(35,085)</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612"/>
        </w:trPr>
        <w:tc>
          <w:tcPr>
            <w:tcW w:w="8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gridSpan w:val="3"/>
          </w:tcPr>
          <w:p>
            <w:pPr>
              <w:jc w:val="center"/>
              <w:ind w:left="6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24"/>
                <w:szCs w:val="24"/>
                <w:color w:val="auto"/>
              </w:rPr>
            </w:pPr>
          </w:p>
        </w:tc>
      </w:tr>
      <w:tr>
        <w:trPr>
          <w:trHeight w:val="23"/>
        </w:trPr>
        <w:tc>
          <w:tcPr>
            <w:tcW w:w="8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20" w:type="dxa"/>
            <w:vAlign w:val="bottom"/>
            <w:gridSpan w:val="3"/>
          </w:tcPr>
          <w:p>
            <w:pPr>
              <w:jc w:val="center"/>
              <w:ind w:left="59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7"/>
                <w:szCs w:val="17"/>
                <w:color w:val="auto"/>
              </w:rPr>
            </w:pPr>
          </w:p>
        </w:tc>
      </w:tr>
      <w:tr>
        <w:trPr>
          <w:trHeight w:val="23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recognized in the Consolidated Balance Sheets consist of:</w:t>
            </w: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benefit cost (included in non-current assets)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5,991</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12,039</w:t>
            </w:r>
          </w:p>
        </w:tc>
      </w:tr>
      <w:tr>
        <w:trPr>
          <w:trHeight w:val="22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benefit liability (included in pension and severance obligations) (1)</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(47,124)</w:t>
            </w: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amount recognized at year end</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(33,874)</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(35,085)</w:t>
            </w:r>
          </w:p>
        </w:tc>
      </w:tr>
      <w:tr>
        <w:trPr>
          <w:trHeight w:val="20"/>
        </w:trPr>
        <w:tc>
          <w:tcPr>
            <w:tcW w:w="8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As of December 31, 2024, $0.9 million was recognized in accrued expenses.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accumulated benefit obligation as of December 31, 2024 and 2023 was $123.4 million and $128.3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by component, the change in accumulated other comprehensive income (loss), net of tax related to our Plans: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Prior Service</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Actuarial Net Gain</w:t>
            </w:r>
          </w:p>
        </w:tc>
        <w:tc>
          <w:tcPr>
            <w:tcW w:w="300" w:type="dxa"/>
            <w:vAlign w:val="bottom"/>
          </w:tcPr>
          <w:p>
            <w:pPr>
              <w:spacing w:after="0"/>
              <w:rPr>
                <w:sz w:val="13"/>
                <w:szCs w:val="13"/>
                <w:color w:val="auto"/>
              </w:rPr>
            </w:pPr>
          </w:p>
        </w:tc>
        <w:tc>
          <w:tcPr>
            <w:tcW w:w="10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3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center"/>
              <w:ind w:right="30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and settlement gain included in net periodic pension cost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gain (loss) arising during period</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6860" w:type="dxa"/>
            <w:vAlign w:val="bottom"/>
            <w:gridSpan w:val="2"/>
          </w:tcPr>
          <w:p>
            <w:pPr>
              <w:ind w:left="260"/>
              <w:spacing w:after="0" w:line="156" w:lineRule="exact"/>
              <w:rPr>
                <w:sz w:val="20"/>
                <w:szCs w:val="20"/>
                <w:color w:val="auto"/>
              </w:rPr>
            </w:pPr>
            <w:r>
              <w:rPr>
                <w:rFonts w:ascii="Times New Roman" w:cs="Times New Roman" w:eastAsia="Times New Roman" w:hAnsi="Times New Roman"/>
                <w:sz w:val="18"/>
                <w:szCs w:val="18"/>
                <w:color w:val="auto"/>
              </w:rPr>
              <w:t>Adjustments to unrealized components of defined benefit pension plan included in other</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4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8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right="62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and settlement gain included in net periodic pension cost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gain (loss) arising during period</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6860" w:type="dxa"/>
            <w:vAlign w:val="bottom"/>
            <w:gridSpan w:val="2"/>
          </w:tcPr>
          <w:p>
            <w:pPr>
              <w:ind w:left="260"/>
              <w:spacing w:after="0" w:line="156" w:lineRule="exact"/>
              <w:rPr>
                <w:sz w:val="20"/>
                <w:szCs w:val="20"/>
                <w:color w:val="auto"/>
              </w:rPr>
            </w:pPr>
            <w:r>
              <w:rPr>
                <w:rFonts w:ascii="Times New Roman" w:cs="Times New Roman" w:eastAsia="Times New Roman" w:hAnsi="Times New Roman"/>
                <w:sz w:val="18"/>
                <w:szCs w:val="18"/>
                <w:color w:val="auto"/>
              </w:rPr>
              <w:t>Adjustments to unrealized components of defined benefit pension plan included in other</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4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8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center"/>
              <w:ind w:right="62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Information for pension plans with benefit obligations in excess of plan assets is as follows:</w:t>
            </w:r>
          </w:p>
        </w:tc>
        <w:tc>
          <w:tcPr>
            <w:tcW w:w="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8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5"/>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1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5"/>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Plans with underfunded or non-funded projected benefit obligation:</w:t>
            </w:r>
          </w:p>
        </w:tc>
        <w:tc>
          <w:tcPr>
            <w:tcW w:w="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Aggregate projected benefit obligation</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92,191</w:t>
            </w:r>
          </w:p>
        </w:tc>
        <w:tc>
          <w:tcPr>
            <w:tcW w:w="100" w:type="dxa"/>
            <w:vAlign w:val="bottom"/>
          </w:tcPr>
          <w:p>
            <w:pPr>
              <w:spacing w:after="0"/>
              <w:rPr>
                <w:sz w:val="19"/>
                <w:szCs w:val="19"/>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Aggregate fair value of plan assets</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Plans with underfunded or non-funded accumulated benefit obligation:</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Aggregate accumulated benefit obligation</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60,638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Aggregate fair value of plan assets</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total pension expense:</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6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gridSpan w:val="10"/>
          </w:tcPr>
          <w:p>
            <w:pPr>
              <w:jc w:val="center"/>
              <w:ind w:left="521"/>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1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Components of net periodic pension cost and total pension expense:</w:t>
            </w:r>
          </w:p>
        </w:tc>
        <w:tc>
          <w:tcPr>
            <w:tcW w:w="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 cost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13,645</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15,032</w:t>
            </w:r>
          </w:p>
        </w:tc>
        <w:tc>
          <w:tcPr>
            <w:tcW w:w="100" w:type="dxa"/>
            <w:vAlign w:val="bottom"/>
          </w:tcPr>
          <w:p>
            <w:pPr>
              <w:spacing w:after="0"/>
              <w:rPr>
                <w:sz w:val="19"/>
                <w:szCs w:val="19"/>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cost</w:t>
            </w:r>
          </w:p>
        </w:tc>
        <w:tc>
          <w:tcPr>
            <w:tcW w:w="3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5,718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(5,605)</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Recognized actuarial (gain) loss</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380" w:type="dxa"/>
            <w:vAlign w:val="bottom"/>
          </w:tcPr>
          <w:p>
            <w:pPr>
              <w:spacing w:after="0"/>
              <w:rPr>
                <w:sz w:val="19"/>
                <w:szCs w:val="19"/>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13,347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Curtailment (gain) loss</w:t>
            </w:r>
          </w:p>
        </w:tc>
        <w:tc>
          <w:tcPr>
            <w:tcW w:w="3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Settlement (gain) loss</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(1,374)</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pension expense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13,060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17,877</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net periodic pension cost other than the service cost component are included in other (income) expense, net in our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weighted-average assumptions used in computing the net periodic pension cost and projected benefit obligations:</w:t>
      </w:r>
    </w:p>
    <w:p>
      <w:pPr>
        <w:spacing w:after="0" w:line="138"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00" w:type="dxa"/>
            <w:vAlign w:val="bottom"/>
          </w:tcPr>
          <w:p>
            <w:pPr>
              <w:spacing w:after="0"/>
              <w:rPr>
                <w:sz w:val="18"/>
                <w:szCs w:val="18"/>
                <w:color w:val="auto"/>
              </w:rPr>
            </w:pPr>
          </w:p>
        </w:tc>
        <w:tc>
          <w:tcPr>
            <w:tcW w:w="10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720" w:type="dxa"/>
            <w:vAlign w:val="bottom"/>
            <w:tcBorders>
              <w:top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 for determining net periodic pension cost</w:t>
            </w:r>
          </w:p>
        </w:tc>
        <w:tc>
          <w:tcPr>
            <w:tcW w:w="10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0"/>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 for determining benefit obligations at December 31</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29"/>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 for determining net periodic pension cost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29"/>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 for determining benefit obligations at December 31</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176"/>
        </w:trPr>
        <w:tc>
          <w:tcPr>
            <w:tcW w:w="72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Expected rate of return on plan assets for determining net periodic</w:t>
            </w: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243"/>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cost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measurement date for determining the Plans’ assets and benefit obligations is December 31, each year. Discount rates are generally derived from yield curves constructed from high-quality corporate or foreign government bonds, for which the timing and amount of cash outflows approximate the estimated payouts.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expected rate of return assumption is based on weighted-average expected returns for each asset class. Expected returns reflect a combination of historical performance analysis and the forward-looking views of the financial markets and include input from our actuaries. We have no control over the direction of our investments in our defined benefit plans in Taiwan as the local Labor Standards Law Fund mandates such contributions into a cash account balance at the Bank of Taiwan. Our defined benefit pension plan in Malaysia is a non-funded plan, and as such, no asset exists related to this plan. Our investment strategies for our defined benefit plans in Japan, Korea and the Philippines are based on long-term, sustained asset growth through low to medium risk investments. The current rate of return assumption targets are based on asset allocation strategies as follows:</w:t>
      </w:r>
    </w:p>
    <w:p>
      <w:pPr>
        <w:spacing w:after="0" w:line="100"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4"/>
          <w:szCs w:val="14"/>
          <w:b w:val="1"/>
          <w:bCs w:val="1"/>
          <w:color w:val="auto"/>
        </w:rPr>
        <w:t>Allocation</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6680" w:type="dxa"/>
            <w:vAlign w:val="bottom"/>
          </w:tcPr>
          <w:p>
            <w:pPr>
              <w:spacing w:after="0"/>
              <w:rPr>
                <w:sz w:val="18"/>
                <w:szCs w:val="18"/>
                <w:color w:val="auto"/>
              </w:rPr>
            </w:pPr>
          </w:p>
        </w:tc>
        <w:tc>
          <w:tcPr>
            <w:tcW w:w="96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Debt</w:t>
            </w: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440" w:type="dxa"/>
            <w:vAlign w:val="bottom"/>
            <w:tcBorders>
              <w:top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229"/>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 defined benefit plan</w:t>
            </w:r>
          </w:p>
        </w:tc>
        <w:tc>
          <w:tcPr>
            <w:tcW w:w="96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Korea defined benefit plan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30"/>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Philippine defined benefit plan</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our pension plan assets, by asset category utilizing the fair value hierarchy as discussed in Note 16,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0"/>
        </w:trPr>
        <w:tc>
          <w:tcPr>
            <w:tcW w:w="316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3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13,680</w:t>
            </w: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3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Government bonds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w:t>
            </w:r>
          </w:p>
        </w:tc>
      </w:tr>
      <w:tr>
        <w:trPr>
          <w:trHeight w:val="230"/>
        </w:trPr>
        <w:tc>
          <w:tcPr>
            <w:tcW w:w="3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r>
      <w:tr>
        <w:trPr>
          <w:trHeight w:val="229"/>
        </w:trPr>
        <w:tc>
          <w:tcPr>
            <w:tcW w:w="3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Treasury notes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11,993</w:t>
            </w: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and commingled funds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funds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36,823</w:t>
            </w:r>
          </w:p>
        </w:tc>
      </w:tr>
      <w:tr>
        <w:trPr>
          <w:trHeight w:val="229"/>
        </w:trPr>
        <w:tc>
          <w:tcPr>
            <w:tcW w:w="3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Debt funds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25,194</w:t>
            </w: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Guaranteed investment contracts</w:t>
            </w: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23,189</w:t>
            </w: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Taiwan retirement fund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12,478</w:t>
            </w: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4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fair value of pension plan assets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125,282</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129,196</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Taiwan retirement fund category of our plan assets represents accounts that our subsidiaries in Taiwan have in a government labor retirement fund in the custody of the Bank of Taiwan. The accounts earn a minimum guaranteed rate of return and are invested in a mix of cash, domestic and foreign equity securities and domestic and foreign debt securities.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make contributions of approximately $10 million during 2025. We closely monitor the funded status of the Plans with respect to legislative requirements. We intend to make at least the minimum contribution required by law each year.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future benefit payments related to our foreign defined benefit plans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Payments</w:t>
            </w:r>
          </w:p>
        </w:tc>
      </w:tr>
      <w:tr>
        <w:trPr>
          <w:trHeight w:val="23"/>
        </w:trPr>
        <w:tc>
          <w:tcPr>
            <w:tcW w:w="9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9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9,307</w:t>
            </w:r>
          </w:p>
        </w:tc>
      </w:tr>
      <w:tr>
        <w:trPr>
          <w:trHeight w:val="230"/>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11,145</w:t>
            </w:r>
          </w:p>
        </w:tc>
      </w:tr>
      <w:tr>
        <w:trPr>
          <w:trHeight w:val="23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13,419</w:t>
            </w:r>
          </w:p>
        </w:tc>
      </w:tr>
      <w:tr>
        <w:trPr>
          <w:trHeight w:val="230"/>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14,037</w:t>
            </w:r>
          </w:p>
        </w:tc>
      </w:tr>
      <w:tr>
        <w:trPr>
          <w:trHeight w:val="23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13,922</w:t>
            </w:r>
          </w:p>
        </w:tc>
      </w:tr>
      <w:tr>
        <w:trPr>
          <w:trHeight w:val="234"/>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 to 2034</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97,256</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sponsor defined contribution plans in Korea, Malaysia, Taiwan and the U.S. Total defined contribution expense was $26.5 million, $27.0 million and $24.2 million for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Dividends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has adopted a dividend policy pursuant to which we currently pay a regular quarterly cash dividend on our common stock. In November 2024, our Board of Directors approved a quarterly dividend of $0.08269 per share, a 5% increase from the rate set in November 2023. The Board of Directors also approved a special cash dividend of $0.40546 per share, or approximately $100 million, on the company’s common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Accumulated Other Comprehensive Income (Loss)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changes in accumulated other comprehensive income (loss), net of tax:</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Unrealized Gain</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(Losses) on Available-</w:t>
      </w:r>
    </w:p>
    <w:tbl>
      <w:tblPr>
        <w:tblLayout w:type="fixed"/>
        <w:tblInd w:w="0" w:type="dxa"/>
        <w:tblCellMar>
          <w:top w:w="0" w:type="dxa"/>
          <w:left w:w="0" w:type="dxa"/>
          <w:bottom w:w="0" w:type="dxa"/>
          <w:right w:w="0" w:type="dxa"/>
        </w:tblCellMar>
      </w:tblPr>
      <w:tr>
        <w:trPr>
          <w:trHeight w:val="142"/>
        </w:trPr>
        <w:tc>
          <w:tcPr>
            <w:tcW w:w="4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for-Sale Debt</w:t>
            </w:r>
          </w:p>
        </w:tc>
        <w:tc>
          <w:tcPr>
            <w:tcW w:w="200" w:type="dxa"/>
            <w:vAlign w:val="bottom"/>
          </w:tcPr>
          <w:p>
            <w:pPr>
              <w:spacing w:after="0"/>
              <w:rPr>
                <w:sz w:val="12"/>
                <w:szCs w:val="12"/>
                <w:color w:val="auto"/>
              </w:rPr>
            </w:pPr>
          </w:p>
        </w:tc>
        <w:tc>
          <w:tcPr>
            <w:tcW w:w="140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Defined Benefit</w:t>
            </w:r>
          </w:p>
        </w:tc>
        <w:tc>
          <w:tcPr>
            <w:tcW w:w="160" w:type="dxa"/>
            <w:vAlign w:val="bottom"/>
          </w:tcPr>
          <w:p>
            <w:pPr>
              <w:spacing w:after="0"/>
              <w:rPr>
                <w:sz w:val="12"/>
                <w:szCs w:val="12"/>
                <w:color w:val="auto"/>
              </w:rPr>
            </w:pPr>
          </w:p>
        </w:tc>
        <w:tc>
          <w:tcPr>
            <w:tcW w:w="144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360" w:type="dxa"/>
            <w:vAlign w:val="bottom"/>
          </w:tcPr>
          <w:p>
            <w:pPr>
              <w:spacing w:after="0"/>
              <w:rPr>
                <w:sz w:val="12"/>
                <w:szCs w:val="12"/>
                <w:color w:val="auto"/>
              </w:rPr>
            </w:pPr>
          </w:p>
        </w:tc>
        <w:tc>
          <w:tcPr>
            <w:tcW w:w="116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Investments (1)</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Pension (2)</w:t>
            </w: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Translation (3)</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16,699</w:t>
            </w:r>
          </w:p>
        </w:tc>
        <w:tc>
          <w:tcPr>
            <w:tcW w:w="0" w:type="dxa"/>
            <w:vAlign w:val="bottom"/>
          </w:tcPr>
          <w:p>
            <w:pPr>
              <w:spacing w:after="0"/>
              <w:rPr>
                <w:sz w:val="1"/>
                <w:szCs w:val="1"/>
                <w:color w:val="auto"/>
              </w:rPr>
            </w:pPr>
          </w:p>
        </w:tc>
      </w:tr>
      <w:tr>
        <w:trPr>
          <w:trHeight w:val="229"/>
        </w:trPr>
        <w:tc>
          <w:tcPr>
            <w:tcW w:w="4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176"/>
        </w:trPr>
        <w:tc>
          <w:tcPr>
            <w:tcW w:w="492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income (loss)</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16,350</w:t>
            </w:r>
          </w:p>
        </w:tc>
        <w:tc>
          <w:tcPr>
            <w:tcW w:w="0" w:type="dxa"/>
            <w:vAlign w:val="bottom"/>
          </w:tcPr>
          <w:p>
            <w:pPr>
              <w:spacing w:after="0"/>
              <w:rPr>
                <w:sz w:val="1"/>
                <w:szCs w:val="1"/>
                <w:color w:val="auto"/>
              </w:rPr>
            </w:pPr>
          </w:p>
        </w:tc>
      </w:tr>
      <w:tr>
        <w:trPr>
          <w:trHeight w:val="229"/>
        </w:trPr>
        <w:tc>
          <w:tcPr>
            <w:tcW w:w="4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(8,199)</w:t>
            </w:r>
          </w:p>
        </w:tc>
        <w:tc>
          <w:tcPr>
            <w:tcW w:w="0" w:type="dxa"/>
            <w:vAlign w:val="bottom"/>
          </w:tcPr>
          <w:p>
            <w:pPr>
              <w:spacing w:after="0"/>
              <w:rPr>
                <w:sz w:val="1"/>
                <w:szCs w:val="1"/>
                <w:color w:val="auto"/>
              </w:rPr>
            </w:pPr>
          </w:p>
        </w:tc>
      </w:tr>
      <w:tr>
        <w:trPr>
          <w:trHeight w:val="176"/>
        </w:trPr>
        <w:tc>
          <w:tcPr>
            <w:tcW w:w="492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income (loss)</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(8,783)</w:t>
            </w:r>
          </w:p>
        </w:tc>
        <w:tc>
          <w:tcPr>
            <w:tcW w:w="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7,510</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40" w:hanging="308"/>
        <w:spacing w:after="0"/>
        <w:tabs>
          <w:tab w:leader="none" w:pos="6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reclassified out of accumulated other comprehensive income (loss) are included as other (income) expense, net (Note 3).</w:t>
      </w:r>
    </w:p>
    <w:p>
      <w:pPr>
        <w:spacing w:after="0" w:line="25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reclassified out of accumulated other comprehensive income (loss) are included as a component of net periodic pension cost (Note 12) or other (income) expense, net (Note 3).</w:t>
      </w:r>
    </w:p>
    <w:p>
      <w:pPr>
        <w:spacing w:after="0" w:line="18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2024, foreign currency translation includes the gain (loss) from net investment hedges (Note 15).</w:t>
      </w:r>
    </w:p>
    <w:p>
      <w:pPr>
        <w:spacing w:after="0" w:line="248"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use foreign currency forward contracts to mitigate foreign currency risk of certain assets and monetary liabilities denominated in foreign currencies. We do not enter into such contracts for trading or speculative purposes. These derivative instruments are not designated as hedging instruments.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hedge certain net investment positions in foreign subsidiaries. To accomplish this, we enter into foreign currency forward contracts, generally settled monthly, that are designated as hedges of net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2023, our foreign exchange forward contracts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4"/>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Fair Value (Level</w:t>
            </w:r>
          </w:p>
        </w:tc>
        <w:tc>
          <w:tcPr>
            <w:tcW w:w="1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00" w:type="dxa"/>
            <w:vAlign w:val="bottom"/>
          </w:tcPr>
          <w:p>
            <w:pPr>
              <w:spacing w:after="0"/>
              <w:rPr>
                <w:sz w:val="11"/>
                <w:szCs w:val="11"/>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Fair Value (Level</w:t>
            </w:r>
          </w:p>
        </w:tc>
        <w:tc>
          <w:tcPr>
            <w:tcW w:w="17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2)</w:t>
            </w:r>
          </w:p>
        </w:tc>
        <w:tc>
          <w:tcPr>
            <w:tcW w:w="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20" w:type="dxa"/>
            <w:vAlign w:val="bottom"/>
            <w:gridSpan w:val="5"/>
          </w:tcPr>
          <w:p>
            <w:pPr>
              <w:ind w:left="1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530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Forward contracts not designated as hedging instruments</w:t>
            </w:r>
          </w:p>
        </w:tc>
        <w:tc>
          <w:tcPr>
            <w:tcW w:w="16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Japanese yen</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254,783</w:t>
            </w:r>
          </w:p>
        </w:tc>
        <w:tc>
          <w:tcPr>
            <w:tcW w:w="4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279,027</w:t>
            </w:r>
          </w:p>
        </w:tc>
        <w:tc>
          <w:tcPr>
            <w:tcW w:w="2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20" w:type="dxa"/>
            <w:vAlign w:val="bottom"/>
          </w:tcPr>
          <w:p>
            <w:pPr>
              <w:spacing w:after="0"/>
              <w:rPr>
                <w:sz w:val="19"/>
                <w:szCs w:val="19"/>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Korean won</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80,260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Philippine peso</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 dollar</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Taiwan dollar</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31,150</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37,914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Borders>
              <w:bottom w:val="single" w:sz="8" w:color="auto"/>
            </w:tcBorders>
          </w:tcPr>
          <w:p>
            <w:pPr>
              <w:spacing w:after="0"/>
              <w:rPr>
                <w:sz w:val="19"/>
                <w:szCs w:val="19"/>
                <w:color w:val="auto"/>
              </w:rPr>
            </w:pPr>
          </w:p>
        </w:tc>
        <w:tc>
          <w:tcPr>
            <w:tcW w:w="17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740" w:type="dxa"/>
            <w:vAlign w:val="bottom"/>
            <w:shd w:val="clear" w:color="auto" w:fill="CCEEFF"/>
          </w:tcPr>
          <w:p>
            <w:pPr>
              <w:ind w:left="120"/>
              <w:spacing w:after="0" w:line="156" w:lineRule="exact"/>
              <w:rPr>
                <w:sz w:val="20"/>
                <w:szCs w:val="20"/>
                <w:color w:val="auto"/>
              </w:rPr>
            </w:pPr>
            <w:r>
              <w:rPr>
                <w:rFonts w:ascii="Times New Roman" w:cs="Times New Roman" w:eastAsia="Times New Roman" w:hAnsi="Times New Roman"/>
                <w:sz w:val="18"/>
                <w:szCs w:val="18"/>
                <w:color w:val="auto"/>
              </w:rPr>
              <w:t>Total forward contracts not</w:t>
            </w:r>
          </w:p>
        </w:tc>
        <w:tc>
          <w:tcPr>
            <w:tcW w:w="20" w:type="dxa"/>
            <w:vAlign w:val="bottom"/>
            <w:vMerge w:val="restart"/>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383,078</w:t>
            </w:r>
          </w:p>
        </w:tc>
        <w:tc>
          <w:tcPr>
            <w:tcW w:w="40" w:type="dxa"/>
            <w:vAlign w:val="bottom"/>
            <w:shd w:val="clear" w:color="auto" w:fill="CCEEFF"/>
          </w:tcPr>
          <w:p>
            <w:pPr>
              <w:spacing w:after="0"/>
              <w:rPr>
                <w:sz w:val="13"/>
                <w:szCs w:val="13"/>
                <w:color w:val="auto"/>
              </w:rPr>
            </w:pPr>
          </w:p>
        </w:tc>
        <w:tc>
          <w:tcPr>
            <w:tcW w:w="100" w:type="dxa"/>
            <w:vAlign w:val="bottom"/>
            <w:gridSpan w:val="2"/>
            <w:vMerge w:val="restart"/>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394,036</w:t>
            </w:r>
          </w:p>
        </w:tc>
        <w:tc>
          <w:tcPr>
            <w:tcW w:w="20" w:type="dxa"/>
            <w:vAlign w:val="bottom"/>
            <w:shd w:val="clear" w:color="auto" w:fill="CCEEFF"/>
          </w:tcPr>
          <w:p>
            <w:pPr>
              <w:spacing w:after="0"/>
              <w:rPr>
                <w:sz w:val="13"/>
                <w:szCs w:val="13"/>
                <w:color w:val="auto"/>
              </w:rPr>
            </w:pPr>
          </w:p>
        </w:tc>
        <w:tc>
          <w:tcPr>
            <w:tcW w:w="100" w:type="dxa"/>
            <w:vAlign w:val="bottom"/>
            <w:gridSpan w:val="2"/>
            <w:vMerge w:val="restart"/>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2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2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designated as hedging instruments</w:t>
            </w:r>
          </w:p>
        </w:tc>
        <w:tc>
          <w:tcPr>
            <w:tcW w:w="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gridSpan w:val="2"/>
            <w:vMerge w:val="continue"/>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gridSpan w:val="2"/>
            <w:vMerge w:val="continue"/>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4"/>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4"/>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Fair Value (Level</w:t>
            </w:r>
          </w:p>
        </w:tc>
        <w:tc>
          <w:tcPr>
            <w:tcW w:w="1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00" w:type="dxa"/>
            <w:vAlign w:val="bottom"/>
          </w:tcPr>
          <w:p>
            <w:pPr>
              <w:spacing w:after="0"/>
              <w:rPr>
                <w:sz w:val="11"/>
                <w:szCs w:val="11"/>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3"/>
          </w:tcPr>
          <w:p>
            <w:pPr>
              <w:jc w:val="center"/>
              <w:ind w:right="40"/>
              <w:spacing w:after="0" w:line="131" w:lineRule="exact"/>
              <w:rPr>
                <w:sz w:val="20"/>
                <w:szCs w:val="20"/>
                <w:color w:val="auto"/>
              </w:rPr>
            </w:pPr>
            <w:r>
              <w:rPr>
                <w:rFonts w:ascii="Times New Roman" w:cs="Times New Roman" w:eastAsia="Times New Roman" w:hAnsi="Times New Roman"/>
                <w:sz w:val="14"/>
                <w:szCs w:val="14"/>
                <w:b w:val="1"/>
                <w:bCs w:val="1"/>
                <w:color w:val="auto"/>
              </w:rPr>
              <w:t>Fair Value (Level</w:t>
            </w:r>
          </w:p>
        </w:tc>
        <w:tc>
          <w:tcPr>
            <w:tcW w:w="1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2)</w:t>
            </w:r>
          </w:p>
        </w:tc>
        <w:tc>
          <w:tcPr>
            <w:tcW w:w="2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820" w:type="dxa"/>
            <w:vAlign w:val="bottom"/>
            <w:tcBorders>
              <w:top w:val="single" w:sz="8" w:color="auto"/>
            </w:tcBorders>
            <w:gridSpan w:val="5"/>
          </w:tcPr>
          <w:p>
            <w:pPr>
              <w:ind w:left="1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34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Forward contracts designated as net investment hedging instruments</w:t>
            </w:r>
          </w:p>
        </w:tc>
        <w:tc>
          <w:tcPr>
            <w:tcW w:w="16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Japanese yen</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123,042</w:t>
            </w:r>
          </w:p>
        </w:tc>
        <w:tc>
          <w:tcPr>
            <w:tcW w:w="4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0" w:type="dxa"/>
            <w:vAlign w:val="bottom"/>
            <w:tcBorders>
              <w:top w:val="single" w:sz="8" w:color="CCEEFF"/>
            </w:tcBorders>
            <w:shd w:val="clear" w:color="auto" w:fill="CCEEFF"/>
          </w:tcPr>
          <w:p>
            <w:pPr>
              <w:spacing w:after="0"/>
              <w:rPr>
                <w:sz w:val="14"/>
                <w:szCs w:val="14"/>
                <w:color w:val="auto"/>
              </w:rPr>
            </w:pPr>
          </w:p>
        </w:tc>
        <w:tc>
          <w:tcPr>
            <w:tcW w:w="2740" w:type="dxa"/>
            <w:vAlign w:val="bottom"/>
            <w:tcBorders>
              <w:top w:val="single" w:sz="8" w:color="CCEEFF"/>
            </w:tcBorders>
            <w:shd w:val="clear" w:color="auto" w:fill="CCEEFF"/>
          </w:tcPr>
          <w:p>
            <w:pPr>
              <w:ind w:left="100"/>
              <w:spacing w:after="0" w:line="164" w:lineRule="exact"/>
              <w:rPr>
                <w:sz w:val="20"/>
                <w:szCs w:val="20"/>
                <w:color w:val="auto"/>
              </w:rPr>
            </w:pPr>
            <w:r>
              <w:rPr>
                <w:rFonts w:ascii="Times New Roman" w:cs="Times New Roman" w:eastAsia="Times New Roman" w:hAnsi="Times New Roman"/>
                <w:sz w:val="18"/>
                <w:szCs w:val="18"/>
                <w:color w:val="auto"/>
              </w:rPr>
              <w:t>Total forward contracts designated</w:t>
            </w: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shd w:val="clear" w:color="auto" w:fill="CCEEFF"/>
          </w:tcPr>
          <w:p>
            <w:pPr>
              <w:spacing w:after="0"/>
              <w:rPr>
                <w:sz w:val="15"/>
                <w:szCs w:val="15"/>
                <w:color w:val="auto"/>
              </w:rPr>
            </w:pPr>
          </w:p>
        </w:tc>
        <w:tc>
          <w:tcPr>
            <w:tcW w:w="274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8"/>
                <w:szCs w:val="18"/>
                <w:color w:val="auto"/>
              </w:rPr>
              <w:t>as net investment hedging</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123,042</w:t>
            </w:r>
          </w:p>
        </w:tc>
        <w:tc>
          <w:tcPr>
            <w:tcW w:w="40" w:type="dxa"/>
            <w:vAlign w:val="bottom"/>
            <w:shd w:val="clear" w:color="auto" w:fill="CCEEFF"/>
          </w:tcPr>
          <w:p>
            <w:pPr>
              <w:spacing w:after="0"/>
              <w:rPr>
                <w:sz w:val="15"/>
                <w:szCs w:val="15"/>
                <w:color w:val="auto"/>
              </w:rPr>
            </w:pPr>
          </w:p>
        </w:tc>
        <w:tc>
          <w:tcPr>
            <w:tcW w:w="2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2740" w:type="dxa"/>
            <w:vAlign w:val="bottom"/>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instruments</w:t>
            </w:r>
          </w:p>
        </w:tc>
        <w:tc>
          <w:tcPr>
            <w:tcW w:w="12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gridSpan w:val="3"/>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280" w:type="dxa"/>
            <w:vAlign w:val="bottom"/>
            <w:gridSpan w:val="3"/>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we incurred a net loss of $14.0 million due to the impact of derivatives not designated as hedging instruments, which includes the forward costs, and the related hedged items. For the years ended December 31, 2023 and 2022, the derivatives not designated as hedging instruments resulted in a net loss of $38.6 million and $60.2 million, respectively, which were partially offset by the foreign currency gains associated with the underlying net liabilities.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a gain of $4.4 million was recognized in other (income) expense, net for the difference between the forward rate and the spot rate of the net investment hedge. For the year ended December 31, 2024, a gain of $1.0 million was recognized in other comprehensive income (loss) for the changes in fair value of the net investment hedge. There was no activity related to net investment hedges for the years ended 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Fair Value Measurements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assets or liabilities; Level 2, defined as inputs other than Level 1 that are observable, either directly or indirectly, such as quoted prices for similar assets or liabilities, quoted prices in markets that are not active, model-based valuation techniques for which all significant assumptions are observable in the market or other inputs that are observable or can be corroborated by observable market data for substantially the full term of the assets or liabilities; and Level 3, defined as unobservable inputs that are not corroborated by market data. For our Level 2 short-term investments, we consider factors such as actual trade data, benchmark yields, broker/dealer quotes, and other similar data obtained from quoted market prices and independent pricing vendors to determine the fair value of these assets and liabilities.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values of cash, accounts receivable, trade accounts payable, capital expenditures payable, and certain other current assets and accrued expenses approximate carrying values because of their short-term nature. The carrying value of certain other non-current assets and liabilities approximates fair value. Our assets and liabilities recorded at fair value on a recurring basis include restricted cash money market funds and short-term investments, including investments classified as cash equivalents. Cash equivalent money market funds and restricted cash money market funds are invested in U.S. money market funds and various U.S. and foreign bank operating and time deposit accounts, which are due on demand or carry a maturity date of less than three months when purchased. No restrictions have been imposed on us regarding withdrawal of balances with respect to our cash equivalents as a result of liquidity or other credit market issues affecting the money market funds we invest in or the counterparty financial institutions holding our deposits.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derivative financial instruments are valued using quoted market prices for similar assets. Counterparties to these derivative contracts are highly rated financial institutions.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measure certain assets and liabilities, including property, plant and equipment and goodwill, at fair value on a nonrecurring basis.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measure the fair value of our debt for disclosure purposes. The following table presents the fair value of our debt: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500" w:type="dxa"/>
            <w:vAlign w:val="bottom"/>
          </w:tcPr>
          <w:p>
            <w:pPr>
              <w:spacing w:after="0"/>
              <w:rPr>
                <w:sz w:val="16"/>
                <w:szCs w:val="16"/>
                <w:color w:val="auto"/>
              </w:rPr>
            </w:pPr>
          </w:p>
        </w:tc>
        <w:tc>
          <w:tcPr>
            <w:tcW w:w="2640" w:type="dxa"/>
            <w:vAlign w:val="bottom"/>
            <w:gridSpan w:val="4"/>
          </w:tcPr>
          <w:p>
            <w:pPr>
              <w:jc w:val="right"/>
              <w:ind w:right="897"/>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4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29"/>
        </w:trPr>
        <w:tc>
          <w:tcPr>
            <w:tcW w:w="4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60" w:type="dxa"/>
            <w:vAlign w:val="bottom"/>
            <w:gridSpan w:val="2"/>
          </w:tcPr>
          <w:p>
            <w:pPr>
              <w:jc w:val="center"/>
              <w:ind w:right="440"/>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c>
          <w:tcPr>
            <w:tcW w:w="300" w:type="dxa"/>
            <w:vAlign w:val="bottom"/>
          </w:tcPr>
          <w:p>
            <w:pPr>
              <w:spacing w:after="0"/>
              <w:rPr>
                <w:sz w:val="11"/>
                <w:szCs w:val="11"/>
                <w:color w:val="auto"/>
              </w:rPr>
            </w:pPr>
          </w:p>
        </w:tc>
        <w:tc>
          <w:tcPr>
            <w:tcW w:w="1320" w:type="dxa"/>
            <w:vAlign w:val="bottom"/>
            <w:gridSpan w:val="2"/>
          </w:tcPr>
          <w:p>
            <w:pPr>
              <w:jc w:val="center"/>
              <w:ind w:right="400"/>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00" w:type="dxa"/>
            <w:vAlign w:val="bottom"/>
          </w:tcPr>
          <w:p>
            <w:pPr>
              <w:spacing w:after="0"/>
              <w:rPr>
                <w:sz w:val="11"/>
                <w:szCs w:val="11"/>
                <w:color w:val="auto"/>
              </w:rPr>
            </w:pPr>
          </w:p>
        </w:tc>
        <w:tc>
          <w:tcPr>
            <w:tcW w:w="1120" w:type="dxa"/>
            <w:vAlign w:val="bottom"/>
            <w:gridSpan w:val="2"/>
          </w:tcPr>
          <w:p>
            <w:pPr>
              <w:jc w:val="center"/>
              <w:ind w:right="580"/>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c>
          <w:tcPr>
            <w:tcW w:w="300" w:type="dxa"/>
            <w:vAlign w:val="bottom"/>
          </w:tcPr>
          <w:p>
            <w:pPr>
              <w:spacing w:after="0"/>
              <w:rPr>
                <w:sz w:val="11"/>
                <w:szCs w:val="11"/>
                <w:color w:val="auto"/>
              </w:rPr>
            </w:pPr>
          </w:p>
        </w:tc>
        <w:tc>
          <w:tcPr>
            <w:tcW w:w="1220" w:type="dxa"/>
            <w:vAlign w:val="bottom"/>
          </w:tcPr>
          <w:p>
            <w:pPr>
              <w:jc w:val="right"/>
              <w:ind w:right="397"/>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r>
      <w:tr>
        <w:trPr>
          <w:trHeight w:val="196"/>
        </w:trPr>
        <w:tc>
          <w:tcPr>
            <w:tcW w:w="48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5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96"/>
        </w:trPr>
        <w:tc>
          <w:tcPr>
            <w:tcW w:w="4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(Level 1)</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525,562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522,615</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531,778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521,839</w:t>
            </w:r>
          </w:p>
        </w:tc>
      </w:tr>
      <w:tr>
        <w:trPr>
          <w:trHeight w:val="23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Revolving credit facilities and term loans (Level 2)</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625,818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636,845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666,316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681,617</w:t>
            </w:r>
          </w:p>
        </w:tc>
      </w:tr>
      <w:tr>
        <w:trPr>
          <w:trHeight w:val="248"/>
        </w:trPr>
        <w:tc>
          <w:tcPr>
            <w:tcW w:w="4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1,151,380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1,159,460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1,198,094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1,203,456</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our senior notes is based primarily on quoted market prices reported on or near the respective balance sheet dates. The estimated fair value of our revolving credit facilities and term loans is calculated using a discounted cash flow analysis, which utilizes market-based assumptions including forward interest rates adjusted for credit risk.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generally warrant that our services will be performed in a professional and workmanlike manner and in compliance with our customers’ specifications.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accrue costs for known warranty issues. Historically, our warranty costs have been immaterial.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claims and legal proceedings and may become involved in other legal matters arising in the ordinary course of our business. We evaluate these claims and legal matters on a case-by-case basis to make a determination as to the impact, if any, on our business, liquidity, results of operations, financial condition or cash flows. Although the outcome of these matters is uncertain, we believe that the ultimate outcome of these claims and proceedings, individually and in the aggregate, will not have a material adverse impact to us. Our evaluation of the potential impact of these claims and legal proceedings on our business, liquidity, results of operations, financial condition or cash flows could change in the future.</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Business Segments, Customer Concentrations and Geographic Information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as a single operating segment as managed by our Chief Executive Officer, who is considered our chief operating decision maker (“CODM”). The CODM bears the ultimate responsibility for, and is actively engaged in, the allocation of resources and the evaluation of our operating and financial results. We have concluded that we have a single operating segment based on the following:</w:t>
      </w:r>
    </w:p>
    <w:p>
      <w:pPr>
        <w:spacing w:after="0" w:line="122"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managed under a functionally-based organizational structure with the head of each function reporting directly to the CODM;</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CODM assesses performance, including resource allocation, trend identification and variance analysis, based on consolidated operating performance and financial results based on net income;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CODM allocates resources and makes other operating decisions based on specific customer business opportunities;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an integrated process for the design, development and manufacturing services we provide to all of our customers. We also have centralized sales and administrative functions.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profit or loss and significant segment expenses for our single operating segment: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40" w:type="dxa"/>
            <w:vAlign w:val="bottom"/>
            <w:gridSpan w:val="6"/>
          </w:tcPr>
          <w:p>
            <w:pPr>
              <w:jc w:val="center"/>
              <w:ind w:left="673"/>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20" w:type="dxa"/>
            <w:vAlign w:val="bottom"/>
          </w:tcPr>
          <w:p>
            <w:pPr>
              <w:spacing w:after="0"/>
              <w:rPr>
                <w:sz w:val="16"/>
                <w:szCs w:val="16"/>
                <w:color w:val="auto"/>
              </w:rPr>
            </w:pPr>
          </w:p>
        </w:tc>
      </w:tr>
      <w:tr>
        <w:trPr>
          <w:trHeight w:val="23"/>
        </w:trPr>
        <w:tc>
          <w:tcPr>
            <w:tcW w:w="6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6,317,692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6,503,065</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7,091,585</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Materials cost of sales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3,478,752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3,584,090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3,646,188</w:t>
            </w:r>
          </w:p>
        </w:tc>
      </w:tr>
      <w:tr>
        <w:trPr>
          <w:trHeight w:val="229"/>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Labor cost of sales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628,201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643,993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712,070</w:t>
            </w:r>
          </w:p>
        </w:tc>
      </w:tr>
      <w:tr>
        <w:trPr>
          <w:trHeight w:val="230"/>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cost of sales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576,120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565,455</w:t>
            </w:r>
          </w:p>
        </w:tc>
      </w:tr>
      <w:tr>
        <w:trPr>
          <w:trHeight w:val="230"/>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cost of sales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742,606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755,709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837,885</w:t>
            </w:r>
          </w:p>
        </w:tc>
      </w:tr>
      <w:tr>
        <w:trPr>
          <w:trHeight w:val="230"/>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295,393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283,372</w:t>
            </w:r>
          </w:p>
        </w:tc>
      </w:tr>
      <w:tr>
        <w:trPr>
          <w:trHeight w:val="229"/>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177,473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149,429</w:t>
            </w:r>
          </w:p>
        </w:tc>
      </w:tr>
      <w:tr>
        <w:trPr>
          <w:trHeight w:val="230"/>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58,563</w:t>
            </w:r>
          </w:p>
        </w:tc>
      </w:tr>
      <w:tr>
        <w:trPr>
          <w:trHeight w:val="230"/>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81,710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89,890</w:t>
            </w:r>
          </w:p>
        </w:tc>
      </w:tr>
      <w:tr>
        <w:trPr>
          <w:trHeight w:val="230"/>
        </w:trPr>
        <w:tc>
          <w:tcPr>
            <w:tcW w:w="64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(18,309)</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net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355,535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362,131</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767,042</w:t>
            </w:r>
          </w:p>
        </w:tc>
      </w:tr>
      <w:tr>
        <w:trPr>
          <w:trHeight w:val="20"/>
        </w:trPr>
        <w:tc>
          <w:tcPr>
            <w:tcW w:w="6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60" w:hanging="328"/>
        <w:spacing w:after="0" w:line="282" w:lineRule="auto"/>
        <w:tabs>
          <w:tab w:leader="none" w:pos="65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included in segment net income includes interest income, foreign currency (gain) loss, net, loss on debt retirement and other (income) expense.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other balances included in net income or that are regularly provided to the CODM:</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
        </w:trPr>
        <w:tc>
          <w:tcPr>
            <w:tcW w:w="64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90"/>
        </w:trPr>
        <w:tc>
          <w:tcPr>
            <w:tcW w:w="64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6"/>
                <w:szCs w:val="16"/>
                <w:color w:val="auto"/>
              </w:rPr>
            </w:pPr>
          </w:p>
        </w:tc>
      </w:tr>
      <w:tr>
        <w:trPr>
          <w:trHeight w:val="196"/>
        </w:trPr>
        <w:tc>
          <w:tcPr>
            <w:tcW w:w="6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65,541</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48,458</w:t>
            </w:r>
          </w:p>
        </w:tc>
        <w:tc>
          <w:tcPr>
            <w:tcW w:w="4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12,762</w:t>
            </w:r>
          </w:p>
        </w:tc>
        <w:tc>
          <w:tcPr>
            <w:tcW w:w="40" w:type="dxa"/>
            <w:vAlign w:val="bottom"/>
          </w:tcPr>
          <w:p>
            <w:pPr>
              <w:spacing w:after="0"/>
              <w:rPr>
                <w:sz w:val="20"/>
                <w:szCs w:val="20"/>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(594,663)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(631,508)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(612,702)</w:t>
            </w:r>
          </w:p>
        </w:tc>
        <w:tc>
          <w:tcPr>
            <w:tcW w:w="40" w:type="dxa"/>
            <w:vAlign w:val="bottom"/>
          </w:tcPr>
          <w:p>
            <w:pPr>
              <w:spacing w:after="0"/>
              <w:rPr>
                <w:sz w:val="19"/>
                <w:szCs w:val="19"/>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6,944,328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6,771,125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6,821,757</w:t>
            </w:r>
          </w:p>
        </w:tc>
        <w:tc>
          <w:tcPr>
            <w:tcW w:w="40" w:type="dxa"/>
            <w:vAlign w:val="bottom"/>
          </w:tcPr>
          <w:p>
            <w:pPr>
              <w:spacing w:after="0"/>
              <w:rPr>
                <w:sz w:val="19"/>
                <w:szCs w:val="19"/>
                <w:color w:val="auto"/>
              </w:rPr>
            </w:pPr>
          </w:p>
        </w:tc>
      </w:tr>
      <w:tr>
        <w:trPr>
          <w:trHeight w:val="234"/>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(743,796)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(749,467)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(908,294)</w:t>
            </w:r>
          </w:p>
        </w:tc>
        <w:tc>
          <w:tcPr>
            <w:tcW w:w="40" w:type="dxa"/>
            <w:vAlign w:val="bottom"/>
          </w:tcPr>
          <w:p>
            <w:pPr>
              <w:spacing w:after="0"/>
              <w:rPr>
                <w:sz w:val="20"/>
                <w:szCs w:val="20"/>
                <w:color w:val="auto"/>
              </w:rPr>
            </w:pPr>
          </w:p>
        </w:tc>
      </w:tr>
      <w:tr>
        <w:trPr>
          <w:trHeight w:val="468"/>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Net sales by product group consist of the following:</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7"/>
        </w:trPr>
        <w:tc>
          <w:tcPr>
            <w:tcW w:w="6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gridSpan w:val="6"/>
          </w:tcPr>
          <w:p>
            <w:pPr>
              <w:jc w:val="center"/>
              <w:ind w:left="69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
        </w:trPr>
        <w:tc>
          <w:tcPr>
            <w:tcW w:w="64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0"/>
        </w:trPr>
        <w:tc>
          <w:tcPr>
            <w:tcW w:w="6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r>
      <w:tr>
        <w:trPr>
          <w:trHeight w:val="196"/>
        </w:trPr>
        <w:tc>
          <w:tcPr>
            <w:tcW w:w="6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Advanced Products</w:t>
            </w:r>
          </w:p>
        </w:tc>
        <w:tc>
          <w:tcPr>
            <w:tcW w:w="3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5,174,459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5,032,859</w:t>
            </w:r>
          </w:p>
        </w:tc>
        <w:tc>
          <w:tcPr>
            <w:tcW w:w="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5,367,589</w:t>
            </w:r>
          </w:p>
        </w:tc>
        <w:tc>
          <w:tcPr>
            <w:tcW w:w="40" w:type="dxa"/>
            <w:vAlign w:val="bottom"/>
            <w:shd w:val="clear" w:color="auto" w:fill="CCEEFF"/>
          </w:tcPr>
          <w:p>
            <w:pPr>
              <w:spacing w:after="0"/>
              <w:rPr>
                <w:sz w:val="20"/>
                <w:szCs w:val="20"/>
                <w:color w:val="auto"/>
              </w:rPr>
            </w:pPr>
          </w:p>
        </w:tc>
      </w:tr>
      <w:tr>
        <w:trPr>
          <w:trHeight w:val="229"/>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Mainstream Products</w:t>
            </w: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1,143,233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1,470,206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1,723,996</w:t>
            </w:r>
          </w:p>
        </w:tc>
        <w:tc>
          <w:tcPr>
            <w:tcW w:w="40" w:type="dxa"/>
            <w:vAlign w:val="bottom"/>
            <w:tcBorders>
              <w:bottom w:val="single" w:sz="8" w:color="auto"/>
            </w:tcBorders>
          </w:tcPr>
          <w:p>
            <w:pPr>
              <w:spacing w:after="0"/>
              <w:rPr>
                <w:sz w:val="19"/>
                <w:szCs w:val="19"/>
                <w:color w:val="auto"/>
              </w:rPr>
            </w:pPr>
          </w:p>
        </w:tc>
      </w:tr>
      <w:tr>
        <w:trPr>
          <w:trHeight w:val="248"/>
        </w:trPr>
        <w:tc>
          <w:tcPr>
            <w:tcW w:w="6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net sales</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6,317,692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6,503,065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7,091,585</w:t>
            </w:r>
          </w:p>
        </w:tc>
        <w:tc>
          <w:tcPr>
            <w:tcW w:w="40" w:type="dxa"/>
            <w:vAlign w:val="bottom"/>
            <w:tcBorders>
              <w:bottom w:val="single" w:sz="8" w:color="auto"/>
            </w:tcBorders>
            <w:shd w:val="clear" w:color="auto" w:fill="CCEEFF"/>
          </w:tcPr>
          <w:p>
            <w:pPr>
              <w:spacing w:after="0"/>
              <w:rPr>
                <w:sz w:val="21"/>
                <w:szCs w:val="2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40" w:hanging="308"/>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Products include flip chip, memory and wafer-level processing and related test services.</w:t>
      </w:r>
    </w:p>
    <w:p>
      <w:pPr>
        <w:spacing w:after="0" w:line="18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Mainstream Products include all other wirebond packaging and related test services.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end market consist of the following</w:t>
      </w:r>
      <w:r>
        <w:rPr>
          <w:rFonts w:ascii="Times New Roman" w:cs="Times New Roman" w:eastAsia="Times New Roman" w:hAnsi="Times New Roman"/>
          <w:sz w:val="18"/>
          <w:szCs w:val="18"/>
          <w:b w:val="1"/>
          <w:bCs w:val="1"/>
          <w:color w:val="auto"/>
        </w:rPr>
        <w:t>:</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80" w:type="dxa"/>
            <w:vAlign w:val="bottom"/>
            <w:gridSpan w:val="10"/>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Communications (smartphones, tablets)</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Computing (data center, infrastructure, PC/laptop, storage)</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 industrial and other (ADAS, electrification, infotainment, safety)</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Consumer (AR &amp; gaming, connected home, home electronics, wearables)</w:t>
            </w:r>
          </w:p>
        </w:tc>
        <w:tc>
          <w:tcPr>
            <w:tcW w:w="2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3"/>
        </w:trPr>
        <w:tc>
          <w:tcPr>
            <w:tcW w:w="6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sales by region based on customer headquarters location consist of the following:</w:t>
            </w: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80" w:type="dxa"/>
            <w:vAlign w:val="bottom"/>
            <w:gridSpan w:val="9"/>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6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5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817,875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1,043,880</w:t>
            </w:r>
          </w:p>
        </w:tc>
        <w:tc>
          <w:tcPr>
            <w:tcW w:w="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1,084,853</w:t>
            </w: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800,713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935,620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1,132,121</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 (excluding Japan)</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716,344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704,520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1,017,246</w:t>
            </w:r>
          </w:p>
        </w:tc>
        <w:tc>
          <w:tcPr>
            <w:tcW w:w="0" w:type="dxa"/>
            <w:vAlign w:val="bottom"/>
          </w:tcPr>
          <w:p>
            <w:pPr>
              <w:spacing w:after="0"/>
              <w:rPr>
                <w:sz w:val="1"/>
                <w:szCs w:val="1"/>
                <w:color w:val="auto"/>
              </w:rPr>
            </w:pPr>
          </w:p>
        </w:tc>
      </w:tr>
      <w:tr>
        <w:trPr>
          <w:trHeight w:val="223"/>
        </w:trPr>
        <w:tc>
          <w:tcPr>
            <w:tcW w:w="6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foreign countries</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2,334,932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2,684,020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3,234,220</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3,982,760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3,819,045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3,857,365</w:t>
            </w:r>
          </w:p>
        </w:tc>
        <w:tc>
          <w:tcPr>
            <w:tcW w:w="0" w:type="dxa"/>
            <w:vAlign w:val="bottom"/>
          </w:tcPr>
          <w:p>
            <w:pPr>
              <w:spacing w:after="0"/>
              <w:rPr>
                <w:sz w:val="1"/>
                <w:szCs w:val="1"/>
                <w:color w:val="auto"/>
              </w:rPr>
            </w:pPr>
          </w:p>
        </w:tc>
      </w:tr>
      <w:tr>
        <w:trPr>
          <w:trHeight w:val="223"/>
        </w:trPr>
        <w:tc>
          <w:tcPr>
            <w:tcW w:w="6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6,317,692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6,503,065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7,091,585</w:t>
            </w:r>
          </w:p>
        </w:tc>
        <w:tc>
          <w:tcPr>
            <w:tcW w:w="0" w:type="dxa"/>
            <w:vAlign w:val="bottom"/>
          </w:tcPr>
          <w:p>
            <w:pPr>
              <w:spacing w:after="0"/>
              <w:rPr>
                <w:sz w:val="1"/>
                <w:szCs w:val="1"/>
                <w:color w:val="auto"/>
              </w:rPr>
            </w:pPr>
          </w:p>
        </w:tc>
      </w:tr>
      <w:tr>
        <w:trPr>
          <w:trHeight w:val="21"/>
        </w:trPr>
        <w:tc>
          <w:tcPr>
            <w:tcW w:w="6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2024, 2023 and 2022 one customer accounted for 30.8%, 27.7% and 20.6% of total net sales, respectively. In 2024 and 2022, a second customer accounted for 10.2% and 10.1% of total net sales,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based on physical location, consist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7"/>
                <w:szCs w:val="17"/>
                <w:color w:val="auto"/>
              </w:rPr>
            </w:pPr>
          </w:p>
        </w:tc>
      </w:tr>
      <w:tr>
        <w:trPr>
          <w:trHeight w:val="23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308,889</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385,544</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139,126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143,399</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Korea</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1,923,953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1,781,632</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Malaysia</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55,166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51,164</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Philippines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172,180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183,430</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Portugal</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130,653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108,982</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322,539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272,428</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Vietnam</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471,581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365,059</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foreign countries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23"/>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foreign countries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3,525,640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3,291,910</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w:t>
            </w:r>
          </w:p>
        </w:tc>
      </w:tr>
      <w:tr>
        <w:trPr>
          <w:trHeight w:val="223"/>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3,576,148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3,299,445</w:t>
            </w:r>
          </w:p>
        </w:tc>
      </w:tr>
      <w:tr>
        <w:trPr>
          <w:trHeight w:val="21"/>
        </w:trPr>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5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vMerge w:val="restart"/>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6"/>
        </w:trPr>
        <w:tc>
          <w:tcPr>
            <w:tcW w:w="5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119"/>
              <w:spacing w:after="0" w:line="146"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540" w:type="dxa"/>
            <w:vAlign w:val="bottom"/>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(Credited) Charged</w:t>
            </w:r>
          </w:p>
        </w:tc>
        <w:tc>
          <w:tcPr>
            <w:tcW w:w="128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2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7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4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 Expense</w:t>
            </w:r>
          </w:p>
        </w:tc>
        <w:tc>
          <w:tcPr>
            <w:tcW w:w="128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0" w:type="dxa"/>
            <w:vAlign w:val="bottom"/>
          </w:tcPr>
          <w:p>
            <w:pPr>
              <w:spacing w:after="0"/>
              <w:rPr>
                <w:sz w:val="1"/>
                <w:szCs w:val="1"/>
                <w:color w:val="auto"/>
              </w:rPr>
            </w:pPr>
          </w:p>
        </w:tc>
      </w:tr>
      <w:tr>
        <w:trPr>
          <w:trHeight w:val="195"/>
        </w:trPr>
        <w:tc>
          <w:tcPr>
            <w:tcW w:w="5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20" w:type="dxa"/>
            <w:vAlign w:val="bottom"/>
            <w:gridSpan w:val="2"/>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 valuation allowance:</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at December 31, 2022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122,357</w:t>
            </w:r>
          </w:p>
        </w:tc>
        <w:tc>
          <w:tcPr>
            <w:tcW w:w="1540" w:type="dxa"/>
            <w:vAlign w:val="bottom"/>
          </w:tcPr>
          <w:p>
            <w:pPr>
              <w:jc w:val="right"/>
              <w:ind w:right="140"/>
              <w:spacing w:after="0"/>
              <w:rPr>
                <w:sz w:val="20"/>
                <w:szCs w:val="20"/>
                <w:color w:val="auto"/>
              </w:rPr>
            </w:pPr>
            <w:r>
              <w:rPr>
                <w:rFonts w:ascii="Times New Roman" w:cs="Times New Roman" w:eastAsia="Times New Roman" w:hAnsi="Times New Roman"/>
                <w:sz w:val="18"/>
                <w:szCs w:val="18"/>
                <w:color w:val="auto"/>
              </w:rPr>
              <w:t>(17,762)</w:t>
            </w:r>
          </w:p>
        </w:tc>
        <w:tc>
          <w:tcPr>
            <w:tcW w:w="12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(2,726)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101,869</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at December 31,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101,869</w:t>
            </w:r>
          </w:p>
        </w:tc>
        <w:tc>
          <w:tcPr>
            <w:tcW w:w="15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15,838</w:t>
            </w:r>
          </w:p>
        </w:tc>
        <w:tc>
          <w:tcPr>
            <w:tcW w:w="12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(2,896)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114,811</w:t>
            </w:r>
          </w:p>
        </w:tc>
        <w:tc>
          <w:tcPr>
            <w:tcW w:w="0" w:type="dxa"/>
            <w:vAlign w:val="bottom"/>
          </w:tcPr>
          <w:p>
            <w:pPr>
              <w:spacing w:after="0"/>
              <w:rPr>
                <w:sz w:val="1"/>
                <w:szCs w:val="1"/>
                <w:color w:val="auto"/>
              </w:rPr>
            </w:pPr>
          </w:p>
        </w:tc>
      </w:tr>
      <w:tr>
        <w:trPr>
          <w:trHeight w:val="234"/>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at December 31, 2024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114,811</w:t>
            </w:r>
          </w:p>
        </w:tc>
        <w:tc>
          <w:tcPr>
            <w:tcW w:w="1540" w:type="dxa"/>
            <w:vAlign w:val="bottom"/>
          </w:tcPr>
          <w:p>
            <w:pPr>
              <w:jc w:val="right"/>
              <w:ind w:right="140"/>
              <w:spacing w:after="0"/>
              <w:rPr>
                <w:sz w:val="20"/>
                <w:szCs w:val="20"/>
                <w:color w:val="auto"/>
              </w:rPr>
            </w:pPr>
            <w:r>
              <w:rPr>
                <w:rFonts w:ascii="Times New Roman" w:cs="Times New Roman" w:eastAsia="Times New Roman" w:hAnsi="Times New Roman"/>
                <w:sz w:val="18"/>
                <w:szCs w:val="18"/>
                <w:color w:val="auto"/>
              </w:rPr>
              <w:t>(3,633)</w:t>
            </w:r>
          </w:p>
        </w:tc>
        <w:tc>
          <w:tcPr>
            <w:tcW w:w="12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(4,065)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periodic reports to the SEC is recorded, processed, summarized and reported within the time periods specified in the SEC’s rules and forms, and that such information is accumulated and communicated to our management, including the Chief Executive Officer and the Chief Financial Officer, as appropriate, to allow timely decisions regarding required disclosure, based on the definition of “disclosure controls and procedures” in Rule 13a-15(e) and Rule 15d-15(e) under the Securities Exchange Act of 1934, as amended. In designing and evaluating the disclosure controls and procedures, management recognizes that any disclosure controls and procedures, no matter how well designed and operated, can provide only reasonable assurance of achieving the desired control objectives, and management necessarily is required to apply its judgment in evaluating the cost-benefit relationship of possible disclosure controls and procedures.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management, including our Chief Executive Officer and our Chief Financial Officer, of the effectiveness of the design and operation of our disclosure controls and procedures as of December 31, 2024, and concluded those disclosure controls and procedures were effective as of that date.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such term is defined in Exchange Act Rules 13a-15(f) and 15d-15(f).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and procedures may deteriorate.</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conducted an assessment of the effectiveness of our internal control over financial reporting as of December 31, 2024, based on the framework established in Internal Control — Integrated Framework (2013) issued by the Committee of Sponsoring Organizations of the Treadway Commission (“COSO”). Based on the results of this evaluation, our management concluded that our internal control over financial reporting was effective as of December 31, 2024, based on criteria in Internal Control — Integrated Framework (2013) issued by the COSO.</w:t>
      </w:r>
    </w:p>
    <w:p>
      <w:pPr>
        <w:spacing w:after="0" w:line="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2024, has been audited by PricewaterhouseCoopers LLP, an independent registered public accounting firm, as stated in their report which appears under Item 8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three months ended December 31, 2024 that have materially affected, or are reasonably likely to materially affect, our internal control over financial reporting.</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2024, no director or officer of the Company adopted or terminated a “Rule 10b5-1 trading arrangement” or “non-Rule 10b5-1 trading arrangement,” as such terms are defined in paragraphs (a) and (c), respectively, of Item 408 of Regulation S-K promulgated under the Securities Act of 1933, as amended.</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20, 2025, the Board of Directors (the “Board”) of the Company amended and restated the Restated Bylaws of the Company (as amended and restated, the “Bylaws”), effective February 20, 2025. The changes to the Bylaws include the following:</w:t>
      </w:r>
    </w:p>
    <w:p>
      <w:pPr>
        <w:spacing w:after="0" w:line="189" w:lineRule="exact"/>
        <w:rPr>
          <w:sz w:val="20"/>
          <w:szCs w:val="20"/>
          <w:color w:val="auto"/>
        </w:rPr>
      </w:pPr>
    </w:p>
    <w:p>
      <w:pPr>
        <w:ind w:left="66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1.1 and 1.2 were amended to clarify that annual meetings and special meetings of the Company’s stockholders may be held in whole or in part by means of remote communication.</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1.4 and 1.5 were amended to clarify and further enhance procedural mechanics and informational requirements in connection with stockholder nominations of directors and submissions of stockholder proposals pursuant to the advance notice provisions of the Bylaws, including updates to reflect the U.S. Securities and Exchange Commission’s adoption of “universal proxy” rules as set forth in Rule 14a-19 (“Rule 14a-19”) under the Exchange Act. The amended advance notice provisions now require, among other things, that (a) stockholders seeking to nominate directors pursuant to Rule 14a-19 comply with the requirements of such rule and certify such compliance prior to the applicable meeting, (b) nominating stockholders and their nominee(s) disclose their respective holdings of, and arrangements relating to, shares of the Company, including any agreements, plans or proposals that would be required to be disclosed on Schedule 13D under the Exchange Act, (c) any Proposing Person(s) (as defined in the Bylaws) provide in the required notice additional background information, disclosures, and representations with respect to such Proposing Person(s), any proposed director nominees, and any proposed business, and (d) the Proposing Person(s) update such notice, if necessary, so that it remains true and correct closer to the meeting date.</w:t>
      </w:r>
    </w:p>
    <w:p>
      <w:pPr>
        <w:spacing w:after="0" w:line="2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1.9 was amended to provide that any stockholder soliciting proxies from other stockholders must use a proxy card color other than white, which will be reserved for the exclusive use by the Board.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2.7 was amended to clarify that the Board may elect one of its members to serve as chairman, and that the Board may appoint, in its discretion, a vice chairman.</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6.1 was amended to clarify that the term “officer,” as used in the indemnification provisions of Article VI of the Bylaws, shall refer exclusively to officers appointed by the Board pursuant to Article IV of the Bylaws, or, for entities other than the Company, to officers appointed by the equivalent governing body of such entity.</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8.1 was amended to provide that the federal district courts of the United States of America shall be the exclusive forum for any actions against the Company arising under the Securities Act of 1933, as amended. The amended Section 8.1 also provides that stockholders who file a Foreign Action (as defined in the Bylaws) that falls within the scope of the Company’s forum selection clause are deemed to have consented, for certain actions to enforce the Company’s forum selection clause, to (a) the personal jurisdiction of the Delaware Court of Chancery and (b) having service of process made upon such stockholder’s counsel in the Foreign Action.</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certain other ministerial, modernizing, clarifying and conforming changes were made to the Bylaws. The foregoing summary of the changes effectuated by the amendment and restatement of the Bylaws does not purport to be complete and is qualified in its entirety by reference to the full text of the Bylaws, a copy of which is included as an exhibit 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i w:val="1"/>
          <w:iCs w:val="1"/>
          <w:color w:val="auto"/>
        </w:rPr>
        <w:t>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10, with the exception of information relating to our Insider Trading Policy (the “Insider Trading Policy”) and our Code of Business Conduct (the “Code of Business Conduct”) disclosed below, is incorporated herein by reference from the material included under the captions “Proposal One: Election of Directors,” “Corporate Governance,” “Executive Officers” and “Delinquent Section 16(a) Reports” in our definitive proxy statement to be filed with the SEC pursuant to Regulation 14A within 120 days after our fiscal year ended December 31, 2024 in connection with our 2025 Annual Meeting of Stockholders (the “Proxy Statement”).</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adopted insider trading policies and procedures governing the purchase, sale and other dispositions of securities of Amkor by directors, officers and employees that we believe are reasonably designed to promote compliance with insider trading laws, rules and regulations and applicable listing standards of the Nasdaq Global Select Market. Our insider trading policy states, among other things, that our directors, officers and employees are prohibited from trading in such securities while in possession of material, nonpublic information. The foregoing summary of our insider trading policies and procedures does not purport to be complete and is qualified by reference to our Insider Trading Policy filed as an exhibit to this Annual Report on Form 10-K.</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Code of Business Conduct is written and is applicable to all employees, including our Chief Executive Officer, Chief Financial Officer and Controller. The Code of Business Conduct and our Code of Ethics for Directors, Corporate Governance Guidelines and the charters of the Audit Committee, Nominating and Governance Committee and Compensation Committee of our Board of Directors are available and maintained on our website (http://www.amkor.com). We intend to disclose on our website future amendments or waivers of the Code of Business Conduct required to be disclosed pursuant to applicable rules and regulations.</w:t>
      </w:r>
    </w:p>
    <w:p>
      <w:pPr>
        <w:spacing w:after="0" w:line="20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Executive Compensation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11 is incorporated herein by reference from the material included under the captions “Director Compensation,” “Executive Compensation,” “Compensation Committee Interlocks and Insider Participation” “Pay Ratio” and “Compensation Committee Report” in the Proxy Statement.</w:t>
      </w:r>
    </w:p>
    <w:p>
      <w:pPr>
        <w:spacing w:after="0" w:line="19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i w:val="1"/>
          <w:iCs w:val="1"/>
          <w:color w:val="auto"/>
        </w:rPr>
        <w:t>Security Ownership of Certain Beneficial Owners and Management and Related Stockholder Matters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12, with the exception of the equity compensation plan information presented below, is incorporated herein by reference from the material included under the caption “Security Ownership of Certain Beneficial Owners and Management” in the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EQUITY COMPENSATION PLAN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equity compensation plan as of December 31, 2024: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37"/>
        </w:trPr>
        <w:tc>
          <w:tcPr>
            <w:tcW w:w="5440" w:type="dxa"/>
            <w:vAlign w:val="bottom"/>
          </w:tcPr>
          <w:p>
            <w:pPr>
              <w:spacing w:after="0"/>
              <w:rPr>
                <w:sz w:val="11"/>
                <w:szCs w:val="11"/>
                <w:color w:val="auto"/>
              </w:rPr>
            </w:pPr>
          </w:p>
        </w:tc>
        <w:tc>
          <w:tcPr>
            <w:tcW w:w="18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w:t>
            </w:r>
          </w:p>
        </w:tc>
        <w:tc>
          <w:tcPr>
            <w:tcW w:w="22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6"/>
        </w:trPr>
        <w:tc>
          <w:tcPr>
            <w:tcW w:w="5440" w:type="dxa"/>
            <w:vAlign w:val="bottom"/>
          </w:tcPr>
          <w:p>
            <w:pPr>
              <w:spacing w:after="0"/>
              <w:rPr>
                <w:sz w:val="12"/>
                <w:szCs w:val="12"/>
                <w:color w:val="auto"/>
              </w:rPr>
            </w:pPr>
          </w:p>
        </w:tc>
        <w:tc>
          <w:tcPr>
            <w:tcW w:w="18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37"/>
        </w:trPr>
        <w:tc>
          <w:tcPr>
            <w:tcW w:w="5440" w:type="dxa"/>
            <w:vAlign w:val="bottom"/>
          </w:tcPr>
          <w:p>
            <w:pPr>
              <w:spacing w:after="0"/>
              <w:rPr>
                <w:sz w:val="11"/>
                <w:szCs w:val="11"/>
                <w:color w:val="auto"/>
              </w:rPr>
            </w:pPr>
          </w:p>
        </w:tc>
        <w:tc>
          <w:tcPr>
            <w:tcW w:w="18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6"/>
        </w:trPr>
        <w:tc>
          <w:tcPr>
            <w:tcW w:w="5440" w:type="dxa"/>
            <w:vAlign w:val="bottom"/>
          </w:tcPr>
          <w:p>
            <w:pPr>
              <w:spacing w:after="0"/>
              <w:rPr>
                <w:sz w:val="12"/>
                <w:szCs w:val="12"/>
                <w:color w:val="auto"/>
              </w:rPr>
            </w:pPr>
          </w:p>
        </w:tc>
        <w:tc>
          <w:tcPr>
            <w:tcW w:w="18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 and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37"/>
        </w:trPr>
        <w:tc>
          <w:tcPr>
            <w:tcW w:w="5440" w:type="dxa"/>
            <w:vAlign w:val="bottom"/>
          </w:tcPr>
          <w:p>
            <w:pPr>
              <w:spacing w:after="0"/>
              <w:rPr>
                <w:sz w:val="11"/>
                <w:szCs w:val="11"/>
                <w:color w:val="auto"/>
              </w:rPr>
            </w:pPr>
          </w:p>
        </w:tc>
        <w:tc>
          <w:tcPr>
            <w:tcW w:w="18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Rights</w:t>
            </w:r>
          </w:p>
        </w:tc>
        <w:tc>
          <w:tcPr>
            <w:tcW w:w="100" w:type="dxa"/>
            <w:vAlign w:val="bottom"/>
          </w:tcPr>
          <w:p>
            <w:pPr>
              <w:spacing w:after="0"/>
              <w:rPr>
                <w:sz w:val="11"/>
                <w:szCs w:val="11"/>
                <w:color w:val="auto"/>
              </w:rPr>
            </w:pPr>
          </w:p>
        </w:tc>
        <w:tc>
          <w:tcPr>
            <w:tcW w:w="168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Options, Warrants and</w:t>
            </w:r>
          </w:p>
        </w:tc>
        <w:tc>
          <w:tcPr>
            <w:tcW w:w="22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Reflected in Column(a))</w:t>
            </w:r>
          </w:p>
        </w:tc>
        <w:tc>
          <w:tcPr>
            <w:tcW w:w="0" w:type="dxa"/>
            <w:vAlign w:val="bottom"/>
          </w:tcPr>
          <w:p>
            <w:pPr>
              <w:spacing w:after="0"/>
              <w:rPr>
                <w:sz w:val="1"/>
                <w:szCs w:val="1"/>
                <w:color w:val="auto"/>
              </w:rPr>
            </w:pPr>
          </w:p>
        </w:tc>
      </w:tr>
      <w:tr>
        <w:trPr>
          <w:trHeight w:val="190"/>
        </w:trPr>
        <w:tc>
          <w:tcPr>
            <w:tcW w:w="544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Rights (1)</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544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 approved by stockholders (2)</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 (3)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19,378 (4)</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stockholders</w:t>
            </w:r>
          </w:p>
        </w:tc>
        <w:tc>
          <w:tcPr>
            <w:tcW w:w="180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equity compensation plans</w:t>
            </w:r>
          </w:p>
        </w:tc>
        <w:tc>
          <w:tcPr>
            <w:tcW w:w="1800" w:type="dxa"/>
            <w:vAlign w:val="bottom"/>
            <w:tcBorders>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8"/>
                <w:szCs w:val="18"/>
                <w:color w:val="auto"/>
              </w:rPr>
              <w:t>3,252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8"/>
                <w:szCs w:val="18"/>
                <w:color w:val="auto"/>
              </w:rPr>
              <w:t>19,378</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60" w:hanging="328"/>
        <w:spacing w:after="0" w:line="282" w:lineRule="auto"/>
        <w:tabs>
          <w:tab w:leader="none" w:pos="59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without taking into account shares of common stock subject to outstanding RSUs and PSUs that will become issuable as those units vest without any cash consideration or other payment required for such shares.</w:t>
      </w:r>
    </w:p>
    <w:p>
      <w:pPr>
        <w:spacing w:after="0" w:line="10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2007 Plan and the 2021 Plan.</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59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1.6 million shares of common stock subject to RSUs and PSUs, which entitle each holder to one share of common stock for each unit that vests over the holder’s period of continued service or based on the achievement of certain performance criteria.</w:t>
      </w:r>
    </w:p>
    <w:p>
      <w:pPr>
        <w:spacing w:after="0" w:line="107" w:lineRule="exact"/>
        <w:rPr>
          <w:rFonts w:ascii="Times New Roman" w:cs="Times New Roman" w:eastAsia="Times New Roman" w:hAnsi="Times New Roman"/>
          <w:sz w:val="18"/>
          <w:szCs w:val="18"/>
          <w:color w:val="auto"/>
        </w:rPr>
      </w:pPr>
    </w:p>
    <w:p>
      <w:pPr>
        <w:ind w:left="660" w:hanging="328"/>
        <w:spacing w:after="0" w:line="255" w:lineRule="auto"/>
        <w:tabs>
          <w:tab w:leader="none" w:pos="59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shares of common stock available for issuance under the 2021 Plan, as adjusted to account for full-value awards, which reduce the shares of common stock available for future issuance at a fungible ratio of 1:1.5 for each full-value award previously awarded. The 2007 Plan terminated on the date of the 2021 Annual Meeting, and, accordingly, there were no shares available for future grants under the 2007 Plan as of December 31, 2024. However, if an award under the 2021 Plan or under the 2007 Plan is forfeited, terminated, canceled, expires or is paid in cash, the shares subject to such award, to the extent of the forfeiture, termination, cancellation, expiration or cash payment, may be added back to the shares available for issuance under the 2021 Plan on a 1:1 basis for options and stock appreciation rights and on a 1.5:1 basis for all other equity awards.</w:t>
      </w:r>
    </w:p>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2021 Plan, which was approved by our stockholders at the 2021 Annual Meeting, superseded and replaced the 2007 Plan. As of December 31, 2024, a total of 19.4 million shares were available for issuance under the 2021 Plan. Shares available for issuance under our 2021 Plan can be granted pursuant to stock options, restricted stock, RSUs, stock appreciation rights, PSUs and performance shares. For additional information regarding the 2007 Plan and the 2021 Plan, see Note 2 to our Consolidated Financial Statements in Part II, Item 8 of this Form 10-K.</w:t>
      </w:r>
    </w:p>
    <w:p>
      <w:pPr>
        <w:spacing w:after="0" w:line="3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is incorporated herein by reference from the material included under the captions “Corporate Governance - Certain Relationships and Related Transactions” and “Proposal One: Election of Directors” in the Proxy Statement.</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Accountant Fees and Services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is incorporated herein by reference from the material included under the caption “Proposal Three: Ratification of Appointment of Independent Registered Public Accounting Firm” in the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254" w:lineRule="exact"/>
        <w:rPr>
          <w:sz w:val="20"/>
          <w:szCs w:val="20"/>
          <w:color w:val="auto"/>
        </w:rPr>
      </w:pPr>
    </w:p>
    <w:p>
      <w:pPr>
        <w:ind w:left="500" w:hanging="249"/>
        <w:spacing w:after="0"/>
        <w:tabs>
          <w:tab w:leader="none" w:pos="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 Financial Statement Schedules and Exhibits</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financial statements and schedules filed as part of this Form 10-K are listed in the index under Part II, Item 8 of this Form 10-K.</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exhibits required by Item 601 of Regulation S-K that are filed with this Form 10-K or incorporated by reference herein are set forth below.</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Management contracts or compensatory plans or arrangements are identified by an asterisk.</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9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980" w:type="dxa"/>
            <w:vAlign w:val="bottom"/>
          </w:tcPr>
          <w:p>
            <w:pPr>
              <w:jc w:val="center"/>
              <w:ind w:left="993"/>
              <w:spacing w:after="0"/>
              <w:rPr>
                <w:sz w:val="20"/>
                <w:szCs w:val="20"/>
                <w:color w:val="auto"/>
              </w:rPr>
            </w:pPr>
            <w:r>
              <w:rPr>
                <w:rFonts w:ascii="Times New Roman" w:cs="Times New Roman" w:eastAsia="Times New Roman" w:hAnsi="Times New Roman"/>
                <w:sz w:val="14"/>
                <w:szCs w:val="14"/>
                <w:b w:val="1"/>
                <w:bCs w:val="1"/>
                <w:color w:val="auto"/>
              </w:rPr>
              <w:t>Included</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2"/>
            <w:vMerge w:val="continue"/>
          </w:tcPr>
          <w:p>
            <w:pPr>
              <w:spacing w:after="0"/>
              <w:rPr>
                <w:sz w:val="17"/>
                <w:szCs w:val="17"/>
                <w:color w:val="auto"/>
              </w:rPr>
            </w:pPr>
          </w:p>
        </w:tc>
        <w:tc>
          <w:tcPr>
            <w:tcW w:w="1980" w:type="dxa"/>
            <w:vAlign w:val="bottom"/>
            <w:tcBorders>
              <w:bottom w:val="single" w:sz="8" w:color="auto"/>
            </w:tcBorders>
          </w:tcPr>
          <w:p>
            <w:pPr>
              <w:jc w:val="center"/>
              <w:ind w:left="993"/>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22"/>
        </w:trPr>
        <w:tc>
          <w:tcPr>
            <w:tcW w:w="1120" w:type="dxa"/>
            <w:vAlign w:val="bottom"/>
          </w:tcPr>
          <w:p>
            <w:pPr>
              <w:jc w:val="right"/>
              <w:ind w:right="312"/>
              <w:spacing w:after="0" w:line="12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900" w:type="dxa"/>
            <w:vAlign w:val="bottom"/>
            <w:gridSpan w:val="23"/>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Period Ending</w:t>
            </w: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9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gridSpan w:val="23"/>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120" w:type="dxa"/>
            <w:vAlign w:val="bottom"/>
          </w:tcPr>
          <w:p>
            <w:pPr>
              <w:jc w:val="right"/>
              <w:ind w:right="112"/>
              <w:spacing w:after="0" w:line="189" w:lineRule="exact"/>
              <w:rPr>
                <w:sz w:val="20"/>
                <w:szCs w:val="20"/>
                <w:color w:val="auto"/>
              </w:rPr>
            </w:pPr>
            <w:r>
              <w:rPr>
                <w:rFonts w:ascii="Times New Roman" w:cs="Times New Roman" w:eastAsia="Times New Roman" w:hAnsi="Times New Roman"/>
                <w:sz w:val="18"/>
                <w:szCs w:val="18"/>
                <w:color w:val="auto"/>
              </w:rPr>
              <w:t>2.1</w:t>
            </w:r>
          </w:p>
        </w:tc>
        <w:tc>
          <w:tcPr>
            <w:tcW w:w="5260" w:type="dxa"/>
            <w:vAlign w:val="bottom"/>
            <w:gridSpan w:val="25"/>
          </w:tcPr>
          <w:p>
            <w:pPr>
              <w:spacing w:after="0" w:line="189"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Sales  Contract  of  Commodity  Premises  between  Shanghai</w:t>
              </w:r>
            </w:hyperlink>
          </w:p>
        </w:tc>
        <w:tc>
          <w:tcPr>
            <w:tcW w:w="9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10-Q</w:t>
            </w:r>
          </w:p>
        </w:tc>
        <w:tc>
          <w:tcPr>
            <w:tcW w:w="1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6/30/04</w:t>
            </w:r>
          </w:p>
        </w:tc>
        <w:tc>
          <w:tcPr>
            <w:tcW w:w="800" w:type="dxa"/>
            <w:vAlign w:val="bottom"/>
          </w:tcPr>
          <w:p>
            <w:pPr>
              <w:jc w:val="center"/>
              <w:ind w:right="11"/>
              <w:spacing w:after="0" w:line="189" w:lineRule="exact"/>
              <w:rPr>
                <w:sz w:val="20"/>
                <w:szCs w:val="20"/>
                <w:color w:val="auto"/>
              </w:rPr>
            </w:pPr>
            <w:r>
              <w:rPr>
                <w:rFonts w:ascii="Times New Roman" w:cs="Times New Roman" w:eastAsia="Times New Roman" w:hAnsi="Times New Roman"/>
                <w:sz w:val="18"/>
                <w:szCs w:val="18"/>
                <w:color w:val="auto"/>
                <w:w w:val="97"/>
              </w:rPr>
              <w:t>2.3</w:t>
            </w:r>
          </w:p>
        </w:tc>
        <w:tc>
          <w:tcPr>
            <w:tcW w:w="1980" w:type="dxa"/>
            <w:vAlign w:val="bottom"/>
          </w:tcPr>
          <w:p>
            <w:pPr>
              <w:jc w:val="center"/>
              <w:ind w:right="873"/>
              <w:spacing w:after="0" w:line="189" w:lineRule="exact"/>
              <w:rPr>
                <w:sz w:val="20"/>
                <w:szCs w:val="20"/>
                <w:color w:val="auto"/>
              </w:rPr>
            </w:pPr>
            <w:r>
              <w:rPr>
                <w:rFonts w:ascii="Times New Roman" w:cs="Times New Roman" w:eastAsia="Times New Roman" w:hAnsi="Times New Roman"/>
                <w:sz w:val="18"/>
                <w:szCs w:val="18"/>
                <w:color w:val="auto"/>
                <w:w w:val="99"/>
              </w:rPr>
              <w:t>8/6/04</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18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Waigaoqiao Free Trade Zone Xin Development Co., Ltd. and Amkor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1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Assembly &amp; Test (Shanghai) Co., Ltd. dated May 7, 2004.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3.1</w:t>
            </w:r>
          </w:p>
        </w:tc>
        <w:tc>
          <w:tcPr>
            <w:tcW w:w="4200" w:type="dxa"/>
            <w:vAlign w:val="bottom"/>
            <w:tcBorders>
              <w:top w:val="single" w:sz="8" w:color="0000FF"/>
            </w:tcBorders>
            <w:gridSpan w:val="11"/>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Certificate of Incorporation.</w:t>
              </w:r>
            </w:hyperlink>
          </w:p>
        </w:tc>
        <w:tc>
          <w:tcPr>
            <w:tcW w:w="1060" w:type="dxa"/>
            <w:vAlign w:val="bottom"/>
            <w:gridSpan w:val="14"/>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180" w:type="dxa"/>
            <w:vAlign w:val="bottom"/>
          </w:tcPr>
          <w:p>
            <w:pPr>
              <w:spacing w:after="0"/>
              <w:rPr>
                <w:sz w:val="19"/>
                <w:szCs w:val="19"/>
                <w:color w:val="auto"/>
              </w:rPr>
            </w:pPr>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3.1</w:t>
            </w:r>
          </w:p>
        </w:tc>
        <w:tc>
          <w:tcPr>
            <w:tcW w:w="1980" w:type="dxa"/>
            <w:vAlign w:val="bottom"/>
          </w:tcPr>
          <w:p>
            <w:pPr>
              <w:jc w:val="center"/>
              <w:ind w:right="893"/>
              <w:spacing w:after="0"/>
              <w:rPr>
                <w:sz w:val="20"/>
                <w:szCs w:val="20"/>
                <w:color w:val="auto"/>
              </w:rPr>
            </w:pPr>
            <w:r>
              <w:rPr>
                <w:rFonts w:ascii="Times New Roman" w:cs="Times New Roman" w:eastAsia="Times New Roman" w:hAnsi="Times New Roman"/>
                <w:sz w:val="18"/>
                <w:szCs w:val="18"/>
                <w:color w:val="auto"/>
              </w:rPr>
              <w:t>10/6/97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3.2</w:t>
            </w:r>
          </w:p>
        </w:tc>
        <w:tc>
          <w:tcPr>
            <w:tcW w:w="5260" w:type="dxa"/>
            <w:vAlign w:val="bottom"/>
            <w:gridSpan w:val="25"/>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Certificate of Correction to Certificate of Incorporation.</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POSAM</w:t>
            </w:r>
          </w:p>
        </w:tc>
        <w:tc>
          <w:tcPr>
            <w:tcW w:w="1180" w:type="dxa"/>
            <w:vAlign w:val="bottom"/>
          </w:tcPr>
          <w:p>
            <w:pPr>
              <w:spacing w:after="0"/>
              <w:rPr>
                <w:sz w:val="18"/>
                <w:szCs w:val="18"/>
                <w:color w:val="auto"/>
              </w:rPr>
            </w:pPr>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9"/>
              </w:rPr>
              <w:t>—</w:t>
            </w:r>
          </w:p>
        </w:tc>
        <w:tc>
          <w:tcPr>
            <w:tcW w:w="1980" w:type="dxa"/>
            <w:vAlign w:val="bottom"/>
          </w:tcPr>
          <w:p>
            <w:pPr>
              <w:jc w:val="center"/>
              <w:ind w:right="893"/>
              <w:spacing w:after="0"/>
              <w:rPr>
                <w:sz w:val="20"/>
                <w:szCs w:val="20"/>
                <w:color w:val="auto"/>
              </w:rPr>
            </w:pPr>
            <w:r>
              <w:rPr>
                <w:rFonts w:ascii="Times New Roman" w:cs="Times New Roman" w:eastAsia="Times New Roman" w:hAnsi="Times New Roman"/>
                <w:sz w:val="18"/>
                <w:szCs w:val="18"/>
                <w:color w:val="auto"/>
              </w:rPr>
              <w:t>8/26/98</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3.3</w:t>
            </w:r>
          </w:p>
        </w:tc>
        <w:tc>
          <w:tcPr>
            <w:tcW w:w="52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Amended and Restated Bylaws of Amkor Technology, Inc., effective</w:t>
            </w:r>
          </w:p>
        </w:tc>
        <w:tc>
          <w:tcPr>
            <w:tcW w:w="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80" w:type="dxa"/>
            <w:vAlign w:val="bottom"/>
          </w:tcPr>
          <w:p>
            <w:pPr>
              <w:jc w:val="center"/>
              <w:ind w:left="99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100" w:type="dxa"/>
            <w:vAlign w:val="bottom"/>
            <w:tcBorders>
              <w:top w:val="single" w:sz="8" w:color="0000FF"/>
            </w:tcBorders>
            <w:gridSpan w:val="17"/>
          </w:tcPr>
          <w:p>
            <w:pPr>
              <w:spacing w:after="0" w:line="156" w:lineRule="exact"/>
              <w:rPr>
                <w:sz w:val="20"/>
                <w:szCs w:val="20"/>
                <w:color w:val="auto"/>
              </w:rPr>
            </w:pPr>
            <w:r>
              <w:rPr>
                <w:rFonts w:ascii="Times New Roman" w:cs="Times New Roman" w:eastAsia="Times New Roman" w:hAnsi="Times New Roman"/>
                <w:sz w:val="18"/>
                <w:szCs w:val="18"/>
                <w:color w:val="0000FF"/>
              </w:rPr>
              <w:t>February 20, 2025.</w:t>
            </w: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4.1</w:t>
            </w:r>
          </w:p>
        </w:tc>
        <w:tc>
          <w:tcPr>
            <w:tcW w:w="5260" w:type="dxa"/>
            <w:vAlign w:val="bottom"/>
            <w:gridSpan w:val="25"/>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Specimen Common Stock Certificate.</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180" w:type="dxa"/>
            <w:vAlign w:val="bottom"/>
          </w:tcPr>
          <w:p>
            <w:pPr>
              <w:spacing w:after="0"/>
              <w:rPr>
                <w:sz w:val="19"/>
                <w:szCs w:val="19"/>
                <w:color w:val="auto"/>
              </w:rPr>
            </w:pPr>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4.1</w:t>
            </w:r>
          </w:p>
        </w:tc>
        <w:tc>
          <w:tcPr>
            <w:tcW w:w="1980" w:type="dxa"/>
            <w:vAlign w:val="bottom"/>
          </w:tcPr>
          <w:p>
            <w:pPr>
              <w:jc w:val="center"/>
              <w:ind w:right="893"/>
              <w:spacing w:after="0"/>
              <w:rPr>
                <w:sz w:val="20"/>
                <w:szCs w:val="20"/>
                <w:color w:val="auto"/>
              </w:rPr>
            </w:pPr>
            <w:r>
              <w:rPr>
                <w:rFonts w:ascii="Times New Roman" w:cs="Times New Roman" w:eastAsia="Times New Roman" w:hAnsi="Times New Roman"/>
                <w:sz w:val="18"/>
                <w:szCs w:val="18"/>
                <w:color w:val="auto"/>
              </w:rPr>
              <w:t>3/31/98</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4.2</w:t>
            </w:r>
          </w:p>
        </w:tc>
        <w:tc>
          <w:tcPr>
            <w:tcW w:w="5260" w:type="dxa"/>
            <w:vAlign w:val="bottom"/>
            <w:gridSpan w:val="25"/>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Indenture, dated March 15, 2019, by and between Amkor Technology,</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spacing w:after="0"/>
              <w:rPr>
                <w:sz w:val="18"/>
                <w:szCs w:val="18"/>
                <w:color w:val="auto"/>
              </w:rPr>
            </w:pPr>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4.1</w:t>
            </w:r>
          </w:p>
        </w:tc>
        <w:tc>
          <w:tcPr>
            <w:tcW w:w="1980" w:type="dxa"/>
            <w:vAlign w:val="bottom"/>
          </w:tcPr>
          <w:p>
            <w:pPr>
              <w:jc w:val="center"/>
              <w:ind w:right="873"/>
              <w:spacing w:after="0"/>
              <w:rPr>
                <w:sz w:val="20"/>
                <w:szCs w:val="20"/>
                <w:color w:val="auto"/>
              </w:rPr>
            </w:pPr>
            <w:r>
              <w:rPr>
                <w:rFonts w:ascii="Times New Roman" w:cs="Times New Roman" w:eastAsia="Times New Roman" w:hAnsi="Times New Roman"/>
                <w:sz w:val="18"/>
                <w:szCs w:val="18"/>
                <w:color w:val="auto"/>
                <w:w w:val="99"/>
              </w:rPr>
              <w:t>3/5/19</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08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Inc. and U.S. Bank National Association, as trustee, regarding the</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160" w:type="dxa"/>
            <w:vAlign w:val="bottom"/>
            <w:gridSpan w:val="20"/>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6.</w:t>
              </w:r>
              <w:r>
                <w:rPr>
                  <w:rFonts w:ascii="Times New Roman" w:cs="Times New Roman" w:eastAsia="Times New Roman" w:hAnsi="Times New Roman"/>
                  <w:sz w:val="18"/>
                  <w:szCs w:val="18"/>
                  <w:u w:val="single" w:color="auto"/>
                  <w:color w:val="0000FF"/>
                </w:rPr>
                <w:t>625%</w:t>
              </w:r>
              <w:r>
                <w:rPr>
                  <w:rFonts w:ascii="Times New Roman" w:cs="Times New Roman" w:eastAsia="Times New Roman" w:hAnsi="Times New Roman"/>
                  <w:sz w:val="18"/>
                  <w:szCs w:val="18"/>
                  <w:color w:val="0000FF"/>
                </w:rPr>
                <w:t xml:space="preserve"> Senior Notes due 2027.</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4.3</w:t>
            </w:r>
          </w:p>
        </w:tc>
        <w:tc>
          <w:tcPr>
            <w:tcW w:w="5260" w:type="dxa"/>
            <w:vAlign w:val="bottom"/>
            <w:gridSpan w:val="25"/>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Description of the Registrant’s Securities Registered Pursuant to</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12/31/19</w:t>
            </w:r>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4.3</w:t>
            </w:r>
          </w:p>
        </w:tc>
        <w:tc>
          <w:tcPr>
            <w:tcW w:w="1980" w:type="dxa"/>
            <w:vAlign w:val="bottom"/>
          </w:tcPr>
          <w:p>
            <w:pPr>
              <w:jc w:val="center"/>
              <w:ind w:right="893"/>
              <w:spacing w:after="0"/>
              <w:rPr>
                <w:sz w:val="20"/>
                <w:szCs w:val="20"/>
                <w:color w:val="auto"/>
              </w:rPr>
            </w:pPr>
            <w:r>
              <w:rPr>
                <w:rFonts w:ascii="Times New Roman" w:cs="Times New Roman" w:eastAsia="Times New Roman" w:hAnsi="Times New Roman"/>
                <w:sz w:val="18"/>
                <w:szCs w:val="18"/>
                <w:color w:val="auto"/>
              </w:rPr>
              <w:t>2/19/20</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22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Section 12 of the Securities Exchange Act of 1934.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10.1</w:t>
            </w:r>
          </w:p>
        </w:tc>
        <w:tc>
          <w:tcPr>
            <w:tcW w:w="450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Form of Indemnification Agreement for directors and officers.</w:t>
              </w:r>
            </w:hyperlink>
          </w:p>
        </w:tc>
        <w:tc>
          <w:tcPr>
            <w:tcW w:w="760" w:type="dxa"/>
            <w:vAlign w:val="bottom"/>
            <w:gridSpan w:val="11"/>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18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80" w:type="dxa"/>
            <w:vAlign w:val="bottom"/>
          </w:tcPr>
          <w:p>
            <w:pPr>
              <w:jc w:val="center"/>
              <w:ind w:right="893"/>
              <w:spacing w:after="0"/>
              <w:rPr>
                <w:sz w:val="20"/>
                <w:szCs w:val="20"/>
                <w:color w:val="auto"/>
              </w:rPr>
            </w:pPr>
            <w:r>
              <w:rPr>
                <w:rFonts w:ascii="Times New Roman" w:cs="Times New Roman" w:eastAsia="Times New Roman" w:hAnsi="Times New Roman"/>
                <w:sz w:val="18"/>
                <w:szCs w:val="18"/>
                <w:color w:val="auto"/>
              </w:rPr>
              <w:t>3/31/98</w:t>
            </w:r>
          </w:p>
        </w:tc>
        <w:tc>
          <w:tcPr>
            <w:tcW w:w="0" w:type="dxa"/>
            <w:vAlign w:val="bottom"/>
          </w:tcPr>
          <w:p>
            <w:pPr>
              <w:spacing w:after="0"/>
              <w:rPr>
                <w:sz w:val="1"/>
                <w:szCs w:val="1"/>
                <w:color w:val="auto"/>
              </w:rPr>
            </w:pPr>
          </w:p>
        </w:tc>
      </w:tr>
      <w:tr>
        <w:trPr>
          <w:trHeight w:val="209"/>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10.2</w:t>
            </w:r>
          </w:p>
        </w:tc>
        <w:tc>
          <w:tcPr>
            <w:tcW w:w="5260" w:type="dxa"/>
            <w:vAlign w:val="bottom"/>
            <w:gridSpan w:val="25"/>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2009 Voting Agreement, dated as of March 26, 2009, between Amkor</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80" w:type="dxa"/>
            <w:vAlign w:val="bottom"/>
          </w:tcPr>
          <w:p>
            <w:pPr>
              <w:jc w:val="center"/>
              <w:ind w:right="873"/>
              <w:spacing w:after="0"/>
              <w:rPr>
                <w:sz w:val="20"/>
                <w:szCs w:val="20"/>
                <w:color w:val="auto"/>
              </w:rPr>
            </w:pPr>
            <w:r>
              <w:rPr>
                <w:rFonts w:ascii="Times New Roman" w:cs="Times New Roman" w:eastAsia="Times New Roman" w:hAnsi="Times New Roman"/>
                <w:sz w:val="18"/>
                <w:szCs w:val="18"/>
                <w:color w:val="auto"/>
                <w:w w:val="99"/>
              </w:rPr>
              <w:t>4/1/09</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412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8"/>
              </w:rPr>
            </w:pPr>
            <w:hyperlink r:id="rId120">
              <w:r>
                <w:rPr>
                  <w:rFonts w:ascii="Times New Roman" w:cs="Times New Roman" w:eastAsia="Times New Roman" w:hAnsi="Times New Roman"/>
                  <w:sz w:val="18"/>
                  <w:szCs w:val="18"/>
                  <w:color w:val="0000FF"/>
                  <w:w w:val="98"/>
                </w:rPr>
                <w:t>Technology, Inc., James J. Kim and 915 Investments, LP.</w:t>
              </w:r>
            </w:hyperlink>
          </w:p>
        </w:tc>
        <w:tc>
          <w:tcPr>
            <w:tcW w:w="940" w:type="dxa"/>
            <w:vAlign w:val="bottom"/>
            <w:tcBorders>
              <w:top w:val="single" w:sz="8" w:color="0000FF"/>
            </w:tcBorders>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10.3</w:t>
            </w:r>
          </w:p>
        </w:tc>
        <w:tc>
          <w:tcPr>
            <w:tcW w:w="526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Form of Stock Option Award Agreement under the Second Amended</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3/31/17</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980" w:type="dxa"/>
            <w:vAlign w:val="bottom"/>
          </w:tcPr>
          <w:p>
            <w:pPr>
              <w:jc w:val="center"/>
              <w:ind w:right="873"/>
              <w:spacing w:after="0"/>
              <w:rPr>
                <w:sz w:val="20"/>
                <w:szCs w:val="20"/>
                <w:color w:val="auto"/>
              </w:rPr>
            </w:pPr>
            <w:r>
              <w:rPr>
                <w:rFonts w:ascii="Times New Roman" w:cs="Times New Roman" w:eastAsia="Times New Roman" w:hAnsi="Times New Roman"/>
                <w:sz w:val="18"/>
                <w:szCs w:val="18"/>
                <w:color w:val="auto"/>
                <w:w w:val="99"/>
              </w:rPr>
              <w:t>5/5/17</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260" w:type="dxa"/>
            <w:vAlign w:val="bottom"/>
            <w:gridSpan w:val="25"/>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and Restated 2007 Equity Incentive Plan.*</w:t>
              </w:r>
            </w:hyperlink>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10.4</w:t>
            </w:r>
          </w:p>
        </w:tc>
        <w:tc>
          <w:tcPr>
            <w:tcW w:w="5260" w:type="dxa"/>
            <w:vAlign w:val="bottom"/>
            <w:gridSpan w:val="25"/>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Form  of  Restricted  Stock  Award  Agreement  under  the  Second</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3/31/17</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980" w:type="dxa"/>
            <w:vAlign w:val="bottom"/>
          </w:tcPr>
          <w:p>
            <w:pPr>
              <w:jc w:val="center"/>
              <w:ind w:right="873"/>
              <w:spacing w:after="0"/>
              <w:rPr>
                <w:sz w:val="20"/>
                <w:szCs w:val="20"/>
                <w:color w:val="auto"/>
              </w:rPr>
            </w:pPr>
            <w:r>
              <w:rPr>
                <w:rFonts w:ascii="Times New Roman" w:cs="Times New Roman" w:eastAsia="Times New Roman" w:hAnsi="Times New Roman"/>
                <w:sz w:val="18"/>
                <w:szCs w:val="18"/>
                <w:color w:val="auto"/>
                <w:w w:val="99"/>
              </w:rPr>
              <w:t>5/5/17</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8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Amended and Restated 2007 Equity Incentive Plan.*</w:t>
              </w:r>
            </w:hyperlink>
          </w:p>
        </w:tc>
        <w:tc>
          <w:tcPr>
            <w:tcW w:w="142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10.5</w:t>
            </w:r>
          </w:p>
        </w:tc>
        <w:tc>
          <w:tcPr>
            <w:tcW w:w="5260" w:type="dxa"/>
            <w:vAlign w:val="bottom"/>
            <w:gridSpan w:val="25"/>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Form of Outside Director Stock Option Award Agreement under the</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3/31/17</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980" w:type="dxa"/>
            <w:vAlign w:val="bottom"/>
          </w:tcPr>
          <w:p>
            <w:pPr>
              <w:jc w:val="center"/>
              <w:ind w:right="873"/>
              <w:spacing w:after="0"/>
              <w:rPr>
                <w:sz w:val="20"/>
                <w:szCs w:val="20"/>
                <w:color w:val="auto"/>
              </w:rPr>
            </w:pPr>
            <w:r>
              <w:rPr>
                <w:rFonts w:ascii="Times New Roman" w:cs="Times New Roman" w:eastAsia="Times New Roman" w:hAnsi="Times New Roman"/>
                <w:sz w:val="18"/>
                <w:szCs w:val="18"/>
                <w:color w:val="auto"/>
                <w:w w:val="99"/>
              </w:rPr>
              <w:t>5/5/17</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20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Second Amended and Restated 2007 Equity Incentive Plan.*</w:t>
              </w:r>
            </w:hyperlink>
          </w:p>
        </w:tc>
        <w:tc>
          <w:tcPr>
            <w:tcW w:w="60" w:type="dxa"/>
            <w:vAlign w:val="bottom"/>
            <w:gridSpan w:val="3"/>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10.6</w:t>
            </w:r>
          </w:p>
        </w:tc>
        <w:tc>
          <w:tcPr>
            <w:tcW w:w="4380" w:type="dxa"/>
            <w:vAlign w:val="bottom"/>
            <w:tcBorders>
              <w:top w:val="single" w:sz="8" w:color="0000FF"/>
            </w:tcBorders>
            <w:gridSpan w:val="13"/>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Second Amended and Restated 2007 Equity Incentive Plan*</w:t>
              </w:r>
            </w:hyperlink>
          </w:p>
        </w:tc>
        <w:tc>
          <w:tcPr>
            <w:tcW w:w="880" w:type="dxa"/>
            <w:vAlign w:val="bottom"/>
            <w:gridSpan w:val="12"/>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80" w:type="dxa"/>
            <w:vAlign w:val="bottom"/>
          </w:tcPr>
          <w:p>
            <w:pPr>
              <w:jc w:val="center"/>
              <w:ind w:right="873"/>
              <w:spacing w:after="0"/>
              <w:rPr>
                <w:sz w:val="20"/>
                <w:szCs w:val="20"/>
                <w:color w:val="auto"/>
              </w:rPr>
            </w:pPr>
            <w:r>
              <w:rPr>
                <w:rFonts w:ascii="Times New Roman" w:cs="Times New Roman" w:eastAsia="Times New Roman" w:hAnsi="Times New Roman"/>
                <w:sz w:val="18"/>
                <w:szCs w:val="18"/>
                <w:color w:val="auto"/>
                <w:w w:val="99"/>
              </w:rPr>
              <w:t>5/5/17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220" w:type="dxa"/>
            <w:vAlign w:val="bottom"/>
            <w:gridSpan w:val="11"/>
            <w:shd w:val="clear" w:color="auto" w:fill="0000FF"/>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10.7</w:t>
            </w:r>
          </w:p>
        </w:tc>
        <w:tc>
          <w:tcPr>
            <w:tcW w:w="5260" w:type="dxa"/>
            <w:vAlign w:val="bottom"/>
            <w:gridSpan w:val="25"/>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Amendment One to Second Amended and Restated 2007 Equity</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6/30/19</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980" w:type="dxa"/>
            <w:vAlign w:val="bottom"/>
          </w:tcPr>
          <w:p>
            <w:pPr>
              <w:jc w:val="center"/>
              <w:ind w:right="873"/>
              <w:spacing w:after="0"/>
              <w:rPr>
                <w:sz w:val="20"/>
                <w:szCs w:val="20"/>
                <w:color w:val="auto"/>
              </w:rPr>
            </w:pPr>
            <w:r>
              <w:rPr>
                <w:rFonts w:ascii="Times New Roman" w:cs="Times New Roman" w:eastAsia="Times New Roman" w:hAnsi="Times New Roman"/>
                <w:sz w:val="18"/>
                <w:szCs w:val="18"/>
                <w:color w:val="auto"/>
                <w:w w:val="99"/>
              </w:rPr>
              <w:t>8/1/19</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06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Incentive Plan*</w:t>
              </w:r>
            </w:hyperlink>
          </w:p>
        </w:tc>
        <w:tc>
          <w:tcPr>
            <w:tcW w:w="6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rPr>
              <w:t>10.8</w:t>
            </w:r>
          </w:p>
        </w:tc>
        <w:tc>
          <w:tcPr>
            <w:tcW w:w="1120" w:type="dxa"/>
            <w:vAlign w:val="bottom"/>
            <w:shd w:val="clear" w:color="auto" w:fill="0000FF"/>
          </w:tcPr>
          <w:p>
            <w:pPr>
              <w:spacing w:after="0" w:line="20" w:lineRule="exact"/>
              <w:rPr>
                <w:sz w:val="1"/>
                <w:szCs w:val="1"/>
                <w:color w:val="auto"/>
              </w:rPr>
            </w:pPr>
          </w:p>
        </w:tc>
        <w:tc>
          <w:tcPr>
            <w:tcW w:w="4000" w:type="dxa"/>
            <w:vAlign w:val="bottom"/>
            <w:gridSpan w:val="17"/>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6/30/20</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80" w:type="dxa"/>
            <w:vAlign w:val="bottom"/>
            <w:vMerge w:val="restart"/>
          </w:tcPr>
          <w:p>
            <w:pPr>
              <w:jc w:val="center"/>
              <w:ind w:right="893"/>
              <w:spacing w:after="0"/>
              <w:rPr>
                <w:sz w:val="20"/>
                <w:szCs w:val="20"/>
                <w:color w:val="auto"/>
              </w:rPr>
            </w:pPr>
            <w:r>
              <w:rPr>
                <w:rFonts w:ascii="Times New Roman" w:cs="Times New Roman" w:eastAsia="Times New Roman" w:hAnsi="Times New Roman"/>
                <w:sz w:val="18"/>
                <w:szCs w:val="18"/>
                <w:color w:val="auto"/>
              </w:rPr>
              <w:t>7/30/20</w:t>
            </w:r>
          </w:p>
        </w:tc>
        <w:tc>
          <w:tcPr>
            <w:tcW w:w="0" w:type="dxa"/>
            <w:vAlign w:val="bottom"/>
          </w:tcPr>
          <w:p>
            <w:pPr>
              <w:spacing w:after="0" w:line="20" w:lineRule="exact"/>
              <w:rPr>
                <w:sz w:val="1"/>
                <w:szCs w:val="1"/>
                <w:color w:val="auto"/>
              </w:rPr>
            </w:pPr>
          </w:p>
        </w:tc>
      </w:tr>
      <w:tr>
        <w:trPr>
          <w:trHeight w:val="236"/>
        </w:trPr>
        <w:tc>
          <w:tcPr>
            <w:tcW w:w="1120" w:type="dxa"/>
            <w:vAlign w:val="bottom"/>
            <w:vMerge w:val="continue"/>
          </w:tcPr>
          <w:p>
            <w:pPr>
              <w:spacing w:after="0"/>
              <w:rPr>
                <w:sz w:val="20"/>
                <w:szCs w:val="20"/>
                <w:color w:val="auto"/>
              </w:rPr>
            </w:pPr>
          </w:p>
        </w:tc>
        <w:tc>
          <w:tcPr>
            <w:tcW w:w="5260" w:type="dxa"/>
            <w:vAlign w:val="bottom"/>
            <w:gridSpan w:val="25"/>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Form of Global Stock Option Award Agreement under the Second</w:t>
              </w:r>
            </w:hyperlink>
          </w:p>
        </w:tc>
        <w:tc>
          <w:tcPr>
            <w:tcW w:w="90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1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820" w:type="dxa"/>
            <w:vAlign w:val="bottom"/>
            <w:tcBorders>
              <w:top w:val="single" w:sz="8" w:color="0000FF"/>
              <w:bottom w:val="single" w:sz="8" w:color="0000FF"/>
            </w:tcBorders>
            <w:gridSpan w:val="8"/>
          </w:tcPr>
          <w:p>
            <w:pPr>
              <w:spacing w:after="0" w:line="182"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Amended and Restated 2007 Equity Incentive Plan.*</w:t>
              </w:r>
            </w:hyperlink>
          </w:p>
        </w:tc>
        <w:tc>
          <w:tcPr>
            <w:tcW w:w="1300" w:type="dxa"/>
            <w:vAlign w:val="bottom"/>
            <w:tcBorders>
              <w:top w:val="single" w:sz="8" w:color="0000FF"/>
            </w:tcBorders>
            <w:gridSpan w:val="10"/>
          </w:tcPr>
          <w:p>
            <w:pPr>
              <w:spacing w:after="0"/>
              <w:rPr>
                <w:sz w:val="15"/>
                <w:szCs w:val="15"/>
                <w:color w:val="auto"/>
              </w:rPr>
            </w:pPr>
          </w:p>
        </w:tc>
        <w:tc>
          <w:tcPr>
            <w:tcW w:w="140" w:type="dxa"/>
            <w:vAlign w:val="bottom"/>
            <w:gridSpan w:val="7"/>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980" w:type="dxa"/>
            <w:vAlign w:val="bottom"/>
          </w:tcPr>
          <w:p>
            <w:pPr>
              <w:jc w:val="center"/>
              <w:ind w:left="992"/>
              <w:spacing w:after="0"/>
              <w:rPr>
                <w:sz w:val="20"/>
                <w:szCs w:val="20"/>
                <w:color w:val="auto"/>
              </w:rPr>
            </w:pPr>
            <w:r>
              <w:rPr>
                <w:rFonts w:ascii="Times New Roman" w:cs="Times New Roman" w:eastAsia="Times New Roman" w:hAnsi="Times New Roman"/>
                <w:sz w:val="14"/>
                <w:szCs w:val="14"/>
                <w:b w:val="1"/>
                <w:bCs w:val="1"/>
                <w:color w:val="auto"/>
              </w:rPr>
              <w:t>Included</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2"/>
            <w:vMerge w:val="continue"/>
          </w:tcPr>
          <w:p>
            <w:pPr>
              <w:spacing w:after="0"/>
              <w:rPr>
                <w:sz w:val="17"/>
                <w:szCs w:val="17"/>
                <w:color w:val="auto"/>
              </w:rPr>
            </w:pPr>
          </w:p>
        </w:tc>
        <w:tc>
          <w:tcPr>
            <w:tcW w:w="1980" w:type="dxa"/>
            <w:vAlign w:val="bottom"/>
            <w:tcBorders>
              <w:bottom w:val="single" w:sz="8" w:color="auto"/>
            </w:tcBorders>
          </w:tcPr>
          <w:p>
            <w:pPr>
              <w:jc w:val="center"/>
              <w:ind w:left="992"/>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22"/>
        </w:trPr>
        <w:tc>
          <w:tcPr>
            <w:tcW w:w="1120" w:type="dxa"/>
            <w:vAlign w:val="bottom"/>
          </w:tcPr>
          <w:p>
            <w:pPr>
              <w:jc w:val="right"/>
              <w:ind w:right="312"/>
              <w:spacing w:after="0" w:line="12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780" w:type="dxa"/>
            <w:vAlign w:val="bottom"/>
            <w:gridSpan w:val="26"/>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680" w:type="dxa"/>
            <w:vAlign w:val="bottom"/>
            <w:vMerge w:val="restart"/>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Period Ending</w:t>
            </w: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9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780" w:type="dxa"/>
            <w:vAlign w:val="bottom"/>
            <w:tcBorders>
              <w:bottom w:val="single" w:sz="8" w:color="auto"/>
            </w:tcBorders>
            <w:gridSpan w:val="26"/>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120" w:type="dxa"/>
            <w:vAlign w:val="bottom"/>
          </w:tcPr>
          <w:p>
            <w:pPr>
              <w:jc w:val="right"/>
              <w:ind w:right="112"/>
              <w:spacing w:after="0" w:line="189" w:lineRule="exact"/>
              <w:rPr>
                <w:sz w:val="20"/>
                <w:szCs w:val="20"/>
                <w:color w:val="auto"/>
              </w:rPr>
            </w:pPr>
            <w:r>
              <w:rPr>
                <w:rFonts w:ascii="Times New Roman" w:cs="Times New Roman" w:eastAsia="Times New Roman" w:hAnsi="Times New Roman"/>
                <w:sz w:val="18"/>
                <w:szCs w:val="18"/>
                <w:color w:val="auto"/>
              </w:rPr>
              <w:t>10.9</w:t>
            </w:r>
          </w:p>
        </w:tc>
        <w:tc>
          <w:tcPr>
            <w:tcW w:w="5420" w:type="dxa"/>
            <w:vAlign w:val="bottom"/>
            <w:gridSpan w:val="32"/>
          </w:tcPr>
          <w:p>
            <w:pPr>
              <w:spacing w:after="0" w:line="18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Form of Global Restricted Stock Award Agreement under the Second</w:t>
              </w:r>
            </w:hyperlink>
          </w:p>
        </w:tc>
        <w:tc>
          <w:tcPr>
            <w:tcW w:w="680" w:type="dxa"/>
            <w:vAlign w:val="bottom"/>
          </w:tcPr>
          <w:p>
            <w:pPr>
              <w:jc w:val="center"/>
              <w:ind w:right="51"/>
              <w:spacing w:after="0" w:line="189" w:lineRule="exact"/>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6/30/20</w:t>
            </w:r>
          </w:p>
        </w:tc>
        <w:tc>
          <w:tcPr>
            <w:tcW w:w="8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1980" w:type="dxa"/>
            <w:vAlign w:val="bottom"/>
          </w:tcPr>
          <w:p>
            <w:pPr>
              <w:jc w:val="center"/>
              <w:ind w:right="892"/>
              <w:spacing w:after="0" w:line="189" w:lineRule="exact"/>
              <w:rPr>
                <w:sz w:val="20"/>
                <w:szCs w:val="20"/>
                <w:color w:val="auto"/>
              </w:rPr>
            </w:pPr>
            <w:r>
              <w:rPr>
                <w:rFonts w:ascii="Times New Roman" w:cs="Times New Roman" w:eastAsia="Times New Roman" w:hAnsi="Times New Roman"/>
                <w:sz w:val="18"/>
                <w:szCs w:val="18"/>
                <w:color w:val="auto"/>
              </w:rPr>
              <w:t>7/30/20</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82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Amended and Restated 2007 Equity Incentive Plan.*</w:t>
              </w:r>
            </w:hyperlink>
          </w:p>
        </w:tc>
        <w:tc>
          <w:tcPr>
            <w:tcW w:w="138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10.10</w:t>
            </w:r>
          </w:p>
        </w:tc>
        <w:tc>
          <w:tcPr>
            <w:tcW w:w="5420" w:type="dxa"/>
            <w:vAlign w:val="bottom"/>
            <w:gridSpan w:val="32"/>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Form of Global Outside Director Nonstatutory Stock Option Award</w:t>
              </w:r>
            </w:hyperlink>
          </w:p>
        </w:tc>
        <w:tc>
          <w:tcPr>
            <w:tcW w:w="6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9/30/20</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8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w w:val="99"/>
              </w:rPr>
              <w:t>10/30/20</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260" w:type="dxa"/>
            <w:vAlign w:val="bottom"/>
            <w:tcBorders>
              <w:top w:val="single" w:sz="8" w:color="0000FF"/>
              <w:bottom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Agreement under the Second Amended and Restated 2007 Equity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300" w:type="dxa"/>
            <w:vAlign w:val="bottom"/>
            <w:gridSpan w:val="26"/>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Incentive Plan.*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10.11</w:t>
            </w:r>
          </w:p>
        </w:tc>
        <w:tc>
          <w:tcPr>
            <w:tcW w:w="5420" w:type="dxa"/>
            <w:vAlign w:val="bottom"/>
            <w:gridSpan w:val="32"/>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Form of Global Outside Director Restricted Stock Award Agreement</w:t>
              </w:r>
            </w:hyperlink>
          </w:p>
        </w:tc>
        <w:tc>
          <w:tcPr>
            <w:tcW w:w="6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9/30/20</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98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w w:val="99"/>
              </w:rPr>
              <w:t>10/30/20</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under the Second Amended and Restated 2007 Equity Incentive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46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6"/>
              </w:rPr>
            </w:pPr>
            <w:hyperlink r:id="rId130">
              <w:r>
                <w:rPr>
                  <w:rFonts w:ascii="Times New Roman" w:cs="Times New Roman" w:eastAsia="Times New Roman" w:hAnsi="Times New Roman"/>
                  <w:sz w:val="18"/>
                  <w:szCs w:val="18"/>
                  <w:color w:val="0000FF"/>
                  <w:w w:val="96"/>
                </w:rPr>
                <w:t>Plan.*</w:t>
              </w:r>
            </w:hyperlink>
          </w:p>
        </w:tc>
        <w:tc>
          <w:tcPr>
            <w:tcW w:w="4920" w:type="dxa"/>
            <w:vAlign w:val="bottom"/>
            <w:gridSpan w:val="2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10.12</w:t>
            </w:r>
          </w:p>
        </w:tc>
        <w:tc>
          <w:tcPr>
            <w:tcW w:w="5420" w:type="dxa"/>
            <w:vAlign w:val="bottom"/>
            <w:gridSpan w:val="32"/>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Form of Global Performance-Vested Restricted Stock Unit Award</w:t>
              </w:r>
            </w:hyperlink>
          </w:p>
        </w:tc>
        <w:tc>
          <w:tcPr>
            <w:tcW w:w="68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80" w:type="dxa"/>
            <w:vAlign w:val="bottom"/>
          </w:tcPr>
          <w:p>
            <w:pPr>
              <w:jc w:val="center"/>
              <w:ind w:right="872"/>
              <w:spacing w:after="0"/>
              <w:rPr>
                <w:sz w:val="20"/>
                <w:szCs w:val="20"/>
                <w:color w:val="auto"/>
              </w:rPr>
            </w:pPr>
            <w:r>
              <w:rPr>
                <w:rFonts w:ascii="Times New Roman" w:cs="Times New Roman" w:eastAsia="Times New Roman" w:hAnsi="Times New Roman"/>
                <w:sz w:val="18"/>
                <w:szCs w:val="18"/>
                <w:color w:val="auto"/>
                <w:w w:val="99"/>
              </w:rPr>
              <w:t>2/5/21</w:t>
            </w: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5240" w:type="dxa"/>
            <w:vAlign w:val="bottom"/>
            <w:tcBorders>
              <w:top w:val="single" w:sz="8" w:color="0000FF"/>
            </w:tcBorders>
            <w:gridSpan w:val="23"/>
          </w:tcPr>
          <w:p>
            <w:pPr>
              <w:spacing w:after="0" w:line="182"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Agreement under the Second Amended and Restated 2007 Equity</w:t>
              </w:r>
            </w:hyperlink>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5300" w:type="dxa"/>
            <w:vAlign w:val="bottom"/>
            <w:tcBorders>
              <w:top w:val="single" w:sz="8" w:color="0000FF"/>
            </w:tcBorders>
            <w:gridSpan w:val="26"/>
          </w:tcPr>
          <w:p>
            <w:pPr>
              <w:spacing w:after="0" w:line="182"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Incentive Plan.*</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rPr>
              <w:t>10.13</w:t>
            </w:r>
          </w:p>
        </w:tc>
        <w:tc>
          <w:tcPr>
            <w:tcW w:w="5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vMerge w:val="restart"/>
          </w:tcPr>
          <w:p>
            <w:pPr>
              <w:jc w:val="center"/>
              <w:ind w:right="31"/>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spacing w:after="0" w:line="20" w:lineRule="exact"/>
              <w:rPr>
                <w:sz w:val="1"/>
                <w:szCs w:val="1"/>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980" w:type="dxa"/>
            <w:vAlign w:val="bottom"/>
            <w:vMerge w:val="restart"/>
          </w:tcPr>
          <w:p>
            <w:pPr>
              <w:jc w:val="center"/>
              <w:ind w:right="872"/>
              <w:spacing w:after="0"/>
              <w:rPr>
                <w:sz w:val="20"/>
                <w:szCs w:val="20"/>
                <w:color w:val="auto"/>
              </w:rPr>
            </w:pPr>
            <w:r>
              <w:rPr>
                <w:rFonts w:ascii="Times New Roman" w:cs="Times New Roman" w:eastAsia="Times New Roman" w:hAnsi="Times New Roman"/>
                <w:sz w:val="18"/>
                <w:szCs w:val="18"/>
                <w:color w:val="auto"/>
                <w:w w:val="99"/>
              </w:rPr>
              <w:t>2/5/21</w:t>
            </w:r>
          </w:p>
        </w:tc>
        <w:tc>
          <w:tcPr>
            <w:tcW w:w="0" w:type="dxa"/>
            <w:vAlign w:val="bottom"/>
          </w:tcPr>
          <w:p>
            <w:pPr>
              <w:spacing w:after="0" w:line="20" w:lineRule="exact"/>
              <w:rPr>
                <w:sz w:val="1"/>
                <w:szCs w:val="1"/>
                <w:color w:val="auto"/>
              </w:rPr>
            </w:pPr>
          </w:p>
        </w:tc>
      </w:tr>
      <w:tr>
        <w:trPr>
          <w:trHeight w:val="250"/>
        </w:trPr>
        <w:tc>
          <w:tcPr>
            <w:tcW w:w="1120" w:type="dxa"/>
            <w:vAlign w:val="bottom"/>
            <w:vMerge w:val="continue"/>
          </w:tcPr>
          <w:p>
            <w:pPr>
              <w:spacing w:after="0"/>
              <w:rPr>
                <w:sz w:val="21"/>
                <w:szCs w:val="21"/>
                <w:color w:val="auto"/>
              </w:rPr>
            </w:pPr>
          </w:p>
        </w:tc>
        <w:tc>
          <w:tcPr>
            <w:tcW w:w="5420" w:type="dxa"/>
            <w:vAlign w:val="bottom"/>
            <w:gridSpan w:val="32"/>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Form of Global Time-Vested Restricted Stock Unit Award Agreement</w:t>
              </w:r>
            </w:hyperlink>
          </w:p>
        </w:tc>
        <w:tc>
          <w:tcPr>
            <w:tcW w:w="680" w:type="dxa"/>
            <w:vAlign w:val="bottom"/>
            <w:vMerge w:val="continue"/>
          </w:tcPr>
          <w:p>
            <w:pPr>
              <w:spacing w:after="0"/>
              <w:rPr>
                <w:sz w:val="21"/>
                <w:szCs w:val="21"/>
                <w:color w:val="auto"/>
              </w:rPr>
            </w:pPr>
          </w:p>
        </w:tc>
        <w:tc>
          <w:tcPr>
            <w:tcW w:w="124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1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5320" w:type="dxa"/>
            <w:vAlign w:val="bottom"/>
            <w:tcBorders>
              <w:top w:val="single" w:sz="8" w:color="0000FF"/>
            </w:tcBorders>
            <w:gridSpan w:val="27"/>
          </w:tcPr>
          <w:p>
            <w:pPr>
              <w:spacing w:after="0" w:line="182"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under the Second Amended and Restated 2007 Equity Incentive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6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6"/>
              </w:rPr>
            </w:pPr>
            <w:hyperlink r:id="rId132">
              <w:r>
                <w:rPr>
                  <w:rFonts w:ascii="Times New Roman" w:cs="Times New Roman" w:eastAsia="Times New Roman" w:hAnsi="Times New Roman"/>
                  <w:sz w:val="18"/>
                  <w:szCs w:val="18"/>
                  <w:color w:val="0000FF"/>
                  <w:w w:val="96"/>
                </w:rPr>
                <w:t>Plan.*</w:t>
              </w:r>
            </w:hyperlink>
          </w:p>
        </w:tc>
        <w:tc>
          <w:tcPr>
            <w:tcW w:w="4920" w:type="dxa"/>
            <w:vAlign w:val="bottom"/>
            <w:tcBorders>
              <w:top w:val="single" w:sz="8" w:color="0000FF"/>
            </w:tcBorders>
            <w:gridSpan w:val="2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10.14</w:t>
            </w:r>
          </w:p>
        </w:tc>
        <w:tc>
          <w:tcPr>
            <w:tcW w:w="38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8"/>
              </w:rPr>
            </w:pPr>
            <w:hyperlink r:id="rId133">
              <w:r>
                <w:rPr>
                  <w:rFonts w:ascii="Times New Roman" w:cs="Times New Roman" w:eastAsia="Times New Roman" w:hAnsi="Times New Roman"/>
                  <w:sz w:val="18"/>
                  <w:szCs w:val="18"/>
                  <w:color w:val="0000FF"/>
                  <w:w w:val="98"/>
                </w:rPr>
                <w:t>Amkor Technology, Inc. 2021 Equity Incentive Plan*</w:t>
              </w:r>
            </w:hyperlink>
          </w:p>
        </w:tc>
        <w:tc>
          <w:tcPr>
            <w:tcW w:w="1560" w:type="dxa"/>
            <w:vAlign w:val="bottom"/>
            <w:gridSpan w:val="18"/>
          </w:tcPr>
          <w:p>
            <w:pPr>
              <w:spacing w:after="0"/>
              <w:rPr>
                <w:sz w:val="20"/>
                <w:szCs w:val="20"/>
                <w:color w:val="auto"/>
              </w:rPr>
            </w:pPr>
          </w:p>
        </w:tc>
        <w:tc>
          <w:tcPr>
            <w:tcW w:w="68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8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rPr>
              <w:t>5/20/21</w:t>
            </w:r>
          </w:p>
        </w:tc>
        <w:tc>
          <w:tcPr>
            <w:tcW w:w="0" w:type="dxa"/>
            <w:vAlign w:val="bottom"/>
          </w:tcPr>
          <w:p>
            <w:pPr>
              <w:spacing w:after="0"/>
              <w:rPr>
                <w:sz w:val="1"/>
                <w:szCs w:val="1"/>
                <w:color w:val="auto"/>
              </w:rPr>
            </w:pPr>
          </w:p>
        </w:tc>
      </w:tr>
      <w:tr>
        <w:trPr>
          <w:trHeight w:val="236"/>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10.15</w:t>
            </w:r>
          </w:p>
        </w:tc>
        <w:tc>
          <w:tcPr>
            <w:tcW w:w="5420" w:type="dxa"/>
            <w:vAlign w:val="bottom"/>
            <w:gridSpan w:val="32"/>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Amendment  One  to  the  Amkor  Technology,  Inc.  2021  Equity</w:t>
              </w:r>
            </w:hyperlink>
          </w:p>
        </w:tc>
        <w:tc>
          <w:tcPr>
            <w:tcW w:w="6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12/31/21</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10.36</w:t>
            </w:r>
          </w:p>
        </w:tc>
        <w:tc>
          <w:tcPr>
            <w:tcW w:w="198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rPr>
              <w:t>2/18/22</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34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Incentive Plan*</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10.16</w:t>
            </w:r>
          </w:p>
        </w:tc>
        <w:tc>
          <w:tcPr>
            <w:tcW w:w="5420" w:type="dxa"/>
            <w:vAlign w:val="bottom"/>
            <w:gridSpan w:val="32"/>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Form of Global Non-Employee Director Nonstatutory Stock Option</w:t>
              </w:r>
            </w:hyperlink>
          </w:p>
        </w:tc>
        <w:tc>
          <w:tcPr>
            <w:tcW w:w="68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98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rPr>
              <w:t>5/20/21</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10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Award Agreement*</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10.17</w:t>
            </w:r>
          </w:p>
        </w:tc>
        <w:tc>
          <w:tcPr>
            <w:tcW w:w="5420" w:type="dxa"/>
            <w:vAlign w:val="bottom"/>
            <w:gridSpan w:val="32"/>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Form of Global Non-Employee Director Restricted Stock Award</w:t>
              </w:r>
            </w:hyperlink>
          </w:p>
        </w:tc>
        <w:tc>
          <w:tcPr>
            <w:tcW w:w="68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98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rPr>
              <w:t>5/20/21</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28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Agreement*</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10.18</w:t>
            </w:r>
          </w:p>
        </w:tc>
        <w:tc>
          <w:tcPr>
            <w:tcW w:w="35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Form of Global Stock Option Award Agreement*</w:t>
              </w:r>
            </w:hyperlink>
          </w:p>
        </w:tc>
        <w:tc>
          <w:tcPr>
            <w:tcW w:w="1840" w:type="dxa"/>
            <w:vAlign w:val="bottom"/>
            <w:gridSpan w:val="21"/>
          </w:tcPr>
          <w:p>
            <w:pPr>
              <w:spacing w:after="0"/>
              <w:rPr>
                <w:sz w:val="19"/>
                <w:szCs w:val="19"/>
                <w:color w:val="auto"/>
              </w:rPr>
            </w:pPr>
          </w:p>
        </w:tc>
        <w:tc>
          <w:tcPr>
            <w:tcW w:w="68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98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rPr>
              <w:t>5/20/21</w:t>
            </w:r>
          </w:p>
        </w:tc>
        <w:tc>
          <w:tcPr>
            <w:tcW w:w="0" w:type="dxa"/>
            <w:vAlign w:val="bottom"/>
          </w:tcPr>
          <w:p>
            <w:pPr>
              <w:spacing w:after="0"/>
              <w:rPr>
                <w:sz w:val="1"/>
                <w:szCs w:val="1"/>
                <w:color w:val="auto"/>
              </w:rPr>
            </w:pPr>
          </w:p>
        </w:tc>
      </w:tr>
      <w:tr>
        <w:trPr>
          <w:trHeight w:val="209"/>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10.19</w:t>
            </w:r>
          </w:p>
        </w:tc>
        <w:tc>
          <w:tcPr>
            <w:tcW w:w="5420" w:type="dxa"/>
            <w:vAlign w:val="bottom"/>
            <w:gridSpan w:val="32"/>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Form of Global Restricted Stock Award Agreement*</w:t>
              </w:r>
            </w:hyperlink>
          </w:p>
        </w:tc>
        <w:tc>
          <w:tcPr>
            <w:tcW w:w="68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98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rPr>
              <w:t>5/20/21</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10.20</w:t>
            </w:r>
          </w:p>
        </w:tc>
        <w:tc>
          <w:tcPr>
            <w:tcW w:w="5420" w:type="dxa"/>
            <w:vAlign w:val="bottom"/>
            <w:gridSpan w:val="32"/>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Form of Global Performance-Vested Restricted Stock Unit Award</w:t>
              </w:r>
            </w:hyperlink>
          </w:p>
        </w:tc>
        <w:tc>
          <w:tcPr>
            <w:tcW w:w="68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98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rPr>
              <w:t>5/20/21</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2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Agreement*</w:t>
              </w:r>
            </w:hyperlink>
          </w:p>
        </w:tc>
        <w:tc>
          <w:tcPr>
            <w:tcW w:w="14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10.21</w:t>
            </w:r>
          </w:p>
        </w:tc>
        <w:tc>
          <w:tcPr>
            <w:tcW w:w="5420" w:type="dxa"/>
            <w:vAlign w:val="bottom"/>
            <w:gridSpan w:val="32"/>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Global Performance-Vested Restricted Stock Unit Award Agreement</w:t>
              </w:r>
            </w:hyperlink>
          </w:p>
        </w:tc>
        <w:tc>
          <w:tcPr>
            <w:tcW w:w="6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12/31/23</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198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rPr>
              <w:t>2/16/24</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14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Guillaume Marie Jean Rutten December 2023*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10.22</w:t>
            </w:r>
          </w:p>
        </w:tc>
        <w:tc>
          <w:tcPr>
            <w:tcW w:w="5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Global Performance-Vested Restricted Stock Unit Award Agreement</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80" w:type="dxa"/>
            <w:vAlign w:val="bottom"/>
          </w:tcPr>
          <w:p>
            <w:pPr>
              <w:jc w:val="center"/>
              <w:ind w:left="992"/>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400" w:type="dxa"/>
            <w:vAlign w:val="bottom"/>
            <w:tcBorders>
              <w:top w:val="single" w:sz="8" w:color="0000FF"/>
              <w:bottom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Guillaume Marie Jean Rutten February 2024*</w:t>
            </w:r>
          </w:p>
        </w:tc>
        <w:tc>
          <w:tcPr>
            <w:tcW w:w="174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10.23</w:t>
            </w:r>
          </w:p>
        </w:tc>
        <w:tc>
          <w:tcPr>
            <w:tcW w:w="5420" w:type="dxa"/>
            <w:vAlign w:val="bottom"/>
            <w:gridSpan w:val="32"/>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of Global Performance-Vested Restricted Stock Unit Award</w:t>
              </w:r>
            </w:hyperlink>
          </w:p>
        </w:tc>
        <w:tc>
          <w:tcPr>
            <w:tcW w:w="6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12/31/23</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w:t>
            </w:r>
          </w:p>
        </w:tc>
        <w:tc>
          <w:tcPr>
            <w:tcW w:w="198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rPr>
              <w:t>2/16/24</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25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Agreement since December 2023*</w:t>
              </w:r>
            </w:hyperlink>
          </w:p>
        </w:tc>
        <w:tc>
          <w:tcPr>
            <w:tcW w:w="2720" w:type="dxa"/>
            <w:vAlign w:val="bottom"/>
            <w:tcBorders>
              <w:top w:val="single" w:sz="8" w:color="0000FF"/>
            </w:tcBorders>
            <w:gridSpan w:val="14"/>
          </w:tcPr>
          <w:p>
            <w:pPr>
              <w:spacing w:after="0"/>
              <w:rPr>
                <w:sz w:val="13"/>
                <w:szCs w:val="13"/>
                <w:color w:val="auto"/>
              </w:rPr>
            </w:pPr>
          </w:p>
        </w:tc>
        <w:tc>
          <w:tcPr>
            <w:tcW w:w="14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10.24</w:t>
            </w:r>
          </w:p>
        </w:tc>
        <w:tc>
          <w:tcPr>
            <w:tcW w:w="5420" w:type="dxa"/>
            <w:vAlign w:val="bottom"/>
            <w:tcBorders>
              <w:bottom w:val="single" w:sz="8" w:color="0000FF"/>
            </w:tcBorders>
            <w:gridSpan w:val="32"/>
          </w:tcPr>
          <w:p>
            <w:pPr>
              <w:spacing w:after="0"/>
              <w:rPr>
                <w:sz w:val="20"/>
                <w:szCs w:val="20"/>
                <w:color w:val="auto"/>
              </w:rPr>
            </w:pPr>
            <w:r>
              <w:rPr>
                <w:rFonts w:ascii="Times New Roman" w:cs="Times New Roman" w:eastAsia="Times New Roman" w:hAnsi="Times New Roman"/>
                <w:sz w:val="18"/>
                <w:szCs w:val="18"/>
                <w:color w:val="0000FF"/>
              </w:rPr>
              <w:t>Form  of  Global  Time-Vested  Restricted  Stock  Unit  Award</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80" w:type="dxa"/>
            <w:vAlign w:val="bottom"/>
          </w:tcPr>
          <w:p>
            <w:pPr>
              <w:jc w:val="center"/>
              <w:ind w:left="992"/>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420" w:type="dxa"/>
            <w:vAlign w:val="bottom"/>
            <w:gridSpan w:val="32"/>
          </w:tcPr>
          <w:p>
            <w:pPr>
              <w:spacing w:after="0" w:line="156" w:lineRule="exact"/>
              <w:rPr>
                <w:sz w:val="20"/>
                <w:szCs w:val="20"/>
                <w:color w:val="auto"/>
              </w:rPr>
            </w:pPr>
            <w:r>
              <w:rPr>
                <w:rFonts w:ascii="Times New Roman" w:cs="Times New Roman" w:eastAsia="Times New Roman" w:hAnsi="Times New Roman"/>
                <w:sz w:val="18"/>
                <w:szCs w:val="18"/>
                <w:color w:val="0000FF"/>
              </w:rPr>
              <w:t>Agreement*</w:t>
            </w:r>
          </w:p>
        </w:tc>
        <w:tc>
          <w:tcPr>
            <w:tcW w:w="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10.25</w:t>
            </w:r>
          </w:p>
        </w:tc>
        <w:tc>
          <w:tcPr>
            <w:tcW w:w="5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Global  Time-Vested  Restricted  Stock  Unit  Award  Agreement</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80" w:type="dxa"/>
            <w:vAlign w:val="bottom"/>
          </w:tcPr>
          <w:p>
            <w:pPr>
              <w:jc w:val="center"/>
              <w:ind w:left="992"/>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360" w:type="dxa"/>
            <w:vAlign w:val="bottom"/>
            <w:tcBorders>
              <w:top w:val="single" w:sz="8" w:color="0000FF"/>
            </w:tcBorders>
            <w:gridSpan w:val="29"/>
          </w:tcPr>
          <w:p>
            <w:pPr>
              <w:spacing w:after="0" w:line="156" w:lineRule="exact"/>
              <w:rPr>
                <w:sz w:val="20"/>
                <w:szCs w:val="20"/>
                <w:color w:val="auto"/>
              </w:rPr>
            </w:pPr>
            <w:r>
              <w:rPr>
                <w:rFonts w:ascii="Times New Roman" w:cs="Times New Roman" w:eastAsia="Times New Roman" w:hAnsi="Times New Roman"/>
                <w:sz w:val="18"/>
                <w:szCs w:val="18"/>
                <w:color w:val="0000FF"/>
              </w:rPr>
              <w:t>Guillaume Marie Jean Rutten December 2023*</w:t>
            </w: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10.26</w:t>
            </w:r>
          </w:p>
        </w:tc>
        <w:tc>
          <w:tcPr>
            <w:tcW w:w="5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Global  Time-Vested  Restricted  Stock  Unit  Award  Agreement</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80" w:type="dxa"/>
            <w:vAlign w:val="bottom"/>
          </w:tcPr>
          <w:p>
            <w:pPr>
              <w:jc w:val="center"/>
              <w:ind w:left="992"/>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320" w:type="dxa"/>
            <w:vAlign w:val="bottom"/>
            <w:tcBorders>
              <w:top w:val="single" w:sz="8" w:color="0000FF"/>
              <w:bottom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w w:val="99"/>
              </w:rPr>
              <w:t>Guillaume Marie Jean Rutten February 2024*</w:t>
            </w:r>
          </w:p>
        </w:tc>
        <w:tc>
          <w:tcPr>
            <w:tcW w:w="2040" w:type="dxa"/>
            <w:vAlign w:val="bottom"/>
            <w:tcBorders>
              <w:top w:val="single" w:sz="8" w:color="0000FF"/>
            </w:tcBorders>
            <w:gridSpan w:val="20"/>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10.27</w:t>
            </w:r>
          </w:p>
        </w:tc>
        <w:tc>
          <w:tcPr>
            <w:tcW w:w="5420" w:type="dxa"/>
            <w:vAlign w:val="bottom"/>
            <w:gridSpan w:val="32"/>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Form  of  Global  Non-Employee  Director  Time-Vested  Restricted</w:t>
              </w:r>
            </w:hyperlink>
          </w:p>
        </w:tc>
        <w:tc>
          <w:tcPr>
            <w:tcW w:w="6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12/31/21</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10.35</w:t>
            </w:r>
          </w:p>
        </w:tc>
        <w:tc>
          <w:tcPr>
            <w:tcW w:w="198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rPr>
              <w:t>2/18/22</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18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Stock Unit Award Agreement*</w:t>
              </w:r>
            </w:hyperlink>
          </w:p>
        </w:tc>
        <w:tc>
          <w:tcPr>
            <w:tcW w:w="220" w:type="dxa"/>
            <w:vAlign w:val="bottom"/>
            <w:gridSpan w:val="11"/>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6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10.28</w:t>
            </w:r>
          </w:p>
        </w:tc>
        <w:tc>
          <w:tcPr>
            <w:tcW w:w="5420" w:type="dxa"/>
            <w:vAlign w:val="bottom"/>
            <w:gridSpan w:val="32"/>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Second   Amended   and   Restated   Non-Employee   Director</w:t>
              </w:r>
            </w:hyperlink>
          </w:p>
        </w:tc>
        <w:tc>
          <w:tcPr>
            <w:tcW w:w="6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12/31/22</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10.25</w:t>
            </w:r>
          </w:p>
        </w:tc>
        <w:tc>
          <w:tcPr>
            <w:tcW w:w="198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rPr>
              <w:t>2/22/23</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6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Compensation Policy*</w:t>
              </w:r>
            </w:hyperlink>
          </w:p>
        </w:tc>
        <w:tc>
          <w:tcPr>
            <w:tcW w:w="3520" w:type="dxa"/>
            <w:vAlign w:val="bottom"/>
            <w:tcBorders>
              <w:top w:val="single" w:sz="8" w:color="0000FF"/>
            </w:tcBorders>
            <w:gridSpan w:val="13"/>
          </w:tcPr>
          <w:p>
            <w:pPr>
              <w:spacing w:after="0"/>
              <w:rPr>
                <w:sz w:val="13"/>
                <w:szCs w:val="13"/>
                <w:color w:val="auto"/>
              </w:rPr>
            </w:pPr>
          </w:p>
        </w:tc>
        <w:tc>
          <w:tcPr>
            <w:tcW w:w="240" w:type="dxa"/>
            <w:vAlign w:val="bottom"/>
            <w:gridSpan w:val="12"/>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10.29</w:t>
            </w:r>
          </w:p>
        </w:tc>
        <w:tc>
          <w:tcPr>
            <w:tcW w:w="5420" w:type="dxa"/>
            <w:vAlign w:val="bottom"/>
            <w:gridSpan w:val="32"/>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Third Amended and Restated Non-Employee Director Compensation</w:t>
              </w:r>
            </w:hyperlink>
          </w:p>
        </w:tc>
        <w:tc>
          <w:tcPr>
            <w:tcW w:w="6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06/30/24</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8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rPr>
              <w:t>7/30/24</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08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Policy*</w:t>
              </w:r>
            </w:hyperlink>
          </w:p>
        </w:tc>
        <w:tc>
          <w:tcPr>
            <w:tcW w:w="320" w:type="dxa"/>
            <w:vAlign w:val="bottom"/>
            <w:gridSpan w:val="16"/>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860" w:type="dxa"/>
            <w:vAlign w:val="bottom"/>
            <w:gridSpan w:val="2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10.30</w:t>
            </w:r>
          </w:p>
        </w:tc>
        <w:tc>
          <w:tcPr>
            <w:tcW w:w="5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Fourth Amended and Restated Non-Employee Director Compensation</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80" w:type="dxa"/>
            <w:vAlign w:val="bottom"/>
          </w:tcPr>
          <w:p>
            <w:pPr>
              <w:jc w:val="center"/>
              <w:ind w:left="992"/>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400" w:type="dxa"/>
            <w:vAlign w:val="bottom"/>
            <w:tcBorders>
              <w:top w:val="single" w:sz="8" w:color="0000FF"/>
            </w:tcBorders>
            <w:gridSpan w:val="31"/>
          </w:tcPr>
          <w:p>
            <w:pPr>
              <w:spacing w:after="0" w:line="156" w:lineRule="exact"/>
              <w:rPr>
                <w:sz w:val="20"/>
                <w:szCs w:val="20"/>
                <w:color w:val="auto"/>
              </w:rPr>
            </w:pPr>
            <w:r>
              <w:rPr>
                <w:rFonts w:ascii="Times New Roman" w:cs="Times New Roman" w:eastAsia="Times New Roman" w:hAnsi="Times New Roman"/>
                <w:sz w:val="18"/>
                <w:szCs w:val="18"/>
                <w:color w:val="0000FF"/>
              </w:rPr>
              <w:t>Policy*</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9"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980" w:type="dxa"/>
            <w:vAlign w:val="bottom"/>
          </w:tcPr>
          <w:p>
            <w:pPr>
              <w:jc w:val="center"/>
              <w:ind w:left="993"/>
              <w:spacing w:after="0"/>
              <w:rPr>
                <w:sz w:val="20"/>
                <w:szCs w:val="20"/>
                <w:color w:val="auto"/>
              </w:rPr>
            </w:pPr>
            <w:r>
              <w:rPr>
                <w:rFonts w:ascii="Times New Roman" w:cs="Times New Roman" w:eastAsia="Times New Roman" w:hAnsi="Times New Roman"/>
                <w:sz w:val="14"/>
                <w:szCs w:val="14"/>
                <w:b w:val="1"/>
                <w:bCs w:val="1"/>
                <w:color w:val="auto"/>
              </w:rPr>
              <w:t>Included</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2"/>
            <w:vMerge w:val="continue"/>
          </w:tcPr>
          <w:p>
            <w:pPr>
              <w:spacing w:after="0"/>
              <w:rPr>
                <w:sz w:val="17"/>
                <w:szCs w:val="17"/>
                <w:color w:val="auto"/>
              </w:rPr>
            </w:pPr>
          </w:p>
        </w:tc>
        <w:tc>
          <w:tcPr>
            <w:tcW w:w="1980" w:type="dxa"/>
            <w:vAlign w:val="bottom"/>
            <w:tcBorders>
              <w:bottom w:val="single" w:sz="8" w:color="auto"/>
            </w:tcBorders>
          </w:tcPr>
          <w:p>
            <w:pPr>
              <w:jc w:val="center"/>
              <w:ind w:left="993"/>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22"/>
        </w:trPr>
        <w:tc>
          <w:tcPr>
            <w:tcW w:w="1120" w:type="dxa"/>
            <w:vAlign w:val="bottom"/>
          </w:tcPr>
          <w:p>
            <w:pPr>
              <w:jc w:val="right"/>
              <w:ind w:right="312"/>
              <w:spacing w:after="0" w:line="12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040" w:type="dxa"/>
            <w:vAlign w:val="bottom"/>
          </w:tcPr>
          <w:p>
            <w:pPr>
              <w:spacing w:after="0"/>
              <w:rPr>
                <w:sz w:val="10"/>
                <w:szCs w:val="10"/>
                <w:color w:val="auto"/>
              </w:rPr>
            </w:pPr>
          </w:p>
        </w:tc>
        <w:tc>
          <w:tcPr>
            <w:tcW w:w="4320" w:type="dxa"/>
            <w:vAlign w:val="bottom"/>
            <w:gridSpan w:val="27"/>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Period Ending</w:t>
            </w: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9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40" w:type="dxa"/>
            <w:vAlign w:val="bottom"/>
            <w:tcBorders>
              <w:bottom w:val="single" w:sz="8" w:color="auto"/>
            </w:tcBorders>
          </w:tcPr>
          <w:p>
            <w:pPr>
              <w:spacing w:after="0"/>
              <w:rPr>
                <w:sz w:val="17"/>
                <w:szCs w:val="17"/>
                <w:color w:val="auto"/>
              </w:rPr>
            </w:pPr>
          </w:p>
        </w:tc>
        <w:tc>
          <w:tcPr>
            <w:tcW w:w="4320" w:type="dxa"/>
            <w:vAlign w:val="bottom"/>
            <w:tcBorders>
              <w:bottom w:val="single" w:sz="8" w:color="auto"/>
            </w:tcBorders>
            <w:gridSpan w:val="27"/>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120" w:type="dxa"/>
            <w:vAlign w:val="bottom"/>
          </w:tcPr>
          <w:p>
            <w:pPr>
              <w:jc w:val="right"/>
              <w:ind w:right="112"/>
              <w:spacing w:after="0" w:line="189" w:lineRule="exact"/>
              <w:rPr>
                <w:sz w:val="20"/>
                <w:szCs w:val="20"/>
                <w:color w:val="auto"/>
              </w:rPr>
            </w:pPr>
            <w:r>
              <w:rPr>
                <w:rFonts w:ascii="Times New Roman" w:cs="Times New Roman" w:eastAsia="Times New Roman" w:hAnsi="Times New Roman"/>
                <w:sz w:val="18"/>
                <w:szCs w:val="18"/>
                <w:color w:val="auto"/>
              </w:rPr>
              <w:t>10.31</w:t>
            </w:r>
          </w:p>
        </w:tc>
        <w:tc>
          <w:tcPr>
            <w:tcW w:w="5360" w:type="dxa"/>
            <w:vAlign w:val="bottom"/>
            <w:gridSpan w:val="28"/>
          </w:tcPr>
          <w:p>
            <w:pPr>
              <w:spacing w:after="0" w:line="189"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Amended and Restated Executive Incentive Bonus Plan*</w:t>
              </w:r>
            </w:hyperlink>
          </w:p>
        </w:tc>
        <w:tc>
          <w:tcPr>
            <w:tcW w:w="7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spacing w:after="0"/>
              <w:rPr>
                <w:sz w:val="16"/>
                <w:szCs w:val="16"/>
                <w:color w:val="auto"/>
              </w:rPr>
            </w:pPr>
          </w:p>
        </w:tc>
        <w:tc>
          <w:tcPr>
            <w:tcW w:w="8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1980" w:type="dxa"/>
            <w:vAlign w:val="bottom"/>
          </w:tcPr>
          <w:p>
            <w:pPr>
              <w:jc w:val="center"/>
              <w:ind w:right="873"/>
              <w:spacing w:after="0" w:line="189" w:lineRule="exact"/>
              <w:rPr>
                <w:sz w:val="20"/>
                <w:szCs w:val="20"/>
                <w:color w:val="auto"/>
              </w:rPr>
            </w:pPr>
            <w:r>
              <w:rPr>
                <w:rFonts w:ascii="Times New Roman" w:cs="Times New Roman" w:eastAsia="Times New Roman" w:hAnsi="Times New Roman"/>
                <w:sz w:val="18"/>
                <w:szCs w:val="18"/>
                <w:color w:val="auto"/>
                <w:w w:val="99"/>
              </w:rPr>
              <w:t>5/5/17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10.32</w:t>
            </w:r>
          </w:p>
        </w:tc>
        <w:tc>
          <w:tcPr>
            <w:tcW w:w="5360" w:type="dxa"/>
            <w:vAlign w:val="bottom"/>
            <w:gridSpan w:val="28"/>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Employment Letter Agreement, dated June 24, 2020, between Amkor</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6/30/20</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980" w:type="dxa"/>
            <w:vAlign w:val="bottom"/>
          </w:tcPr>
          <w:p>
            <w:pPr>
              <w:jc w:val="center"/>
              <w:ind w:right="893"/>
              <w:spacing w:after="0"/>
              <w:rPr>
                <w:sz w:val="20"/>
                <w:szCs w:val="20"/>
                <w:color w:val="auto"/>
              </w:rPr>
            </w:pPr>
            <w:r>
              <w:rPr>
                <w:rFonts w:ascii="Times New Roman" w:cs="Times New Roman" w:eastAsia="Times New Roman" w:hAnsi="Times New Roman"/>
                <w:sz w:val="18"/>
                <w:szCs w:val="18"/>
                <w:color w:val="auto"/>
              </w:rPr>
              <w:t>7/30/20</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24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Technology, Inc. and Guillaume Marie Jean Rutten.*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10.33</w:t>
            </w:r>
          </w:p>
        </w:tc>
        <w:tc>
          <w:tcPr>
            <w:tcW w:w="5360" w:type="dxa"/>
            <w:vAlign w:val="bottom"/>
            <w:gridSpan w:val="28"/>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Executive Severance Agreement, dated November 15, 2022, between</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12/31/22</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10.30</w:t>
            </w:r>
          </w:p>
        </w:tc>
        <w:tc>
          <w:tcPr>
            <w:tcW w:w="1980" w:type="dxa"/>
            <w:vAlign w:val="bottom"/>
          </w:tcPr>
          <w:p>
            <w:pPr>
              <w:jc w:val="center"/>
              <w:ind w:right="893"/>
              <w:spacing w:after="0"/>
              <w:rPr>
                <w:sz w:val="20"/>
                <w:szCs w:val="20"/>
                <w:color w:val="auto"/>
              </w:rPr>
            </w:pPr>
            <w:r>
              <w:rPr>
                <w:rFonts w:ascii="Times New Roman" w:cs="Times New Roman" w:eastAsia="Times New Roman" w:hAnsi="Times New Roman"/>
                <w:sz w:val="18"/>
                <w:szCs w:val="18"/>
                <w:color w:val="auto"/>
              </w:rPr>
              <w:t>2/22/23</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26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Amkor Technology, Inc. and Giel Rutten*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10.34</w:t>
            </w:r>
          </w:p>
        </w:tc>
        <w:tc>
          <w:tcPr>
            <w:tcW w:w="5360" w:type="dxa"/>
            <w:vAlign w:val="bottom"/>
            <w:gridSpan w:val="28"/>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Executive Severance Agreement, dated November 15, 2022, between</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12/31/22</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10.31</w:t>
            </w:r>
          </w:p>
        </w:tc>
        <w:tc>
          <w:tcPr>
            <w:tcW w:w="1980" w:type="dxa"/>
            <w:vAlign w:val="bottom"/>
          </w:tcPr>
          <w:p>
            <w:pPr>
              <w:jc w:val="center"/>
              <w:ind w:right="893"/>
              <w:spacing w:after="0"/>
              <w:rPr>
                <w:sz w:val="20"/>
                <w:szCs w:val="20"/>
                <w:color w:val="auto"/>
              </w:rPr>
            </w:pPr>
            <w:r>
              <w:rPr>
                <w:rFonts w:ascii="Times New Roman" w:cs="Times New Roman" w:eastAsia="Times New Roman" w:hAnsi="Times New Roman"/>
                <w:sz w:val="18"/>
                <w:szCs w:val="18"/>
                <w:color w:val="auto"/>
              </w:rPr>
              <w:t>2/22/23</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26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Amkor Technology, Inc. and Megan Faust*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10.35</w:t>
            </w:r>
          </w:p>
        </w:tc>
        <w:tc>
          <w:tcPr>
            <w:tcW w:w="5360" w:type="dxa"/>
            <w:vAlign w:val="bottom"/>
            <w:gridSpan w:val="28"/>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Executive Severance Agreement, dated November 15, 2022, between</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12/31/22</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10.32</w:t>
            </w:r>
          </w:p>
        </w:tc>
        <w:tc>
          <w:tcPr>
            <w:tcW w:w="1980" w:type="dxa"/>
            <w:vAlign w:val="bottom"/>
          </w:tcPr>
          <w:p>
            <w:pPr>
              <w:jc w:val="center"/>
              <w:ind w:right="893"/>
              <w:spacing w:after="0"/>
              <w:rPr>
                <w:sz w:val="20"/>
                <w:szCs w:val="20"/>
                <w:color w:val="auto"/>
              </w:rPr>
            </w:pPr>
            <w:r>
              <w:rPr>
                <w:rFonts w:ascii="Times New Roman" w:cs="Times New Roman" w:eastAsia="Times New Roman" w:hAnsi="Times New Roman"/>
                <w:sz w:val="18"/>
                <w:szCs w:val="18"/>
                <w:color w:val="auto"/>
              </w:rPr>
              <w:t>2/22/23</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48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8"/>
              </w:rPr>
            </w:pPr>
            <w:hyperlink r:id="rId150">
              <w:r>
                <w:rPr>
                  <w:rFonts w:ascii="Times New Roman" w:cs="Times New Roman" w:eastAsia="Times New Roman" w:hAnsi="Times New Roman"/>
                  <w:sz w:val="18"/>
                  <w:szCs w:val="18"/>
                  <w:color w:val="0000FF"/>
                  <w:w w:val="98"/>
                </w:rPr>
                <w:t>Amkor Technology, Inc. and Farshad Haghighi*</w:t>
              </w:r>
            </w:hyperlink>
          </w:p>
        </w:tc>
        <w:tc>
          <w:tcPr>
            <w:tcW w:w="178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10.36</w:t>
            </w:r>
          </w:p>
        </w:tc>
        <w:tc>
          <w:tcPr>
            <w:tcW w:w="5360" w:type="dxa"/>
            <w:vAlign w:val="bottom"/>
            <w:gridSpan w:val="28"/>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Executive Severance Agreement, dated November 15, 2022, between</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12/31/22</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10.33</w:t>
            </w:r>
          </w:p>
        </w:tc>
        <w:tc>
          <w:tcPr>
            <w:tcW w:w="1980" w:type="dxa"/>
            <w:vAlign w:val="bottom"/>
          </w:tcPr>
          <w:p>
            <w:pPr>
              <w:jc w:val="center"/>
              <w:ind w:right="893"/>
              <w:spacing w:after="0"/>
              <w:rPr>
                <w:sz w:val="20"/>
                <w:szCs w:val="20"/>
                <w:color w:val="auto"/>
              </w:rPr>
            </w:pPr>
            <w:r>
              <w:rPr>
                <w:rFonts w:ascii="Times New Roman" w:cs="Times New Roman" w:eastAsia="Times New Roman" w:hAnsi="Times New Roman"/>
                <w:sz w:val="18"/>
                <w:szCs w:val="18"/>
                <w:color w:val="auto"/>
              </w:rPr>
              <w:t>2/22/23</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14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8"/>
              </w:rPr>
            </w:pPr>
            <w:hyperlink r:id="rId151">
              <w:r>
                <w:rPr>
                  <w:rFonts w:ascii="Times New Roman" w:cs="Times New Roman" w:eastAsia="Times New Roman" w:hAnsi="Times New Roman"/>
                  <w:sz w:val="18"/>
                  <w:szCs w:val="18"/>
                  <w:color w:val="0000FF"/>
                  <w:w w:val="98"/>
                </w:rPr>
                <w:t>Amkor Technology, Inc. and Mark Rogers*</w:t>
              </w:r>
            </w:hyperlink>
          </w:p>
        </w:tc>
        <w:tc>
          <w:tcPr>
            <w:tcW w:w="212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10.37</w:t>
            </w:r>
          </w:p>
        </w:tc>
        <w:tc>
          <w:tcPr>
            <w:tcW w:w="5360" w:type="dxa"/>
            <w:vAlign w:val="bottom"/>
            <w:gridSpan w:val="28"/>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Executive Severance Agreement, dated February 13, 2023, between</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12/31/22</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10.34</w:t>
            </w:r>
          </w:p>
        </w:tc>
        <w:tc>
          <w:tcPr>
            <w:tcW w:w="1980" w:type="dxa"/>
            <w:vAlign w:val="bottom"/>
          </w:tcPr>
          <w:p>
            <w:pPr>
              <w:jc w:val="center"/>
              <w:ind w:right="893"/>
              <w:spacing w:after="0"/>
              <w:rPr>
                <w:sz w:val="20"/>
                <w:szCs w:val="20"/>
                <w:color w:val="auto"/>
              </w:rPr>
            </w:pPr>
            <w:r>
              <w:rPr>
                <w:rFonts w:ascii="Times New Roman" w:cs="Times New Roman" w:eastAsia="Times New Roman" w:hAnsi="Times New Roman"/>
                <w:sz w:val="18"/>
                <w:szCs w:val="18"/>
                <w:color w:val="auto"/>
              </w:rPr>
              <w:t>2/22/23</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12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8"/>
              </w:rPr>
            </w:pPr>
            <w:hyperlink r:id="rId152">
              <w:r>
                <w:rPr>
                  <w:rFonts w:ascii="Times New Roman" w:cs="Times New Roman" w:eastAsia="Times New Roman" w:hAnsi="Times New Roman"/>
                  <w:sz w:val="18"/>
                  <w:szCs w:val="18"/>
                  <w:color w:val="0000FF"/>
                  <w:w w:val="98"/>
                </w:rPr>
                <w:t>Amkor Technology, Inc. and Kevin Engel*</w:t>
              </w:r>
            </w:hyperlink>
          </w:p>
        </w:tc>
        <w:tc>
          <w:tcPr>
            <w:tcW w:w="2100" w:type="dxa"/>
            <w:vAlign w:val="bottom"/>
            <w:tcBorders>
              <w:top w:val="single" w:sz="8" w:color="0000FF"/>
            </w:tcBorders>
            <w:gridSpan w:val="1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10.38</w:t>
            </w:r>
          </w:p>
        </w:tc>
        <w:tc>
          <w:tcPr>
            <w:tcW w:w="5360" w:type="dxa"/>
            <w:vAlign w:val="bottom"/>
            <w:gridSpan w:val="28"/>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Secured Facility Agreement, dated March 28, 2022, between Amkor</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80" w:type="dxa"/>
            <w:vAlign w:val="bottom"/>
          </w:tcPr>
          <w:p>
            <w:pPr>
              <w:jc w:val="center"/>
              <w:ind w:right="893"/>
              <w:spacing w:after="0"/>
              <w:rPr>
                <w:sz w:val="20"/>
                <w:szCs w:val="20"/>
                <w:color w:val="auto"/>
              </w:rPr>
            </w:pPr>
            <w:r>
              <w:rPr>
                <w:rFonts w:ascii="Times New Roman" w:cs="Times New Roman" w:eastAsia="Times New Roman" w:hAnsi="Times New Roman"/>
                <w:sz w:val="18"/>
                <w:szCs w:val="18"/>
                <w:color w:val="auto"/>
              </w:rPr>
              <w:t>3/29/22</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34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Technology, Inc., as parent, Amkor Technology Singapore Holding</w:t>
              </w:r>
            </w:hyperlink>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32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Pte. Ltd., as borrower, the subsidiaries of the borrower set forth in the</w:t>
              </w:r>
            </w:hyperlink>
          </w:p>
        </w:tc>
        <w:tc>
          <w:tcPr>
            <w:tcW w:w="4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5300" w:type="dxa"/>
            <w:vAlign w:val="bottom"/>
            <w:tcBorders>
              <w:top w:val="single" w:sz="8" w:color="0000FF"/>
              <w:bottom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schedules thereto, as original guarantors, the Hongkong and Shanghai</w:t>
              </w:r>
            </w:hyperlink>
          </w:p>
        </w:tc>
        <w:tc>
          <w:tcPr>
            <w:tcW w:w="60" w:type="dxa"/>
            <w:vAlign w:val="bottom"/>
            <w:tcBorders>
              <w:bottom w:val="single" w:sz="8" w:color="0000FF"/>
            </w:tcBorders>
            <w:gridSpan w:val="3"/>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360" w:type="dxa"/>
            <w:vAlign w:val="bottom"/>
            <w:gridSpan w:val="28"/>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Banking Corporation Limited, Singapore Branch (“HSBC”) and DBS</w:t>
              </w:r>
            </w:hyperlink>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Bank Ltd., each as mandated lead arranger and bookrunner, the other</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5140" w:type="dxa"/>
            <w:vAlign w:val="bottom"/>
            <w:tcBorders>
              <w:bottom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financial institutions party thereto, as lenders, HSBC, as agent and</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180" w:type="dxa"/>
            <w:vAlign w:val="bottom"/>
            <w:tcBorders>
              <w:bottom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offshore security trustee, and CTBC Bank Co., Ltd., as onshore</w:t>
              </w:r>
            </w:hyperlink>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280" w:type="dxa"/>
            <w:vAlign w:val="bottom"/>
            <w:gridSpan w:val="24"/>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security agent.</w:t>
              </w:r>
            </w:hyperlink>
          </w:p>
        </w:tc>
        <w:tc>
          <w:tcPr>
            <w:tcW w:w="80" w:type="dxa"/>
            <w:vAlign w:val="bottom"/>
            <w:gridSpan w:val="4"/>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19.1</w:t>
            </w:r>
          </w:p>
        </w:tc>
        <w:tc>
          <w:tcPr>
            <w:tcW w:w="53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Insider Trading Policy of Amkor Technology, Inc.</w:t>
            </w:r>
          </w:p>
        </w:tc>
        <w:tc>
          <w:tcPr>
            <w:tcW w:w="7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80" w:type="dxa"/>
            <w:vAlign w:val="bottom"/>
          </w:tcPr>
          <w:p>
            <w:pPr>
              <w:jc w:val="center"/>
              <w:ind w:left="99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0"/>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21.1</w:t>
            </w:r>
          </w:p>
        </w:tc>
        <w:tc>
          <w:tcPr>
            <w:tcW w:w="26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List of subsidiaries of the Registrant.</w:t>
            </w:r>
          </w:p>
        </w:tc>
        <w:tc>
          <w:tcPr>
            <w:tcW w:w="940" w:type="dxa"/>
            <w:vAlign w:val="bottom"/>
            <w:tcBorders>
              <w:top w:val="single" w:sz="8" w:color="0000FF"/>
            </w:tcBorders>
            <w:gridSpan w:val="8"/>
          </w:tcPr>
          <w:p>
            <w:pPr>
              <w:spacing w:after="0"/>
              <w:rPr>
                <w:sz w:val="18"/>
                <w:szCs w:val="18"/>
                <w:color w:val="auto"/>
              </w:rPr>
            </w:pPr>
          </w:p>
        </w:tc>
        <w:tc>
          <w:tcPr>
            <w:tcW w:w="1760" w:type="dxa"/>
            <w:vAlign w:val="bottom"/>
            <w:gridSpan w:val="17"/>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80" w:type="dxa"/>
            <w:vAlign w:val="bottom"/>
          </w:tcPr>
          <w:p>
            <w:pPr>
              <w:jc w:val="center"/>
              <w:ind w:left="99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0"/>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23.1</w:t>
            </w:r>
          </w:p>
        </w:tc>
        <w:tc>
          <w:tcPr>
            <w:tcW w:w="53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Consent of PricewaterhouseCoopers LLP.</w:t>
            </w: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80" w:type="dxa"/>
            <w:vAlign w:val="bottom"/>
          </w:tcPr>
          <w:p>
            <w:pPr>
              <w:jc w:val="center"/>
              <w:ind w:left="99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right"/>
              <w:ind w:right="112"/>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53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auto"/>
              </w:rPr>
              <w:t>Power of Attorney (included on the Signatures page of this Report on</w:t>
            </w: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80" w:type="dxa"/>
            <w:vAlign w:val="bottom"/>
          </w:tcPr>
          <w:p>
            <w:pPr>
              <w:jc w:val="center"/>
              <w:ind w:left="993"/>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536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Form 10-K).</w:t>
            </w:r>
          </w:p>
        </w:tc>
        <w:tc>
          <w:tcPr>
            <w:tcW w:w="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20" w:type="dxa"/>
            <w:vAlign w:val="bottom"/>
          </w:tcPr>
          <w:p>
            <w:pPr>
              <w:jc w:val="right"/>
              <w:ind w:right="112"/>
              <w:spacing w:after="0" w:line="198" w:lineRule="exact"/>
              <w:rPr>
                <w:sz w:val="20"/>
                <w:szCs w:val="20"/>
                <w:color w:val="auto"/>
              </w:rPr>
            </w:pPr>
            <w:r>
              <w:rPr>
                <w:rFonts w:ascii="Times New Roman" w:cs="Times New Roman" w:eastAsia="Times New Roman" w:hAnsi="Times New Roman"/>
                <w:sz w:val="18"/>
                <w:szCs w:val="18"/>
                <w:color w:val="auto"/>
              </w:rPr>
              <w:t>31.1</w:t>
            </w:r>
          </w:p>
        </w:tc>
        <w:tc>
          <w:tcPr>
            <w:tcW w:w="5360" w:type="dxa"/>
            <w:vAlign w:val="bottom"/>
            <w:gridSpan w:val="28"/>
          </w:tcPr>
          <w:p>
            <w:pPr>
              <w:spacing w:after="0" w:line="198" w:lineRule="exact"/>
              <w:rPr>
                <w:sz w:val="20"/>
                <w:szCs w:val="20"/>
                <w:color w:val="auto"/>
              </w:rPr>
            </w:pPr>
            <w:r>
              <w:rPr>
                <w:rFonts w:ascii="Times New Roman" w:cs="Times New Roman" w:eastAsia="Times New Roman" w:hAnsi="Times New Roman"/>
                <w:sz w:val="18"/>
                <w:szCs w:val="18"/>
                <w:color w:val="0000FF"/>
              </w:rPr>
              <w:t>Certification of Guillaume Marie Jean Rutten, Chief Executive Officer</w:t>
            </w: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80" w:type="dxa"/>
            <w:vAlign w:val="bottom"/>
          </w:tcPr>
          <w:p>
            <w:pPr>
              <w:jc w:val="center"/>
              <w:ind w:left="993"/>
              <w:spacing w:after="0" w:line="198"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200" w:type="dxa"/>
            <w:vAlign w:val="bottom"/>
            <w:tcBorders>
              <w:top w:val="single" w:sz="8" w:color="0000FF"/>
              <w:bottom w:val="single" w:sz="8" w:color="0000FF"/>
            </w:tcBorders>
            <w:gridSpan w:val="20"/>
          </w:tcPr>
          <w:p>
            <w:pPr>
              <w:spacing w:after="0" w:line="156" w:lineRule="exact"/>
              <w:rPr>
                <w:sz w:val="20"/>
                <w:szCs w:val="20"/>
                <w:color w:val="auto"/>
              </w:rPr>
            </w:pPr>
            <w:r>
              <w:rPr>
                <w:rFonts w:ascii="Times New Roman" w:cs="Times New Roman" w:eastAsia="Times New Roman" w:hAnsi="Times New Roman"/>
                <w:sz w:val="18"/>
                <w:szCs w:val="18"/>
                <w:color w:val="0000FF"/>
              </w:rPr>
              <w:t>of Amkor Technology, Inc., Pursuant to Rule 13a-14(a) under the</w:t>
            </w:r>
          </w:p>
        </w:tc>
        <w:tc>
          <w:tcPr>
            <w:tcW w:w="160" w:type="dxa"/>
            <w:vAlign w:val="bottom"/>
            <w:tcBorders>
              <w:bottom w:val="single" w:sz="8" w:color="0000FF"/>
            </w:tcBorders>
            <w:gridSpan w:val="8"/>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360" w:type="dxa"/>
            <w:vAlign w:val="bottom"/>
            <w:gridSpan w:val="28"/>
          </w:tcPr>
          <w:p>
            <w:pPr>
              <w:spacing w:after="0" w:line="156" w:lineRule="exact"/>
              <w:rPr>
                <w:sz w:val="20"/>
                <w:szCs w:val="20"/>
                <w:color w:val="auto"/>
              </w:rPr>
            </w:pPr>
            <w:r>
              <w:rPr>
                <w:rFonts w:ascii="Times New Roman" w:cs="Times New Roman" w:eastAsia="Times New Roman" w:hAnsi="Times New Roman"/>
                <w:sz w:val="18"/>
                <w:szCs w:val="18"/>
                <w:color w:val="0000FF"/>
              </w:rPr>
              <w:t>Securities Exchange Act of 1934, as amended.</w:t>
            </w:r>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31.2</w:t>
            </w:r>
          </w:p>
        </w:tc>
        <w:tc>
          <w:tcPr>
            <w:tcW w:w="53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Certification of Megan Faust, Chief Financial Officer of Amkor</w:t>
            </w:r>
          </w:p>
        </w:tc>
        <w:tc>
          <w:tcPr>
            <w:tcW w:w="7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80" w:type="dxa"/>
            <w:vAlign w:val="bottom"/>
          </w:tcPr>
          <w:p>
            <w:pPr>
              <w:jc w:val="center"/>
              <w:ind w:left="99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100" w:type="dxa"/>
            <w:vAlign w:val="bottom"/>
            <w:tcBorders>
              <w:top w:val="single" w:sz="8" w:color="0000FF"/>
              <w:bottom w:val="single" w:sz="8" w:color="0000FF"/>
            </w:tcBorders>
            <w:gridSpan w:val="15"/>
          </w:tcPr>
          <w:p>
            <w:pPr>
              <w:spacing w:after="0" w:line="156" w:lineRule="exact"/>
              <w:rPr>
                <w:sz w:val="20"/>
                <w:szCs w:val="20"/>
                <w:color w:val="auto"/>
              </w:rPr>
            </w:pPr>
            <w:r>
              <w:rPr>
                <w:rFonts w:ascii="Times New Roman" w:cs="Times New Roman" w:eastAsia="Times New Roman" w:hAnsi="Times New Roman"/>
                <w:sz w:val="18"/>
                <w:szCs w:val="18"/>
                <w:color w:val="0000FF"/>
              </w:rPr>
              <w:t>Technology, Inc., Pursuant to Rule 13a-14(a) under the Securities</w:t>
            </w:r>
          </w:p>
        </w:tc>
        <w:tc>
          <w:tcPr>
            <w:tcW w:w="60" w:type="dxa"/>
            <w:vAlign w:val="bottom"/>
            <w:tcBorders>
              <w:bottom w:val="single" w:sz="8" w:color="0000FF"/>
            </w:tcBorders>
            <w:gridSpan w:val="3"/>
          </w:tcPr>
          <w:p>
            <w:pPr>
              <w:spacing w:after="0"/>
              <w:rPr>
                <w:sz w:val="13"/>
                <w:szCs w:val="13"/>
                <w:color w:val="auto"/>
              </w:rPr>
            </w:pPr>
          </w:p>
        </w:tc>
        <w:tc>
          <w:tcPr>
            <w:tcW w:w="200" w:type="dxa"/>
            <w:vAlign w:val="bottom"/>
            <w:gridSpan w:val="10"/>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2600" w:type="dxa"/>
            <w:vAlign w:val="bottom"/>
            <w:tcBorders>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Exchange Act of 1934, as amended.</w:t>
            </w:r>
          </w:p>
        </w:tc>
        <w:tc>
          <w:tcPr>
            <w:tcW w:w="2560" w:type="dxa"/>
            <w:vAlign w:val="bottom"/>
            <w:gridSpan w:val="16"/>
          </w:tcPr>
          <w:p>
            <w:pPr>
              <w:spacing w:after="0"/>
              <w:rPr>
                <w:sz w:val="13"/>
                <w:szCs w:val="13"/>
                <w:color w:val="auto"/>
              </w:rPr>
            </w:pPr>
          </w:p>
        </w:tc>
        <w:tc>
          <w:tcPr>
            <w:tcW w:w="200" w:type="dxa"/>
            <w:vAlign w:val="bottom"/>
            <w:gridSpan w:val="10"/>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32.1</w:t>
            </w:r>
          </w:p>
        </w:tc>
        <w:tc>
          <w:tcPr>
            <w:tcW w:w="53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w:t>
            </w:r>
          </w:p>
        </w:tc>
        <w:tc>
          <w:tcPr>
            <w:tcW w:w="7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80" w:type="dxa"/>
            <w:vAlign w:val="bottom"/>
          </w:tcPr>
          <w:p>
            <w:pPr>
              <w:jc w:val="center"/>
              <w:ind w:left="99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220" w:type="dxa"/>
            <w:vAlign w:val="bottom"/>
            <w:tcBorders>
              <w:top w:val="single" w:sz="8" w:color="0000FF"/>
            </w:tcBorders>
            <w:gridSpan w:val="21"/>
          </w:tcPr>
          <w:p>
            <w:pPr>
              <w:spacing w:after="0" w:line="156" w:lineRule="exact"/>
              <w:rPr>
                <w:sz w:val="20"/>
                <w:szCs w:val="20"/>
                <w:color w:val="auto"/>
              </w:rPr>
            </w:pPr>
            <w:r>
              <w:rPr>
                <w:rFonts w:ascii="Times New Roman" w:cs="Times New Roman" w:eastAsia="Times New Roman" w:hAnsi="Times New Roman"/>
                <w:sz w:val="18"/>
                <w:szCs w:val="18"/>
                <w:color w:val="0000FF"/>
              </w:rPr>
              <w:t>Pursuant to 18 U.S.C. Section 1350, as Adopted Pursuant to Section</w:t>
            </w:r>
          </w:p>
        </w:tc>
        <w:tc>
          <w:tcPr>
            <w:tcW w:w="140" w:type="dxa"/>
            <w:vAlign w:val="bottom"/>
            <w:gridSpan w:val="7"/>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060" w:type="dxa"/>
            <w:vAlign w:val="bottom"/>
            <w:tcBorders>
              <w:top w:val="single" w:sz="8" w:color="0000FF"/>
              <w:bottom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w w:val="99"/>
              </w:rPr>
              <w:t>906 of the Sarbanes-Oxley Act of 2002.**</w:t>
            </w:r>
          </w:p>
        </w:tc>
        <w:tc>
          <w:tcPr>
            <w:tcW w:w="2020" w:type="dxa"/>
            <w:vAlign w:val="bottom"/>
            <w:tcBorders>
              <w:top w:val="single" w:sz="8" w:color="0000FF"/>
            </w:tcBorders>
            <w:gridSpan w:val="8"/>
          </w:tcPr>
          <w:p>
            <w:pPr>
              <w:spacing w:after="0"/>
              <w:rPr>
                <w:sz w:val="13"/>
                <w:szCs w:val="13"/>
                <w:color w:val="auto"/>
              </w:rPr>
            </w:pPr>
          </w:p>
        </w:tc>
        <w:tc>
          <w:tcPr>
            <w:tcW w:w="280" w:type="dxa"/>
            <w:vAlign w:val="bottom"/>
            <w:gridSpan w:val="14"/>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97.1</w:t>
            </w:r>
          </w:p>
        </w:tc>
        <w:tc>
          <w:tcPr>
            <w:tcW w:w="5360" w:type="dxa"/>
            <w:vAlign w:val="bottom"/>
            <w:gridSpan w:val="28"/>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Excess Compensation Recovery Policy.*</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12/31/23</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97.1</w:t>
            </w:r>
          </w:p>
        </w:tc>
        <w:tc>
          <w:tcPr>
            <w:tcW w:w="1980" w:type="dxa"/>
            <w:vAlign w:val="bottom"/>
          </w:tcPr>
          <w:p>
            <w:pPr>
              <w:jc w:val="center"/>
              <w:ind w:right="893"/>
              <w:spacing w:after="0"/>
              <w:rPr>
                <w:sz w:val="20"/>
                <w:szCs w:val="20"/>
                <w:color w:val="auto"/>
              </w:rPr>
            </w:pPr>
            <w:r>
              <w:rPr>
                <w:rFonts w:ascii="Times New Roman" w:cs="Times New Roman" w:eastAsia="Times New Roman" w:hAnsi="Times New Roman"/>
                <w:sz w:val="18"/>
                <w:szCs w:val="18"/>
                <w:color w:val="auto"/>
              </w:rPr>
              <w:t>2/16/24</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940" w:type="dxa"/>
            <w:vAlign w:val="bottom"/>
            <w:gridSpan w:val="4"/>
            <w:shd w:val="clear" w:color="auto" w:fill="0000FF"/>
          </w:tcPr>
          <w:p>
            <w:pPr>
              <w:spacing w:after="0" w:line="20" w:lineRule="exact"/>
              <w:rPr>
                <w:sz w:val="1"/>
                <w:szCs w:val="1"/>
                <w:color w:val="auto"/>
              </w:rPr>
            </w:pPr>
          </w:p>
        </w:tc>
        <w:tc>
          <w:tcPr>
            <w:tcW w:w="2420" w:type="dxa"/>
            <w:vAlign w:val="bottom"/>
            <w:gridSpan w:val="2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rPr>
              <w:t>101.INS</w:t>
            </w:r>
          </w:p>
        </w:tc>
        <w:tc>
          <w:tcPr>
            <w:tcW w:w="53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80" w:type="dxa"/>
            <w:vAlign w:val="bottom"/>
          </w:tcPr>
          <w:p>
            <w:pPr>
              <w:jc w:val="center"/>
              <w:ind w:left="993"/>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75"/>
        </w:trPr>
        <w:tc>
          <w:tcPr>
            <w:tcW w:w="1120" w:type="dxa"/>
            <w:vAlign w:val="bottom"/>
          </w:tcPr>
          <w:p>
            <w:pPr>
              <w:spacing w:after="0"/>
              <w:rPr>
                <w:sz w:val="15"/>
                <w:szCs w:val="15"/>
                <w:color w:val="auto"/>
              </w:rPr>
            </w:pPr>
          </w:p>
        </w:tc>
        <w:tc>
          <w:tcPr>
            <w:tcW w:w="536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7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536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9"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980" w:type="dxa"/>
            <w:vAlign w:val="bottom"/>
          </w:tcPr>
          <w:p>
            <w:pPr>
              <w:jc w:val="center"/>
              <w:ind w:left="996"/>
              <w:spacing w:after="0"/>
              <w:rPr>
                <w:sz w:val="20"/>
                <w:szCs w:val="20"/>
                <w:color w:val="auto"/>
              </w:rPr>
            </w:pPr>
            <w:r>
              <w:rPr>
                <w:rFonts w:ascii="Times New Roman" w:cs="Times New Roman" w:eastAsia="Times New Roman" w:hAnsi="Times New Roman"/>
                <w:sz w:val="14"/>
                <w:szCs w:val="14"/>
                <w:b w:val="1"/>
                <w:bCs w:val="1"/>
                <w:color w:val="auto"/>
              </w:rPr>
              <w:t>Included</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vMerge w:val="continue"/>
          </w:tcPr>
          <w:p>
            <w:pPr>
              <w:spacing w:after="0"/>
              <w:rPr>
                <w:sz w:val="17"/>
                <w:szCs w:val="17"/>
                <w:color w:val="auto"/>
              </w:rPr>
            </w:pPr>
          </w:p>
        </w:tc>
        <w:tc>
          <w:tcPr>
            <w:tcW w:w="1980" w:type="dxa"/>
            <w:vAlign w:val="bottom"/>
            <w:tcBorders>
              <w:bottom w:val="single" w:sz="8" w:color="auto"/>
            </w:tcBorders>
          </w:tcPr>
          <w:p>
            <w:pPr>
              <w:jc w:val="center"/>
              <w:ind w:left="996"/>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22"/>
        </w:trPr>
        <w:tc>
          <w:tcPr>
            <w:tcW w:w="1060" w:type="dxa"/>
            <w:vAlign w:val="bottom"/>
          </w:tcPr>
          <w:p>
            <w:pPr>
              <w:jc w:val="right"/>
              <w:ind w:right="235"/>
              <w:spacing w:after="0" w:line="12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5180" w:type="dxa"/>
            <w:vAlign w:val="bottom"/>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9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20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Period Ending    Exhibit</w:t>
            </w:r>
          </w:p>
        </w:tc>
        <w:tc>
          <w:tcPr>
            <w:tcW w:w="19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6"/>
        </w:trPr>
        <w:tc>
          <w:tcPr>
            <w:tcW w:w="10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18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060" w:type="dxa"/>
            <w:vAlign w:val="bottom"/>
            <w:tcBorders>
              <w:bottom w:val="single" w:sz="8" w:color="auto"/>
            </w:tcBorders>
            <w:vMerge w:val="continue"/>
          </w:tcPr>
          <w:p>
            <w:pPr>
              <w:spacing w:after="0"/>
              <w:rPr>
                <w:sz w:val="17"/>
                <w:szCs w:val="17"/>
                <w:color w:val="auto"/>
              </w:rPr>
            </w:pPr>
          </w:p>
        </w:tc>
        <w:tc>
          <w:tcPr>
            <w:tcW w:w="1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101.SCH</w:t>
            </w:r>
          </w:p>
        </w:tc>
        <w:tc>
          <w:tcPr>
            <w:tcW w:w="5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9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980" w:type="dxa"/>
            <w:vAlign w:val="bottom"/>
          </w:tcPr>
          <w:p>
            <w:pPr>
              <w:jc w:val="center"/>
              <w:ind w:left="996"/>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101.CAL</w:t>
            </w:r>
          </w:p>
        </w:tc>
        <w:tc>
          <w:tcPr>
            <w:tcW w:w="5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9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980" w:type="dxa"/>
            <w:vAlign w:val="bottom"/>
          </w:tcPr>
          <w:p>
            <w:pPr>
              <w:jc w:val="center"/>
              <w:ind w:left="996"/>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101.LAB</w:t>
            </w:r>
          </w:p>
        </w:tc>
        <w:tc>
          <w:tcPr>
            <w:tcW w:w="5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9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980" w:type="dxa"/>
            <w:vAlign w:val="bottom"/>
          </w:tcPr>
          <w:p>
            <w:pPr>
              <w:jc w:val="center"/>
              <w:ind w:left="996"/>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101.PRE</w:t>
            </w:r>
          </w:p>
        </w:tc>
        <w:tc>
          <w:tcPr>
            <w:tcW w:w="5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9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980" w:type="dxa"/>
            <w:vAlign w:val="bottom"/>
          </w:tcPr>
          <w:p>
            <w:pPr>
              <w:jc w:val="center"/>
              <w:ind w:left="996"/>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101.DEF</w:t>
            </w:r>
          </w:p>
        </w:tc>
        <w:tc>
          <w:tcPr>
            <w:tcW w:w="5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9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980" w:type="dxa"/>
            <w:vAlign w:val="bottom"/>
          </w:tcPr>
          <w:p>
            <w:pPr>
              <w:jc w:val="center"/>
              <w:ind w:left="996"/>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0"/>
        </w:trPr>
        <w:tc>
          <w:tcPr>
            <w:tcW w:w="1060" w:type="dxa"/>
            <w:vAlign w:val="bottom"/>
          </w:tcPr>
          <w:p>
            <w:pPr>
              <w:jc w:val="right"/>
              <w:ind w:right="35"/>
              <w:spacing w:after="0" w:line="181" w:lineRule="exact"/>
              <w:rPr>
                <w:sz w:val="20"/>
                <w:szCs w:val="20"/>
                <w:color w:val="auto"/>
              </w:rPr>
            </w:pPr>
            <w:r>
              <w:rPr>
                <w:rFonts w:ascii="Times New Roman" w:cs="Times New Roman" w:eastAsia="Times New Roman" w:hAnsi="Times New Roman"/>
                <w:sz w:val="18"/>
                <w:szCs w:val="18"/>
                <w:color w:val="auto"/>
              </w:rPr>
              <w:t>104</w:t>
            </w:r>
          </w:p>
        </w:tc>
        <w:tc>
          <w:tcPr>
            <w:tcW w:w="518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9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980" w:type="dxa"/>
            <w:vAlign w:val="bottom"/>
          </w:tcPr>
          <w:p>
            <w:pPr>
              <w:jc w:val="center"/>
              <w:ind w:left="996"/>
              <w:spacing w:after="0" w:line="181"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5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contained in Exhibit 101)</w:t>
            </w:r>
          </w:p>
        </w:tc>
        <w:tc>
          <w:tcPr>
            <w:tcW w:w="9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280" w:hanging="184"/>
        <w:spacing w:after="0"/>
        <w:tabs>
          <w:tab w:leader="none" w:pos="32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compensatory plan, contract or arrangement.</w:t>
      </w:r>
    </w:p>
    <w:p>
      <w:pPr>
        <w:spacing w:after="0" w:line="103" w:lineRule="exact"/>
        <w:rPr>
          <w:rFonts w:ascii="Times New Roman" w:cs="Times New Roman" w:eastAsia="Times New Roman" w:hAnsi="Times New Roman"/>
          <w:sz w:val="18"/>
          <w:szCs w:val="18"/>
          <w:color w:val="auto"/>
        </w:rPr>
      </w:pPr>
    </w:p>
    <w:p>
      <w:pPr>
        <w:ind w:left="5040" w:hanging="226"/>
        <w:spacing w:after="0"/>
        <w:tabs>
          <w:tab w:leader="none" w:pos="504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103" w:lineRule="exact"/>
        <w:rPr>
          <w:rFonts w:ascii="Times New Roman" w:cs="Times New Roman" w:eastAsia="Times New Roman" w:hAnsi="Times New Roman"/>
          <w:sz w:val="18"/>
          <w:szCs w:val="18"/>
          <w:color w:val="auto"/>
        </w:rPr>
      </w:pPr>
    </w:p>
    <w:p>
      <w:pPr>
        <w:ind w:left="3360" w:hanging="132"/>
        <w:spacing w:after="0"/>
        <w:tabs>
          <w:tab w:leader="none" w:pos="33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includes confidential information that has been redacted.</w:t>
      </w:r>
    </w:p>
    <w:p>
      <w:pPr>
        <w:spacing w:after="0" w:line="24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i w:val="1"/>
          <w:iCs w:val="1"/>
          <w:color w:val="auto"/>
        </w:rPr>
        <w:t>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9"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AMKOR TECHNOLOGY, INC.</w:t>
      </w:r>
    </w:p>
    <w:p>
      <w:pPr>
        <w:spacing w:after="0" w:line="1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By: /s/ Guillaume Marie Jean Rutten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17145</wp:posOffset>
            </wp:positionV>
            <wp:extent cx="197993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7">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Guillaume Marie Jean Rutten</w:t>
      </w:r>
    </w:p>
    <w:p>
      <w:pPr>
        <w:spacing w:after="0" w:line="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Date: February 21, 2025</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Guillaume Marie Jean Rutten and Megan Faust, and each of them, his or her attorneys-in-fact, and agents, each with the power of substitution, for and in the name, place and stead of such person, in any and all capacities, to sign any and all amendments to this Form 10-K,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conforming all that said attorneys-in-fact and agents of any of them, or his, her or their substitute or substitutes, may lawfully do or cause to be done by virtue hereof.</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Form 10-K has been signed below by the following persons on behalf of the registrant and in the capacities and on the dates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3"/>
        </w:trPr>
        <w:tc>
          <w:tcPr>
            <w:tcW w:w="3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480"/>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Guillaume Marie Jean Rutten</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21, 2025</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Guillaume Marie Jean Rutten</w:t>
            </w:r>
          </w:p>
        </w:tc>
        <w:tc>
          <w:tcPr>
            <w:tcW w:w="120" w:type="dxa"/>
            <w:vAlign w:val="bottom"/>
          </w:tcPr>
          <w:p>
            <w:pPr>
              <w:spacing w:after="0"/>
              <w:rPr>
                <w:sz w:val="19"/>
                <w:szCs w:val="19"/>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96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Megan Faust</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Executive Vice President, Chief Financial Officer, and Treasurer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21, 2025</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Megan Faust</w:t>
            </w:r>
          </w:p>
        </w:tc>
        <w:tc>
          <w:tcPr>
            <w:tcW w:w="120" w:type="dxa"/>
            <w:vAlign w:val="bottom"/>
          </w:tcPr>
          <w:p>
            <w:pPr>
              <w:spacing w:after="0"/>
              <w:rPr>
                <w:sz w:val="19"/>
                <w:szCs w:val="19"/>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c>
          <w:tcPr>
            <w:tcW w:w="196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Susan Y. Kim</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Chairman</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21, 2025</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Susan Y. Kim</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Douglas A. Alexander</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21, 2025</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Douglas A. Alexander</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Roger A. Carolin</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21, 2025</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Roger A. Carolin</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90"/>
        </w:trPr>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3"/>
        </w:trPr>
        <w:tc>
          <w:tcPr>
            <w:tcW w:w="3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480"/>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Winston J. Churchill</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21, 2025</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Winston J. Churchill</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Daniel Liao</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21, 2025</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Daniel Liao</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John Liu</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21, 2025</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John Liu</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MaryFrances McCourt</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21, 2025</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MaryFrances McCourt</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Robert R. Morse</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21, 2025</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R. Morse</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Gil C. Tily</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21, 2025</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Gil C. Tily</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David N. Watson</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21, 2025</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David N. Watson</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20"/>
          </w:cols>
          <w:pgMar w:left="320" w:top="1289" w:right="35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AMENDED AND RESTATED BYLAWS</w:t>
      </w:r>
    </w:p>
    <w:p>
      <w:pPr>
        <w:spacing w:after="0" w:line="200" w:lineRule="exact"/>
        <w:rPr>
          <w:sz w:val="20"/>
          <w:szCs w:val="20"/>
          <w:color w:val="auto"/>
        </w:rPr>
      </w:pPr>
    </w:p>
    <w:p>
      <w:pPr>
        <w:spacing w:after="0" w:line="22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00" w:lineRule="exact"/>
        <w:rPr>
          <w:sz w:val="20"/>
          <w:szCs w:val="20"/>
          <w:color w:val="auto"/>
        </w:rPr>
      </w:pPr>
    </w:p>
    <w:p>
      <w:pPr>
        <w:spacing w:after="0" w:line="23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AMKOR TECHNOLOGY, INC.</w:t>
      </w:r>
    </w:p>
    <w:p>
      <w:pPr>
        <w:spacing w:after="0" w:line="200" w:lineRule="exact"/>
        <w:rPr>
          <w:sz w:val="20"/>
          <w:szCs w:val="20"/>
          <w:color w:val="auto"/>
        </w:rPr>
      </w:pPr>
    </w:p>
    <w:p>
      <w:pPr>
        <w:spacing w:after="0" w:line="24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(as of February 20, 2025)</w:t>
      </w:r>
    </w:p>
    <w:p>
      <w:pPr>
        <w:sectPr>
          <w:pgSz w:w="11900" w:h="16838" w:orient="portrait"/>
          <w:cols w:equalWidth="0" w:num="1">
            <w:col w:w="10120"/>
          </w:cols>
          <w:pgMar w:left="1440" w:top="1413" w:right="339" w:bottom="1440" w:gutter="0" w:footer="0" w:header="0"/>
        </w:sectPr>
      </w:pPr>
    </w:p>
    <w:bookmarkStart w:id="104" w:name="page105"/>
    <w:bookmarkEnd w:id="104"/>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 STOCKHOLDERS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70"/>
        </w:trPr>
        <w:tc>
          <w:tcPr>
            <w:tcW w:w="13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1.1</w:t>
            </w:r>
          </w:p>
        </w:tc>
        <w:tc>
          <w:tcPr>
            <w:tcW w:w="9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ANNUAL MEETINGS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70"/>
        </w:trPr>
        <w:tc>
          <w:tcPr>
            <w:tcW w:w="13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1.2</w:t>
            </w:r>
          </w:p>
        </w:tc>
        <w:tc>
          <w:tcPr>
            <w:tcW w:w="9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SPECIAL MEETINGS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70"/>
        </w:trPr>
        <w:tc>
          <w:tcPr>
            <w:tcW w:w="13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1.3</w:t>
            </w:r>
          </w:p>
        </w:tc>
        <w:tc>
          <w:tcPr>
            <w:tcW w:w="9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NOTICE OF MEETINGS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70"/>
        </w:trPr>
        <w:tc>
          <w:tcPr>
            <w:tcW w:w="13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1.4</w:t>
            </w:r>
          </w:p>
        </w:tc>
        <w:tc>
          <w:tcPr>
            <w:tcW w:w="9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NOMINATIONS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70"/>
        </w:trPr>
        <w:tc>
          <w:tcPr>
            <w:tcW w:w="13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1.5</w:t>
            </w:r>
          </w:p>
        </w:tc>
        <w:tc>
          <w:tcPr>
            <w:tcW w:w="9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NOTICE OF STOCKHOLDER BUSINESS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70"/>
        </w:trPr>
        <w:tc>
          <w:tcPr>
            <w:tcW w:w="13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1.6</w:t>
            </w:r>
          </w:p>
        </w:tc>
        <w:tc>
          <w:tcPr>
            <w:tcW w:w="9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ADJOURNMENTS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70"/>
        </w:trPr>
        <w:tc>
          <w:tcPr>
            <w:tcW w:w="13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1.7</w:t>
            </w:r>
          </w:p>
        </w:tc>
        <w:tc>
          <w:tcPr>
            <w:tcW w:w="9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QUORUM</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70"/>
        </w:trPr>
        <w:tc>
          <w:tcPr>
            <w:tcW w:w="13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1.8</w:t>
            </w:r>
          </w:p>
        </w:tc>
        <w:tc>
          <w:tcPr>
            <w:tcW w:w="9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ORGANIZATION</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70"/>
        </w:trPr>
        <w:tc>
          <w:tcPr>
            <w:tcW w:w="13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1.9</w:t>
            </w:r>
          </w:p>
        </w:tc>
        <w:tc>
          <w:tcPr>
            <w:tcW w:w="9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VOTING; PROXIES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c>
          <w:tcPr>
            <w:tcW w:w="0" w:type="dxa"/>
            <w:vAlign w:val="bottom"/>
          </w:tcPr>
          <w:p>
            <w:pPr>
              <w:spacing w:after="0"/>
              <w:rPr>
                <w:sz w:val="1"/>
                <w:szCs w:val="1"/>
                <w:color w:val="auto"/>
              </w:rPr>
            </w:pPr>
          </w:p>
        </w:tc>
      </w:tr>
      <w:tr>
        <w:trPr>
          <w:trHeight w:val="270"/>
        </w:trPr>
        <w:tc>
          <w:tcPr>
            <w:tcW w:w="13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1.10</w:t>
            </w:r>
          </w:p>
        </w:tc>
        <w:tc>
          <w:tcPr>
            <w:tcW w:w="9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REMOTE COMMUNICATION</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c>
          <w:tcPr>
            <w:tcW w:w="0" w:type="dxa"/>
            <w:vAlign w:val="bottom"/>
          </w:tcPr>
          <w:p>
            <w:pPr>
              <w:spacing w:after="0"/>
              <w:rPr>
                <w:sz w:val="1"/>
                <w:szCs w:val="1"/>
                <w:color w:val="auto"/>
              </w:rPr>
            </w:pPr>
          </w:p>
        </w:tc>
      </w:tr>
      <w:tr>
        <w:trPr>
          <w:trHeight w:val="270"/>
        </w:trPr>
        <w:tc>
          <w:tcPr>
            <w:tcW w:w="13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1.11</w:t>
            </w:r>
          </w:p>
        </w:tc>
        <w:tc>
          <w:tcPr>
            <w:tcW w:w="9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FIXING DATE FOR DETERMINATION OF STOCKHOLDERS OF RECORD</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c>
          <w:tcPr>
            <w:tcW w:w="0" w:type="dxa"/>
            <w:vAlign w:val="bottom"/>
          </w:tcPr>
          <w:p>
            <w:pPr>
              <w:spacing w:after="0"/>
              <w:rPr>
                <w:sz w:val="1"/>
                <w:szCs w:val="1"/>
                <w:color w:val="auto"/>
              </w:rPr>
            </w:pPr>
          </w:p>
        </w:tc>
      </w:tr>
      <w:tr>
        <w:trPr>
          <w:trHeight w:val="270"/>
        </w:trPr>
        <w:tc>
          <w:tcPr>
            <w:tcW w:w="13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1.12</w:t>
            </w:r>
          </w:p>
        </w:tc>
        <w:tc>
          <w:tcPr>
            <w:tcW w:w="9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LIST OF STOCKHOLDERS ENTITLED TO VOTE</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c>
          <w:tcPr>
            <w:tcW w:w="0" w:type="dxa"/>
            <w:vAlign w:val="bottom"/>
          </w:tcPr>
          <w:p>
            <w:pPr>
              <w:spacing w:after="0"/>
              <w:rPr>
                <w:sz w:val="1"/>
                <w:szCs w:val="1"/>
                <w:color w:val="auto"/>
              </w:rPr>
            </w:pPr>
          </w:p>
        </w:tc>
      </w:tr>
      <w:tr>
        <w:trPr>
          <w:trHeight w:val="270"/>
        </w:trPr>
        <w:tc>
          <w:tcPr>
            <w:tcW w:w="13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1.13</w:t>
            </w:r>
          </w:p>
        </w:tc>
        <w:tc>
          <w:tcPr>
            <w:tcW w:w="9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STOCKHOLDER ACTION BY WRITTEN CONSENT WITHOUT A MEETING</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c>
          <w:tcPr>
            <w:tcW w:w="0" w:type="dxa"/>
            <w:vAlign w:val="bottom"/>
          </w:tcPr>
          <w:p>
            <w:pPr>
              <w:spacing w:after="0"/>
              <w:rPr>
                <w:sz w:val="1"/>
                <w:szCs w:val="1"/>
                <w:color w:val="auto"/>
              </w:rPr>
            </w:pPr>
          </w:p>
        </w:tc>
      </w:tr>
      <w:tr>
        <w:trPr>
          <w:trHeight w:val="270"/>
        </w:trPr>
        <w:tc>
          <w:tcPr>
            <w:tcW w:w="10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 BOARD OF DIRECTORS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c>
          <w:tcPr>
            <w:tcW w:w="0" w:type="dxa"/>
            <w:vAlign w:val="bottom"/>
          </w:tcPr>
          <w:p>
            <w:pPr>
              <w:spacing w:after="0"/>
              <w:rPr>
                <w:sz w:val="1"/>
                <w:szCs w:val="1"/>
                <w:color w:val="auto"/>
              </w:rPr>
            </w:pPr>
          </w:p>
        </w:tc>
      </w:tr>
      <w:tr>
        <w:trPr>
          <w:trHeight w:val="270"/>
        </w:trPr>
        <w:tc>
          <w:tcPr>
            <w:tcW w:w="13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2.1</w:t>
            </w:r>
          </w:p>
        </w:tc>
        <w:tc>
          <w:tcPr>
            <w:tcW w:w="9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POWERS; NUMBER; QUALIFICATIONS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c>
          <w:tcPr>
            <w:tcW w:w="0" w:type="dxa"/>
            <w:vAlign w:val="bottom"/>
          </w:tcPr>
          <w:p>
            <w:pPr>
              <w:spacing w:after="0"/>
              <w:rPr>
                <w:sz w:val="1"/>
                <w:szCs w:val="1"/>
                <w:color w:val="auto"/>
              </w:rPr>
            </w:pPr>
          </w:p>
        </w:tc>
      </w:tr>
      <w:tr>
        <w:trPr>
          <w:trHeight w:val="270"/>
        </w:trPr>
        <w:tc>
          <w:tcPr>
            <w:tcW w:w="13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2.2</w:t>
            </w:r>
          </w:p>
        </w:tc>
        <w:tc>
          <w:tcPr>
            <w:tcW w:w="9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ELECTION; RESIGNATION; VACANCIES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c>
          <w:tcPr>
            <w:tcW w:w="0" w:type="dxa"/>
            <w:vAlign w:val="bottom"/>
          </w:tcPr>
          <w:p>
            <w:pPr>
              <w:spacing w:after="0"/>
              <w:rPr>
                <w:sz w:val="1"/>
                <w:szCs w:val="1"/>
                <w:color w:val="auto"/>
              </w:rPr>
            </w:pPr>
          </w:p>
        </w:tc>
      </w:tr>
      <w:tr>
        <w:trPr>
          <w:trHeight w:val="270"/>
        </w:trPr>
        <w:tc>
          <w:tcPr>
            <w:tcW w:w="13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2.3</w:t>
            </w:r>
          </w:p>
        </w:tc>
        <w:tc>
          <w:tcPr>
            <w:tcW w:w="9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REGULAR MEETINGS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c>
          <w:tcPr>
            <w:tcW w:w="0" w:type="dxa"/>
            <w:vAlign w:val="bottom"/>
          </w:tcPr>
          <w:p>
            <w:pPr>
              <w:spacing w:after="0"/>
              <w:rPr>
                <w:sz w:val="1"/>
                <w:szCs w:val="1"/>
                <w:color w:val="auto"/>
              </w:rPr>
            </w:pPr>
          </w:p>
        </w:tc>
      </w:tr>
      <w:tr>
        <w:trPr>
          <w:trHeight w:val="270"/>
        </w:trPr>
        <w:tc>
          <w:tcPr>
            <w:tcW w:w="13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2.4</w:t>
            </w:r>
          </w:p>
        </w:tc>
        <w:tc>
          <w:tcPr>
            <w:tcW w:w="9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SPECIAL MEETINGS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c>
          <w:tcPr>
            <w:tcW w:w="0" w:type="dxa"/>
            <w:vAlign w:val="bottom"/>
          </w:tcPr>
          <w:p>
            <w:pPr>
              <w:spacing w:after="0"/>
              <w:rPr>
                <w:sz w:val="1"/>
                <w:szCs w:val="1"/>
                <w:color w:val="auto"/>
              </w:rPr>
            </w:pPr>
          </w:p>
        </w:tc>
      </w:tr>
      <w:tr>
        <w:trPr>
          <w:trHeight w:val="270"/>
        </w:trPr>
        <w:tc>
          <w:tcPr>
            <w:tcW w:w="13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2.5</w:t>
            </w:r>
          </w:p>
        </w:tc>
        <w:tc>
          <w:tcPr>
            <w:tcW w:w="9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TELEPHONIC MEETINGS PERMITTED</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c>
          <w:tcPr>
            <w:tcW w:w="0" w:type="dxa"/>
            <w:vAlign w:val="bottom"/>
          </w:tcPr>
          <w:p>
            <w:pPr>
              <w:spacing w:after="0"/>
              <w:rPr>
                <w:sz w:val="1"/>
                <w:szCs w:val="1"/>
                <w:color w:val="auto"/>
              </w:rPr>
            </w:pPr>
          </w:p>
        </w:tc>
      </w:tr>
      <w:tr>
        <w:trPr>
          <w:trHeight w:val="270"/>
        </w:trPr>
        <w:tc>
          <w:tcPr>
            <w:tcW w:w="13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2.6</w:t>
            </w:r>
          </w:p>
        </w:tc>
        <w:tc>
          <w:tcPr>
            <w:tcW w:w="9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QUORUM; VOTE REQUIRED FOR ACTION</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c>
          <w:tcPr>
            <w:tcW w:w="0" w:type="dxa"/>
            <w:vAlign w:val="bottom"/>
          </w:tcPr>
          <w:p>
            <w:pPr>
              <w:spacing w:after="0"/>
              <w:rPr>
                <w:sz w:val="1"/>
                <w:szCs w:val="1"/>
                <w:color w:val="auto"/>
              </w:rPr>
            </w:pPr>
          </w:p>
        </w:tc>
      </w:tr>
      <w:tr>
        <w:trPr>
          <w:trHeight w:val="270"/>
        </w:trPr>
        <w:tc>
          <w:tcPr>
            <w:tcW w:w="13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2.7</w:t>
            </w:r>
          </w:p>
        </w:tc>
        <w:tc>
          <w:tcPr>
            <w:tcW w:w="9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ORGANIZATION</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c>
          <w:tcPr>
            <w:tcW w:w="0" w:type="dxa"/>
            <w:vAlign w:val="bottom"/>
          </w:tcPr>
          <w:p>
            <w:pPr>
              <w:spacing w:after="0"/>
              <w:rPr>
                <w:sz w:val="1"/>
                <w:szCs w:val="1"/>
                <w:color w:val="auto"/>
              </w:rPr>
            </w:pPr>
          </w:p>
        </w:tc>
      </w:tr>
      <w:tr>
        <w:trPr>
          <w:trHeight w:val="270"/>
        </w:trPr>
        <w:tc>
          <w:tcPr>
            <w:tcW w:w="13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2.8</w:t>
            </w:r>
          </w:p>
        </w:tc>
        <w:tc>
          <w:tcPr>
            <w:tcW w:w="9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BOARD ACTION BY WRITTEN CONSENT WITHOUT A MEETING</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c>
          <w:tcPr>
            <w:tcW w:w="0" w:type="dxa"/>
            <w:vAlign w:val="bottom"/>
          </w:tcPr>
          <w:p>
            <w:pPr>
              <w:spacing w:after="0"/>
              <w:rPr>
                <w:sz w:val="1"/>
                <w:szCs w:val="1"/>
                <w:color w:val="auto"/>
              </w:rPr>
            </w:pPr>
          </w:p>
        </w:tc>
      </w:tr>
      <w:tr>
        <w:trPr>
          <w:trHeight w:val="270"/>
        </w:trPr>
        <w:tc>
          <w:tcPr>
            <w:tcW w:w="10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III COMMITTEES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c>
          <w:tcPr>
            <w:tcW w:w="0" w:type="dxa"/>
            <w:vAlign w:val="bottom"/>
          </w:tcPr>
          <w:p>
            <w:pPr>
              <w:spacing w:after="0"/>
              <w:rPr>
                <w:sz w:val="1"/>
                <w:szCs w:val="1"/>
                <w:color w:val="auto"/>
              </w:rPr>
            </w:pPr>
          </w:p>
        </w:tc>
      </w:tr>
      <w:tr>
        <w:trPr>
          <w:trHeight w:val="270"/>
        </w:trPr>
        <w:tc>
          <w:tcPr>
            <w:tcW w:w="13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3.1</w:t>
            </w:r>
          </w:p>
        </w:tc>
        <w:tc>
          <w:tcPr>
            <w:tcW w:w="9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COMMITTEES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c>
          <w:tcPr>
            <w:tcW w:w="0" w:type="dxa"/>
            <w:vAlign w:val="bottom"/>
          </w:tcPr>
          <w:p>
            <w:pPr>
              <w:spacing w:after="0"/>
              <w:rPr>
                <w:sz w:val="1"/>
                <w:szCs w:val="1"/>
                <w:color w:val="auto"/>
              </w:rPr>
            </w:pPr>
          </w:p>
        </w:tc>
      </w:tr>
      <w:tr>
        <w:trPr>
          <w:trHeight w:val="270"/>
        </w:trPr>
        <w:tc>
          <w:tcPr>
            <w:tcW w:w="13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3.2</w:t>
            </w:r>
          </w:p>
        </w:tc>
        <w:tc>
          <w:tcPr>
            <w:tcW w:w="9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COMMITTEE RULES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c>
          <w:tcPr>
            <w:tcW w:w="0" w:type="dxa"/>
            <w:vAlign w:val="bottom"/>
          </w:tcPr>
          <w:p>
            <w:pPr>
              <w:spacing w:after="0"/>
              <w:rPr>
                <w:sz w:val="1"/>
                <w:szCs w:val="1"/>
                <w:color w:val="auto"/>
              </w:rPr>
            </w:pPr>
          </w:p>
        </w:tc>
      </w:tr>
      <w:tr>
        <w:trPr>
          <w:trHeight w:val="270"/>
        </w:trPr>
        <w:tc>
          <w:tcPr>
            <w:tcW w:w="10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IV OFFICERS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c>
          <w:tcPr>
            <w:tcW w:w="0" w:type="dxa"/>
            <w:vAlign w:val="bottom"/>
          </w:tcPr>
          <w:p>
            <w:pPr>
              <w:spacing w:after="0"/>
              <w:rPr>
                <w:sz w:val="1"/>
                <w:szCs w:val="1"/>
                <w:color w:val="auto"/>
              </w:rPr>
            </w:pPr>
          </w:p>
        </w:tc>
      </w:tr>
      <w:tr>
        <w:trPr>
          <w:trHeight w:val="216"/>
        </w:trPr>
        <w:tc>
          <w:tcPr>
            <w:tcW w:w="1320" w:type="dxa"/>
            <w:vAlign w:val="bottom"/>
          </w:tcPr>
          <w:p>
            <w:pPr>
              <w:ind w:left="820"/>
              <w:spacing w:after="0" w:line="217" w:lineRule="exact"/>
              <w:rPr>
                <w:sz w:val="20"/>
                <w:szCs w:val="20"/>
                <w:color w:val="auto"/>
              </w:rPr>
            </w:pPr>
            <w:r>
              <w:rPr>
                <w:rFonts w:ascii="Times New Roman" w:cs="Times New Roman" w:eastAsia="Times New Roman" w:hAnsi="Times New Roman"/>
                <w:sz w:val="22"/>
                <w:szCs w:val="22"/>
                <w:color w:val="auto"/>
              </w:rPr>
              <w:t>4.1</w:t>
            </w:r>
          </w:p>
        </w:tc>
        <w:tc>
          <w:tcPr>
            <w:tcW w:w="9120" w:type="dxa"/>
            <w:vAlign w:val="bottom"/>
          </w:tcPr>
          <w:p>
            <w:pPr>
              <w:ind w:left="140"/>
              <w:spacing w:after="0" w:line="217" w:lineRule="exact"/>
              <w:rPr>
                <w:sz w:val="20"/>
                <w:szCs w:val="20"/>
                <w:color w:val="auto"/>
              </w:rPr>
            </w:pPr>
            <w:r>
              <w:rPr>
                <w:rFonts w:ascii="Times New Roman" w:cs="Times New Roman" w:eastAsia="Times New Roman" w:hAnsi="Times New Roman"/>
                <w:sz w:val="22"/>
                <w:szCs w:val="22"/>
                <w:color w:val="auto"/>
                <w:w w:val="99"/>
              </w:rPr>
              <w:t>EXECUTIVE OFFICERS; ELECTION; QUALIFICATIONS; TERM OF OFFICE; RESIGNATION;</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17</w:t>
            </w:r>
          </w:p>
        </w:tc>
        <w:tc>
          <w:tcPr>
            <w:tcW w:w="0" w:type="dxa"/>
            <w:vAlign w:val="bottom"/>
          </w:tcPr>
          <w:p>
            <w:pPr>
              <w:spacing w:after="0"/>
              <w:rPr>
                <w:sz w:val="1"/>
                <w:szCs w:val="1"/>
                <w:color w:val="auto"/>
              </w:rPr>
            </w:pPr>
          </w:p>
        </w:tc>
      </w:tr>
      <w:tr>
        <w:trPr>
          <w:trHeight w:val="270"/>
        </w:trPr>
        <w:tc>
          <w:tcPr>
            <w:tcW w:w="1320" w:type="dxa"/>
            <w:vAlign w:val="bottom"/>
          </w:tcPr>
          <w:p>
            <w:pPr>
              <w:spacing w:after="0"/>
              <w:rPr>
                <w:sz w:val="23"/>
                <w:szCs w:val="23"/>
                <w:color w:val="auto"/>
              </w:rPr>
            </w:pPr>
          </w:p>
        </w:tc>
        <w:tc>
          <w:tcPr>
            <w:tcW w:w="9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REMOVAL; VACANCIES</w:t>
            </w:r>
          </w:p>
        </w:tc>
        <w:tc>
          <w:tcPr>
            <w:tcW w:w="4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 STOCK</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c>
          <w:tcPr>
            <w:tcW w:w="0" w:type="dxa"/>
            <w:vAlign w:val="bottom"/>
          </w:tcPr>
          <w:p>
            <w:pPr>
              <w:spacing w:after="0"/>
              <w:rPr>
                <w:sz w:val="1"/>
                <w:szCs w:val="1"/>
                <w:color w:val="auto"/>
              </w:rPr>
            </w:pPr>
          </w:p>
        </w:tc>
      </w:tr>
      <w:tr>
        <w:trPr>
          <w:trHeight w:val="282"/>
        </w:trPr>
        <w:tc>
          <w:tcPr>
            <w:tcW w:w="13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5.1</w:t>
            </w:r>
          </w:p>
        </w:tc>
        <w:tc>
          <w:tcPr>
            <w:tcW w:w="9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CERTIFICATES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1220"/>
          </w:cols>
          <w:pgMar w:left="340" w:top="122" w:right="339" w:bottom="1440" w:gutter="0" w:footer="0" w:header="0"/>
        </w:sectPr>
      </w:pPr>
    </w:p>
    <w:bookmarkStart w:id="105" w:name="page106"/>
    <w:bookmarkEnd w:id="105"/>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5.2</w:t>
            </w:r>
          </w:p>
        </w:tc>
        <w:tc>
          <w:tcPr>
            <w:tcW w:w="922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LOST, STOLEN OR DESTROYED STOCK CERTIFICATES; ISSUANCE OF NEW CERTIFICATES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70"/>
        </w:trPr>
        <w:tc>
          <w:tcPr>
            <w:tcW w:w="10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 INDEMNIFICATION</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70"/>
        </w:trPr>
        <w:tc>
          <w:tcPr>
            <w:tcW w:w="13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6.1</w:t>
            </w:r>
          </w:p>
        </w:tc>
        <w:tc>
          <w:tcPr>
            <w:tcW w:w="9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THIRD PARTY ACTIONS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70"/>
        </w:trPr>
        <w:tc>
          <w:tcPr>
            <w:tcW w:w="13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6.2</w:t>
            </w:r>
          </w:p>
        </w:tc>
        <w:tc>
          <w:tcPr>
            <w:tcW w:w="9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ACTIONS BY OR IN THE RIGHT OF THE CORPORATION</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70"/>
        </w:trPr>
        <w:tc>
          <w:tcPr>
            <w:tcW w:w="13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6.3</w:t>
            </w:r>
          </w:p>
        </w:tc>
        <w:tc>
          <w:tcPr>
            <w:tcW w:w="9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SUCCESSFUL DEFENSE</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70"/>
        </w:trPr>
        <w:tc>
          <w:tcPr>
            <w:tcW w:w="13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6.4</w:t>
            </w:r>
          </w:p>
        </w:tc>
        <w:tc>
          <w:tcPr>
            <w:tcW w:w="9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DETERMINATION OF CONDUCT</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70"/>
        </w:trPr>
        <w:tc>
          <w:tcPr>
            <w:tcW w:w="13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6.5</w:t>
            </w:r>
          </w:p>
        </w:tc>
        <w:tc>
          <w:tcPr>
            <w:tcW w:w="9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PAYMENT OF EXPENSES IN ADVANCE</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13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6.6</w:t>
            </w:r>
          </w:p>
        </w:tc>
        <w:tc>
          <w:tcPr>
            <w:tcW w:w="9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INDEMNITY NOT EXCLUSIVE</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13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6.7</w:t>
            </w:r>
          </w:p>
        </w:tc>
        <w:tc>
          <w:tcPr>
            <w:tcW w:w="9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INSURANCE INDEMNIFICATION</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13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6.8</w:t>
            </w:r>
          </w:p>
        </w:tc>
        <w:tc>
          <w:tcPr>
            <w:tcW w:w="9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 CORPORATION</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13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6.9</w:t>
            </w:r>
          </w:p>
        </w:tc>
        <w:tc>
          <w:tcPr>
            <w:tcW w:w="9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EMPLOYEE BENEFIT PLANS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13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6.10</w:t>
            </w:r>
          </w:p>
        </w:tc>
        <w:tc>
          <w:tcPr>
            <w:tcW w:w="9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INDEMNITY FUND</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13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6.11</w:t>
            </w:r>
          </w:p>
        </w:tc>
        <w:tc>
          <w:tcPr>
            <w:tcW w:w="9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INDEMNIFICATION OF OTHER PERSONS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13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6.12</w:t>
            </w:r>
          </w:p>
        </w:tc>
        <w:tc>
          <w:tcPr>
            <w:tcW w:w="9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SAVINGS CLAUSE</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13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6.13</w:t>
            </w:r>
          </w:p>
        </w:tc>
        <w:tc>
          <w:tcPr>
            <w:tcW w:w="9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CONTINUATION OF INDEMNIFICATION AND ADVANCEMENT OF EXPENSES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10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VII MISCELLANEOUS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13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7.1</w:t>
            </w:r>
          </w:p>
        </w:tc>
        <w:tc>
          <w:tcPr>
            <w:tcW w:w="9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FISCAL YEAR</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13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7.2</w:t>
            </w:r>
          </w:p>
        </w:tc>
        <w:tc>
          <w:tcPr>
            <w:tcW w:w="9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SEAL</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13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7.3</w:t>
            </w:r>
          </w:p>
        </w:tc>
        <w:tc>
          <w:tcPr>
            <w:tcW w:w="9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WAIVER OF NOTICE OF MEETINGS OF STOCKHOLDERS, DIRECTORS AND COMMITTEES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13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7.4</w:t>
            </w:r>
          </w:p>
        </w:tc>
        <w:tc>
          <w:tcPr>
            <w:tcW w:w="9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INTERESTED DIRECTORS; QUORUM</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13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7.5</w:t>
            </w:r>
          </w:p>
        </w:tc>
        <w:tc>
          <w:tcPr>
            <w:tcW w:w="9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FORM OF RECORDS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13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7.6</w:t>
            </w:r>
          </w:p>
        </w:tc>
        <w:tc>
          <w:tcPr>
            <w:tcW w:w="9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AMENDMENT OF BYLAWS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70"/>
        </w:trPr>
        <w:tc>
          <w:tcPr>
            <w:tcW w:w="10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VIII EXCLUSIVE FORUM</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82"/>
        </w:trPr>
        <w:tc>
          <w:tcPr>
            <w:tcW w:w="132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8.1</w:t>
            </w:r>
          </w:p>
        </w:tc>
        <w:tc>
          <w:tcPr>
            <w:tcW w:w="9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EXCLUSIVE FORUM</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1220"/>
          </w:cols>
          <w:pgMar w:left="340" w:top="122" w:right="339" w:bottom="1440" w:gutter="0" w:footer="0" w:header="0"/>
        </w:sectPr>
      </w:pPr>
    </w:p>
    <w:bookmarkStart w:id="106" w:name="page107"/>
    <w:bookmarkEnd w:id="10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BYLAWS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AMKOR TECHNOLOGY, INC.</w:t>
      </w:r>
    </w:p>
    <w:p>
      <w:pPr>
        <w:spacing w:after="0" w:line="23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STOCKHOLDERS</w:t>
      </w:r>
    </w:p>
    <w:p>
      <w:pPr>
        <w:spacing w:after="0" w:line="22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u w:val="single" w:color="auto"/>
          <w:color w:val="auto"/>
        </w:rPr>
        <w:t>ANNUAL MEETINGS</w:t>
      </w:r>
    </w:p>
    <w:p>
      <w:pPr>
        <w:spacing w:after="0" w:line="220" w:lineRule="exact"/>
        <w:rPr>
          <w:sz w:val="20"/>
          <w:szCs w:val="20"/>
          <w:color w:val="auto"/>
        </w:rPr>
      </w:pPr>
    </w:p>
    <w:p>
      <w:pPr>
        <w:jc w:val="both"/>
        <w:ind w:right="120" w:firstLine="648"/>
        <w:spacing w:after="0" w:line="253" w:lineRule="auto"/>
        <w:rPr>
          <w:sz w:val="20"/>
          <w:szCs w:val="20"/>
          <w:color w:val="auto"/>
        </w:rPr>
      </w:pPr>
      <w:r>
        <w:rPr>
          <w:rFonts w:ascii="Times New Roman" w:cs="Times New Roman" w:eastAsia="Times New Roman" w:hAnsi="Times New Roman"/>
          <w:sz w:val="22"/>
          <w:szCs w:val="22"/>
          <w:color w:val="auto"/>
        </w:rPr>
        <w:t>An annual meeting of stockholders shall be held for the election of directors at such date, time and place, either within or without the state of Delaware, as may be designated by resolution of the Board of Directors from time to time. Any other proper business may be transacted at the annual meeting. In lieu of holding an annual meeting of stockholders at a designated place, the Board of Directors may, in its sole discretion, determine that any annual meeting of stockholders may be held in whole or in part by means of remote communication.</w:t>
      </w:r>
    </w:p>
    <w:p>
      <w:pPr>
        <w:spacing w:after="0" w:line="179"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u w:val="single" w:color="auto"/>
          <w:color w:val="auto"/>
        </w:rPr>
        <w:t>SPECIAL MEETINGS</w:t>
      </w:r>
    </w:p>
    <w:p>
      <w:pPr>
        <w:spacing w:after="0" w:line="22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2"/>
          <w:szCs w:val="22"/>
          <w:color w:val="auto"/>
        </w:rPr>
        <w:t>Special meetings of stockholders for any purpose or purposes may be called at any time by the Board of Directors, or by a committee of the Board of Directors which has been duly designated by the Board of Directors and whose powers and authority, as expressly provided in a resolution of the Board of Directors, include the power to call such meetings. In lieu of holding a special meeting of stockholders at a designated place, the Board of Directors may, in its sole discretion, determine that any special meeting of stockholders may be held in whole or in part by means of remote communication.</w:t>
      </w:r>
    </w:p>
    <w:p>
      <w:pPr>
        <w:spacing w:after="0" w:line="179"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u w:val="single" w:color="auto"/>
          <w:color w:val="auto"/>
        </w:rPr>
        <w:t>NOTICE OF MEETINGS</w:t>
      </w:r>
    </w:p>
    <w:p>
      <w:pPr>
        <w:spacing w:after="0" w:line="220" w:lineRule="exact"/>
        <w:rPr>
          <w:sz w:val="20"/>
          <w:szCs w:val="20"/>
          <w:color w:val="auto"/>
        </w:rPr>
      </w:pPr>
    </w:p>
    <w:p>
      <w:pPr>
        <w:ind w:right="20" w:firstLine="648"/>
        <w:spacing w:after="0" w:line="248" w:lineRule="auto"/>
        <w:rPr>
          <w:sz w:val="20"/>
          <w:szCs w:val="20"/>
          <w:color w:val="auto"/>
        </w:rPr>
      </w:pPr>
      <w:r>
        <w:rPr>
          <w:rFonts w:ascii="Times New Roman" w:cs="Times New Roman" w:eastAsia="Times New Roman" w:hAnsi="Times New Roman"/>
          <w:sz w:val="22"/>
          <w:szCs w:val="22"/>
          <w:color w:val="auto"/>
        </w:rPr>
        <w:t>Whenever stockholders are required or permitted to take any action at a meeting, a written notice of the meeting shall be given which shall state the place, date and hour of the meeting, the means of remote communications, if any, by which stockholders and proxy holders may be deemed to be present and in person and vote at such meeting, and, in the case of a special meeting, the purpose or purposes for which the meeting is called. Unless otherwise provided by law, the Certificate of Incorporation or these Bylaws, the written notice of any meeting shall be given not less than ten (10) nor more than sixty (60) days before the date of the meeting to each stockholder entitled to vote at such meeting. Notice to stockholders may be given by personal delivery, mail, or, with the consent of the stockholder entitled to receive notice, by facsimile or other means of electronic transmission. If mailed, such notice shall be deemed to be given when deposited in the mail, postage prepaid, directed to the stockholder at such stockholder’s address as it appears on the records of the corporation. Notice given by electronic transmission pursuant to this subsection shall be deemed given: (1) if by facsimile telecommunication, when directed to a facsimile telecommunication number at which the stockholder has consented to receive notice; (2) if by electronic mail, when directed to an electronic mail address at which the stockholder has</w:t>
      </w:r>
    </w:p>
    <w:p>
      <w:pPr>
        <w:sectPr>
          <w:pgSz w:w="11900" w:h="16838" w:orient="portrait"/>
          <w:cols w:equalWidth="0" w:num="1">
            <w:col w:w="11240"/>
          </w:cols>
          <w:pgMar w:left="320" w:top="1440" w:right="339" w:bottom="7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098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40" w:right="339" w:bottom="788" w:gutter="0" w:footer="0" w:header="0"/>
          <w:type w:val="continuous"/>
        </w:sectPr>
      </w:pPr>
    </w:p>
    <w:bookmarkStart w:id="107" w:name="page108"/>
    <w:bookmarkEnd w:id="107"/>
    <w:p>
      <w:pPr>
        <w:ind w:right="360"/>
        <w:spacing w:after="0" w:line="253" w:lineRule="auto"/>
        <w:rPr>
          <w:sz w:val="20"/>
          <w:szCs w:val="20"/>
          <w:color w:val="auto"/>
        </w:rPr>
      </w:pPr>
      <w:r>
        <w:rPr>
          <w:rFonts w:ascii="Times New Roman" w:cs="Times New Roman" w:eastAsia="Times New Roman" w:hAnsi="Times New Roman"/>
          <w:sz w:val="22"/>
          <w:szCs w:val="22"/>
          <w:color w:val="auto"/>
        </w:rPr>
        <w:t>consented to receive notice; (3) if by posting on an electronic network together with separate notice to the stockholder of such specific posting, upon the later of (A) such posting and (B) the giving of such separate notice; and (4) if by any other form of electronic transmission, when directed to the stockholder. An affidavit of the Secretary or an Assistant Secretary, the transfer agent or other agent of the corporation that the notice has been given by personal delivery, by mail, or by a form of electronic transmission shall, in the absence of fraud, be prima facie evidence of the facts stated therein.</w:t>
      </w:r>
    </w:p>
    <w:p>
      <w:pPr>
        <w:spacing w:after="0" w:line="179"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u w:val="single" w:color="auto"/>
          <w:color w:val="auto"/>
        </w:rPr>
        <w:t>NOMINATIONS</w:t>
      </w:r>
    </w:p>
    <w:p>
      <w:pPr>
        <w:spacing w:after="0" w:line="220" w:lineRule="exact"/>
        <w:rPr>
          <w:sz w:val="20"/>
          <w:szCs w:val="20"/>
          <w:color w:val="auto"/>
        </w:rPr>
      </w:pPr>
    </w:p>
    <w:p>
      <w:pPr>
        <w:ind w:right="140" w:firstLine="648"/>
        <w:spacing w:after="0" w:line="251" w:lineRule="auto"/>
        <w:rPr>
          <w:sz w:val="20"/>
          <w:szCs w:val="20"/>
          <w:color w:val="auto"/>
        </w:rPr>
      </w:pPr>
      <w:r>
        <w:rPr>
          <w:rFonts w:ascii="Times New Roman" w:cs="Times New Roman" w:eastAsia="Times New Roman" w:hAnsi="Times New Roman"/>
          <w:sz w:val="22"/>
          <w:szCs w:val="22"/>
          <w:color w:val="auto"/>
        </w:rPr>
        <w:t>Only persons who are nominated in accordance with the procedures set forth in these Bylaws shall be eligible to serve as directors of the corporation. Nominations of persons for election to the Board of Directors of the corporation may be made at a meeting of stockholders at which directors are to be elected (i) by or at the direction of the Board of Directors or (ii) by any stockholder of the corporation who is a stockholder of record of the corporation both at the time of giving of notice provided for in this Section 1.4 and at the time of the meeting, who is entitled to vote for the election of directors at the meeting and who complies with the notice procedures set forth in this Section 1.4.</w:t>
      </w:r>
    </w:p>
    <w:p>
      <w:pPr>
        <w:spacing w:after="0" w:line="181"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22"/>
          <w:szCs w:val="22"/>
          <w:color w:val="auto"/>
        </w:rPr>
        <w:t>Nominations by stockholders shall be made pursuant to timely notice in writing to the Secretary of the corporation. To be timely, a stockholder’s notice shall be delivered to or mailed and received by the Secretary of the corporation at the principal executive offices of the corporation (i) in the case of an annual meeting, not later than 5:00 p.m. Mountain Standard Time (the “Close of Business”) on the ninetieth (90th) calendar day, nor earlier than the Close of Business on the one hundred and twentieth (120th) calendar day, prior to the first anniversary of the preceding year’s annual meeting; provided, however, that if the date of the annual meeting is advanced more than thirty (30) calendar days prior to, or delayed by more than sixty (60) calendar days after, the anniversary of the preceding year’s annual meeting, notice by the stockholder to be timely must be received by the later of (A) the Close of Business on the ninetieth (90th) calendar day prior to such meeting or (B) the Close of Business on the tenth (10th) calendar day following the earlier of the day on which notice of the date of the meeting was first mailed or public disclosure of the date of the meeting was first made, and (ii) in respect of nominations to be brought before a special meeting, where permitted, notice by the stockholder to be timely must be so delivered by the later of (A) the Close of Business on the ninetieth (90th) calendar day prior to such special meeting or (B) the Close of Business on the tenth (10th) calendar day following the earlier of the day on which notice of the date of the meeting was first mailed or public disclosure of the date of the meeting was first made. The minimum timeliness requirements set forth in the preceding sentence shall apply despite any different timeline described in Rule 14a-19 or elsewhere in Regulation 14A under the Securities Exchange Act of 1934, as amended (the “Exchange Act”), including with respect to any statements or information required to be provided to the corporation pursuant to Rule 14a-19 by a Proposing Person (as defined below) and not otherwise specified herein. In no event will the adjournment or postponement of an annual meeting (or the public announcement thereof) for which notice has already been given, or for which a public announcement of the meeting date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108" w:name="page109"/>
    <w:bookmarkEnd w:id="108"/>
    <w:p>
      <w:pPr>
        <w:ind w:right="560"/>
        <w:spacing w:after="0" w:line="271" w:lineRule="auto"/>
        <w:rPr>
          <w:sz w:val="20"/>
          <w:szCs w:val="20"/>
          <w:color w:val="auto"/>
        </w:rPr>
      </w:pPr>
      <w:r>
        <w:rPr>
          <w:rFonts w:ascii="Times New Roman" w:cs="Times New Roman" w:eastAsia="Times New Roman" w:hAnsi="Times New Roman"/>
          <w:sz w:val="22"/>
          <w:szCs w:val="22"/>
          <w:color w:val="auto"/>
        </w:rPr>
        <w:t>already been made, commence a new notice time period (or extend any notice time period) for the giving of a stockholder’s notice as described above.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Such stockholder’s notice shall set forth:</w:t>
      </w:r>
    </w:p>
    <w:p>
      <w:pPr>
        <w:spacing w:after="0" w:line="233" w:lineRule="exact"/>
        <w:rPr>
          <w:sz w:val="20"/>
          <w:szCs w:val="20"/>
          <w:color w:val="auto"/>
        </w:rPr>
      </w:pPr>
    </w:p>
    <w:p>
      <w:pPr>
        <w:ind w:left="1060" w:hanging="404"/>
        <w:spacing w:after="0"/>
        <w:tabs>
          <w:tab w:leader="none" w:pos="106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each proposed nominee:</w:t>
      </w:r>
    </w:p>
    <w:p>
      <w:pPr>
        <w:spacing w:after="0" w:line="219" w:lineRule="exact"/>
        <w:rPr>
          <w:rFonts w:ascii="Times New Roman" w:cs="Times New Roman" w:eastAsia="Times New Roman" w:hAnsi="Times New Roman"/>
          <w:sz w:val="22"/>
          <w:szCs w:val="22"/>
          <w:color w:val="auto"/>
        </w:rPr>
      </w:pPr>
    </w:p>
    <w:p>
      <w:pPr>
        <w:ind w:left="1820" w:hanging="516"/>
        <w:spacing w:after="0"/>
        <w:tabs>
          <w:tab w:leader="none" w:pos="182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age, business address and residence address of each proposed nominee;</w:t>
      </w:r>
    </w:p>
    <w:p>
      <w:pPr>
        <w:spacing w:after="0" w:line="219" w:lineRule="exact"/>
        <w:rPr>
          <w:rFonts w:ascii="Times New Roman" w:cs="Times New Roman" w:eastAsia="Times New Roman" w:hAnsi="Times New Roman"/>
          <w:sz w:val="22"/>
          <w:szCs w:val="22"/>
          <w:color w:val="auto"/>
        </w:rPr>
      </w:pPr>
    </w:p>
    <w:p>
      <w:pPr>
        <w:ind w:left="1800" w:hanging="496"/>
        <w:spacing w:after="0"/>
        <w:tabs>
          <w:tab w:leader="none" w:pos="180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occupation of each proposed nominee;</w:t>
      </w:r>
    </w:p>
    <w:p>
      <w:pPr>
        <w:spacing w:after="0" w:line="219" w:lineRule="exact"/>
        <w:rPr>
          <w:rFonts w:ascii="Times New Roman" w:cs="Times New Roman" w:eastAsia="Times New Roman" w:hAnsi="Times New Roman"/>
          <w:sz w:val="22"/>
          <w:szCs w:val="22"/>
          <w:color w:val="auto"/>
        </w:rPr>
      </w:pPr>
    </w:p>
    <w:p>
      <w:pPr>
        <w:ind w:right="840" w:firstLine="1304"/>
        <w:spacing w:after="0" w:line="271" w:lineRule="auto"/>
        <w:tabs>
          <w:tab w:leader="none" w:pos="180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that the Proposing Person intends to appear in person or by proxy at the meeting to nominate the person or persons specified in the notice;</w:t>
      </w:r>
    </w:p>
    <w:p>
      <w:pPr>
        <w:spacing w:after="0" w:line="171" w:lineRule="exact"/>
        <w:rPr>
          <w:rFonts w:ascii="Times New Roman" w:cs="Times New Roman" w:eastAsia="Times New Roman" w:hAnsi="Times New Roman"/>
          <w:sz w:val="22"/>
          <w:szCs w:val="22"/>
          <w:color w:val="auto"/>
        </w:rPr>
      </w:pPr>
    </w:p>
    <w:p>
      <w:pPr>
        <w:ind w:left="1820" w:hanging="516"/>
        <w:spacing w:after="0"/>
        <w:tabs>
          <w:tab w:leader="none" w:pos="182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and total number of shares of the corporation that are beneficially owned by each proposed</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nominee (if any);</w:t>
      </w:r>
    </w:p>
    <w:p>
      <w:pPr>
        <w:spacing w:after="0" w:line="195" w:lineRule="exact"/>
        <w:rPr>
          <w:rFonts w:ascii="Times New Roman" w:cs="Times New Roman" w:eastAsia="Times New Roman" w:hAnsi="Times New Roman"/>
          <w:sz w:val="22"/>
          <w:szCs w:val="22"/>
          <w:color w:val="auto"/>
        </w:rPr>
      </w:pPr>
    </w:p>
    <w:p>
      <w:pPr>
        <w:ind w:left="1800" w:hanging="496"/>
        <w:spacing w:after="0"/>
        <w:tabs>
          <w:tab w:leader="none" w:pos="180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total number of shares of the corporation that will be voted by the Proposing Person for each proposed</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nominee;</w:t>
      </w:r>
    </w:p>
    <w:p>
      <w:pPr>
        <w:spacing w:after="0" w:line="195" w:lineRule="exact"/>
        <w:rPr>
          <w:rFonts w:ascii="Times New Roman" w:cs="Times New Roman" w:eastAsia="Times New Roman" w:hAnsi="Times New Roman"/>
          <w:sz w:val="22"/>
          <w:szCs w:val="22"/>
          <w:color w:val="auto"/>
        </w:rPr>
      </w:pPr>
    </w:p>
    <w:p>
      <w:pPr>
        <w:ind w:right="180" w:firstLine="1304"/>
        <w:spacing w:after="0" w:line="265" w:lineRule="auto"/>
        <w:tabs>
          <w:tab w:leader="none" w:pos="1776"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description of all arrangements or understandings between the Proposing Person and each proposed nominee and any other person or persons (naming such person or persons) pursuant to which the nomination or nominations are to be made by the Proposing Person, including without limitation (x) any agreements that would be required to be disclosed pursuant to Item 5 or Item 6 of Schedule 13D under the Exchange Act and (y) any plans or proposals which relate to or would result in any action that would be required to be disclosed pursuant to Item 4 of Schedule 13D under the Exchange Act (in each case, regardless of whether the requirement to file a Schedule 13D under the Exchange Act is applicable);</w:t>
      </w:r>
    </w:p>
    <w:p>
      <w:pPr>
        <w:spacing w:after="0" w:line="168" w:lineRule="exact"/>
        <w:rPr>
          <w:rFonts w:ascii="Times New Roman" w:cs="Times New Roman" w:eastAsia="Times New Roman" w:hAnsi="Times New Roman"/>
          <w:sz w:val="21"/>
          <w:szCs w:val="21"/>
          <w:color w:val="auto"/>
        </w:rPr>
      </w:pPr>
    </w:p>
    <w:p>
      <w:pPr>
        <w:ind w:right="100" w:firstLine="1304"/>
        <w:spacing w:after="0" w:line="284" w:lineRule="auto"/>
        <w:tabs>
          <w:tab w:leader="none" w:pos="1812"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such proposed nominee is a principal, employee or affiliate of the Proposing Person or of any party with whom the Proposing Person is collaborating; and</w:t>
      </w:r>
    </w:p>
    <w:p>
      <w:pPr>
        <w:spacing w:after="0" w:line="143" w:lineRule="exact"/>
        <w:rPr>
          <w:rFonts w:ascii="Times New Roman" w:cs="Times New Roman" w:eastAsia="Times New Roman" w:hAnsi="Times New Roman"/>
          <w:sz w:val="22"/>
          <w:szCs w:val="22"/>
          <w:color w:val="auto"/>
        </w:rPr>
      </w:pPr>
    </w:p>
    <w:p>
      <w:pPr>
        <w:jc w:val="both"/>
        <w:ind w:right="160" w:firstLine="1304"/>
        <w:spacing w:after="0" w:line="268" w:lineRule="auto"/>
        <w:tabs>
          <w:tab w:leader="none" w:pos="1812"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information relating to such proposed nominee that is required to be disclosed in solicitations of proxies for elections of directors, or is otherwise required, in each case pursuant to Regulation 14A under the Exchange Act, applicable listing standards and other applicable law (including such person’s written consent to being named in the proxy statement as a nominee and to serving as a director if elected and including information as to the purpose of such nomination); and</w:t>
      </w:r>
    </w:p>
    <w:p>
      <w:pPr>
        <w:spacing w:after="0" w:line="176" w:lineRule="exact"/>
        <w:rPr>
          <w:rFonts w:ascii="Times New Roman" w:cs="Times New Roman" w:eastAsia="Times New Roman" w:hAnsi="Times New Roman"/>
          <w:sz w:val="21"/>
          <w:szCs w:val="21"/>
          <w:color w:val="auto"/>
        </w:rPr>
      </w:pPr>
    </w:p>
    <w:p>
      <w:pPr>
        <w:ind w:left="1140" w:hanging="484"/>
        <w:spacing w:after="0"/>
        <w:tabs>
          <w:tab w:leader="none" w:pos="114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each Proposing Person:</w:t>
      </w:r>
    </w:p>
    <w:p>
      <w:pPr>
        <w:spacing w:after="0" w:line="219" w:lineRule="exact"/>
        <w:rPr>
          <w:rFonts w:ascii="Times New Roman" w:cs="Times New Roman" w:eastAsia="Times New Roman" w:hAnsi="Times New Roman"/>
          <w:sz w:val="22"/>
          <w:szCs w:val="22"/>
          <w:color w:val="auto"/>
        </w:rPr>
      </w:pPr>
    </w:p>
    <w:p>
      <w:pPr>
        <w:ind w:right="80" w:firstLine="1304"/>
        <w:spacing w:after="0" w:line="271" w:lineRule="auto"/>
        <w:tabs>
          <w:tab w:leader="none" w:pos="1812"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and address of the Proposing Person, including, if applicable, the name and address as they appear on the corporation’s books;</w:t>
      </w:r>
    </w:p>
    <w:p>
      <w:pPr>
        <w:spacing w:after="0" w:line="157" w:lineRule="exact"/>
        <w:rPr>
          <w:rFonts w:ascii="Times New Roman" w:cs="Times New Roman" w:eastAsia="Times New Roman" w:hAnsi="Times New Roman"/>
          <w:sz w:val="22"/>
          <w:szCs w:val="22"/>
          <w:color w:val="auto"/>
        </w:rPr>
      </w:pPr>
    </w:p>
    <w:p>
      <w:pPr>
        <w:ind w:right="660" w:firstLine="1304"/>
        <w:spacing w:after="0" w:line="271" w:lineRule="auto"/>
        <w:tabs>
          <w:tab w:leader="none" w:pos="180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and number of shares of the corporation which are, directly or indirectly, owned of record or beneficially owned by such Proposing Person. Solely for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109" w:name="page110"/>
    <w:bookmarkEnd w:id="109"/>
    <w:p>
      <w:pPr>
        <w:ind w:right="40"/>
        <w:spacing w:after="0" w:line="250" w:lineRule="auto"/>
        <w:rPr>
          <w:sz w:val="20"/>
          <w:szCs w:val="20"/>
          <w:color w:val="auto"/>
        </w:rPr>
      </w:pPr>
      <w:r>
        <w:rPr>
          <w:rFonts w:ascii="Times New Roman" w:cs="Times New Roman" w:eastAsia="Times New Roman" w:hAnsi="Times New Roman"/>
          <w:sz w:val="22"/>
          <w:szCs w:val="22"/>
          <w:color w:val="auto"/>
        </w:rPr>
        <w:t>of this clause (ii)(B), shares shall be treated as “beneficially owned” by a person if the person beneficially owns such shares, directly or indirectly, for purposes of Section 13(d) of the Exchange Act and Regulations 13D and 13G thereunder or has or shares pursuant to any agreement, arrangement or understanding (whether or not in writing): (w) the right to acquire such shares (whether such right is exercisable immediately or only after the passage of time or the fulfillment of a condition or both), (x) the right to vote or direct the voting of such shares, alone or in concert with others, (y) investment power with respect to such shares, including the power to dispose of, or to direct the disposition of, such shares, and/or (z) an economic or pecuniary interest in such shares;</w:t>
      </w:r>
    </w:p>
    <w:p>
      <w:pPr>
        <w:spacing w:after="0" w:line="180" w:lineRule="exact"/>
        <w:rPr>
          <w:sz w:val="20"/>
          <w:szCs w:val="20"/>
          <w:color w:val="auto"/>
        </w:rPr>
      </w:pPr>
    </w:p>
    <w:p>
      <w:pPr>
        <w:ind w:right="60" w:firstLine="1304"/>
        <w:spacing w:after="0" w:line="251" w:lineRule="auto"/>
        <w:tabs>
          <w:tab w:leader="none" w:pos="18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the full notional amount of any securities that, directly or indirectly, underlie any “derivative security” (as such term is defined in Rule 16a-1(c) under the Exchange Act) that constitutes a “call equivalent position” (as such term is defined in Rule 16a-1(b) under the Exchange Act) and that is, directly or indirectly, held or maintained by such Proposing Person with respect to any shares of any class or series of shares of the corporation, and (y) any other direct or indirect opportunity to profit or share in any profit derived from any increase or decrease in the value of shares of the corporation held or maintained by such Proposing Person;</w:t>
      </w:r>
    </w:p>
    <w:p>
      <w:pPr>
        <w:spacing w:after="0" w:line="181" w:lineRule="exact"/>
        <w:rPr>
          <w:rFonts w:ascii="Times New Roman" w:cs="Times New Roman" w:eastAsia="Times New Roman" w:hAnsi="Times New Roman"/>
          <w:sz w:val="22"/>
          <w:szCs w:val="22"/>
          <w:color w:val="auto"/>
        </w:rPr>
      </w:pPr>
    </w:p>
    <w:p>
      <w:pPr>
        <w:ind w:right="260" w:firstLine="1304"/>
        <w:spacing w:after="0" w:line="284" w:lineRule="auto"/>
        <w:tabs>
          <w:tab w:leader="none" w:pos="1812"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pending or threatened legal proceeding in which such Proposing Person is a party or material participant involving the corporation or any of its officers or directors, or any affiliate of the corporation;</w:t>
      </w:r>
    </w:p>
    <w:p>
      <w:pPr>
        <w:spacing w:after="0" w:line="143" w:lineRule="exact"/>
        <w:rPr>
          <w:rFonts w:ascii="Times New Roman" w:cs="Times New Roman" w:eastAsia="Times New Roman" w:hAnsi="Times New Roman"/>
          <w:sz w:val="22"/>
          <w:szCs w:val="22"/>
          <w:color w:val="auto"/>
        </w:rPr>
      </w:pPr>
    </w:p>
    <w:p>
      <w:pPr>
        <w:ind w:right="140" w:firstLine="1304"/>
        <w:spacing w:after="0" w:line="271" w:lineRule="auto"/>
        <w:tabs>
          <w:tab w:leader="none" w:pos="178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material relationship between such Proposing Person, on the one hand, and the corporation or any affiliate of the corporation, on the other hand;</w:t>
      </w:r>
    </w:p>
    <w:p>
      <w:pPr>
        <w:spacing w:after="0" w:line="157" w:lineRule="exact"/>
        <w:rPr>
          <w:rFonts w:ascii="Times New Roman" w:cs="Times New Roman" w:eastAsia="Times New Roman" w:hAnsi="Times New Roman"/>
          <w:sz w:val="22"/>
          <w:szCs w:val="22"/>
          <w:color w:val="auto"/>
        </w:rPr>
      </w:pPr>
    </w:p>
    <w:p>
      <w:pPr>
        <w:ind w:right="100" w:firstLine="1304"/>
        <w:spacing w:after="0" w:line="263" w:lineRule="auto"/>
        <w:tabs>
          <w:tab w:leader="none" w:pos="177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direct or indirect material interest in any material contract or agreement of such Proposing Person with the corporation or any affiliate of the corporation (including, in any such case, any employment agreement, collective bargaining agreement or consulting agreement);</w:t>
      </w:r>
    </w:p>
    <w:p>
      <w:pPr>
        <w:spacing w:after="0" w:line="167" w:lineRule="exact"/>
        <w:rPr>
          <w:rFonts w:ascii="Times New Roman" w:cs="Times New Roman" w:eastAsia="Times New Roman" w:hAnsi="Times New Roman"/>
          <w:sz w:val="22"/>
          <w:szCs w:val="22"/>
          <w:color w:val="auto"/>
        </w:rPr>
      </w:pPr>
    </w:p>
    <w:p>
      <w:pPr>
        <w:ind w:right="60" w:firstLine="1304"/>
        <w:spacing w:after="0" w:line="252" w:lineRule="auto"/>
        <w:tabs>
          <w:tab w:leader="none" w:pos="1812"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that such Proposing Person intends or is part of a group that intends (x) to deliver a proxy statement or form of proxy to holders of at least the percentage of the corporation’s outstanding capital stock required to elect the nominee or (y) otherwise to solicit the stockholders of shares representing at least 67% of the voting power of shares entitled to vote on the election of directors in support of director nominees other than the nominees of the Board of Directors;</w:t>
      </w:r>
    </w:p>
    <w:p>
      <w:pPr>
        <w:spacing w:after="0" w:line="192" w:lineRule="exact"/>
        <w:rPr>
          <w:rFonts w:ascii="Times New Roman" w:cs="Times New Roman" w:eastAsia="Times New Roman" w:hAnsi="Times New Roman"/>
          <w:sz w:val="22"/>
          <w:szCs w:val="22"/>
          <w:color w:val="auto"/>
        </w:rPr>
      </w:pPr>
    </w:p>
    <w:p>
      <w:pPr>
        <w:ind w:right="300" w:firstLine="1304"/>
        <w:spacing w:after="0" w:line="271" w:lineRule="auto"/>
        <w:tabs>
          <w:tab w:leader="none" w:pos="1812"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proxy, contract, arrangement, understanding or relationship pursuant to which such Proposing Person has a right to vote any security of the corporation or has granted any such right to any person or persons;</w:t>
      </w:r>
    </w:p>
    <w:p>
      <w:pPr>
        <w:spacing w:after="0" w:line="157" w:lineRule="exact"/>
        <w:rPr>
          <w:rFonts w:ascii="Times New Roman" w:cs="Times New Roman" w:eastAsia="Times New Roman" w:hAnsi="Times New Roman"/>
          <w:sz w:val="22"/>
          <w:szCs w:val="22"/>
          <w:color w:val="auto"/>
        </w:rPr>
      </w:pPr>
    </w:p>
    <w:p>
      <w:pPr>
        <w:ind w:right="60" w:firstLine="1304"/>
        <w:spacing w:after="0" w:line="252" w:lineRule="auto"/>
        <w:tabs>
          <w:tab w:leader="none" w:pos="172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short interest in any security of the corporation (for purposes of these Bylaws,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110" w:name="page111"/>
    <w:bookmarkEnd w:id="110"/>
    <w:p>
      <w:pPr>
        <w:ind w:right="40" w:firstLine="1304"/>
        <w:spacing w:after="0" w:line="271" w:lineRule="auto"/>
        <w:tabs>
          <w:tab w:leader="none" w:pos="174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rights to dividends on the shares of the corporation owned beneficially by such Proposing Person that are separated or separable from the underlying shares of the corporation;</w:t>
      </w:r>
    </w:p>
    <w:p>
      <w:pPr>
        <w:spacing w:after="0" w:line="157" w:lineRule="exact"/>
        <w:rPr>
          <w:rFonts w:ascii="Times New Roman" w:cs="Times New Roman" w:eastAsia="Times New Roman" w:hAnsi="Times New Roman"/>
          <w:sz w:val="22"/>
          <w:szCs w:val="22"/>
          <w:color w:val="auto"/>
        </w:rPr>
      </w:pPr>
    </w:p>
    <w:p>
      <w:pPr>
        <w:ind w:right="220" w:firstLine="1304"/>
        <w:spacing w:after="0" w:line="263" w:lineRule="auto"/>
        <w:tabs>
          <w:tab w:leader="none" w:pos="1812"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proportionate interest in shares of the corporation or derivative instruments held, directly or indirectly, by a general or limited partnership in which such Proposing Person is a general partner or, directly or indirectly, beneficially owns an interest in a general partner;</w:t>
      </w:r>
    </w:p>
    <w:p>
      <w:pPr>
        <w:spacing w:after="0" w:line="167" w:lineRule="exact"/>
        <w:rPr>
          <w:rFonts w:ascii="Times New Roman" w:cs="Times New Roman" w:eastAsia="Times New Roman" w:hAnsi="Times New Roman"/>
          <w:sz w:val="22"/>
          <w:szCs w:val="22"/>
          <w:color w:val="auto"/>
        </w:rPr>
      </w:pPr>
    </w:p>
    <w:p>
      <w:pPr>
        <w:ind w:right="180" w:firstLine="1304"/>
        <w:spacing w:after="0" w:line="256" w:lineRule="auto"/>
        <w:tabs>
          <w:tab w:leader="none" w:pos="178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performance-related fees (other than an asset-based fee) that such Proposing Person is entitled to based on any increase or decrease in the value of shares of the corporation or derivative instruments, if any, as of the date of such notice, including, without limitation, any such interests held by members of such Proposing Person’s immediate family sharing the same household;</w:t>
      </w:r>
    </w:p>
    <w:p>
      <w:pPr>
        <w:spacing w:after="0" w:line="176" w:lineRule="exact"/>
        <w:rPr>
          <w:rFonts w:ascii="Times New Roman" w:cs="Times New Roman" w:eastAsia="Times New Roman" w:hAnsi="Times New Roman"/>
          <w:sz w:val="22"/>
          <w:szCs w:val="22"/>
          <w:color w:val="auto"/>
        </w:rPr>
      </w:pPr>
    </w:p>
    <w:p>
      <w:pPr>
        <w:jc w:val="both"/>
        <w:ind w:right="20" w:firstLine="1304"/>
        <w:spacing w:after="0" w:line="252" w:lineRule="auto"/>
        <w:tabs>
          <w:tab w:leader="none" w:pos="184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details of any position of such Proposing Person as an officer or director of any competitor (for purposes of these Bylaws, a competitor shall be any entity that produces products or provides services that compete with or are alternatives to the principal products produced or services provided by the corporation or any of its affiliates) of the corporation, within the three years preceding the submission of the notice;</w:t>
      </w:r>
    </w:p>
    <w:p>
      <w:pPr>
        <w:spacing w:after="0" w:line="179" w:lineRule="exact"/>
        <w:rPr>
          <w:rFonts w:ascii="Times New Roman" w:cs="Times New Roman" w:eastAsia="Times New Roman" w:hAnsi="Times New Roman"/>
          <w:sz w:val="22"/>
          <w:szCs w:val="22"/>
          <w:color w:val="auto"/>
        </w:rPr>
      </w:pPr>
    </w:p>
    <w:p>
      <w:pPr>
        <w:jc w:val="both"/>
        <w:ind w:right="100" w:firstLine="1304"/>
        <w:spacing w:after="0" w:line="256" w:lineRule="auto"/>
        <w:tabs>
          <w:tab w:leader="none" w:pos="1812"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names and addresses of other stockholders (including beneficial and record owners and Control Persons (as defined below)) known by the Proposing Person to support financially the nomination, and to the extent known, the class and number of shares of the corporation owned beneficially or of record by such other stockholders (including beneficial and record owners and Control Persons); and</w:t>
      </w:r>
    </w:p>
    <w:p>
      <w:pPr>
        <w:spacing w:after="0" w:line="176" w:lineRule="exact"/>
        <w:rPr>
          <w:rFonts w:ascii="Times New Roman" w:cs="Times New Roman" w:eastAsia="Times New Roman" w:hAnsi="Times New Roman"/>
          <w:sz w:val="22"/>
          <w:szCs w:val="22"/>
          <w:color w:val="auto"/>
        </w:rPr>
      </w:pPr>
    </w:p>
    <w:p>
      <w:pPr>
        <w:ind w:right="140" w:firstLine="1304"/>
        <w:spacing w:after="0" w:line="263" w:lineRule="auto"/>
        <w:tabs>
          <w:tab w:leader="none" w:pos="1812"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information relating to such Proposing Person that would be required to be disclosed in a proxy statement or other filing required to be made in connection with solicitations of proxies or consents by such Proposing Person in support of such nomination pursuant to Regulation 14A of the Exchange Act;</w:t>
      </w:r>
    </w:p>
    <w:p>
      <w:pPr>
        <w:spacing w:after="0" w:line="167"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2"/>
          <w:szCs w:val="22"/>
          <w:color w:val="auto"/>
        </w:rPr>
        <w:t>provided, however, that the foregoing items (ii)(A) through (ii)(O) shall not include any such disclosures with respect to the ordinary course business activities of any broker, dealer, commercial bank, trust company or other nominator who is a Proposing Person solely as a result of being the stockholder directed to prepare and submit the notice required by this Section 1.4 on behalf of a beneficial owner. In no event may a Proposing Person provide notice pursuant to this Section 1.4 with respect to a greater number of director candidates than are subject to election by stockholders at the applicable meeting. At the request of the Board of Directors, any person nominated by a Proposing Person for election as a director shall furnish to the Secretary of the corporation that information required to be set forth in a stockholder’s notice of nomination which pertains to the nominee. The corporation may request any proposed nominee to furnish such other information as may reasonably be required by the corporation to determine the qualifications of the proposed nominee to serve as a director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111" w:name="page112"/>
    <w:bookmarkEnd w:id="111"/>
    <w:p>
      <w:pPr>
        <w:ind w:right="120" w:firstLine="648"/>
        <w:spacing w:after="0" w:line="253" w:lineRule="auto"/>
        <w:rPr>
          <w:sz w:val="20"/>
          <w:szCs w:val="20"/>
          <w:color w:val="auto"/>
        </w:rPr>
      </w:pPr>
      <w:r>
        <w:rPr>
          <w:rFonts w:ascii="Times New Roman" w:cs="Times New Roman" w:eastAsia="Times New Roman" w:hAnsi="Times New Roman"/>
          <w:sz w:val="22"/>
          <w:szCs w:val="22"/>
          <w:color w:val="auto"/>
        </w:rPr>
        <w:t>For purposes of these Bylaws, “Proposing Person” shall mean, with respect to any notice provided under this Section 1.4 or Section 1.5 of these Bylaws, (i) any stockholder of the corporation giving such notice, (ii) each beneficial owner, if any, on whose behalf the nomination or proposal, as applicable, is made and (iii) if any such stockholder or beneficial owner is an entity, each director, executive officer, managing member, or control person of such entity (any such individual or control person, a “Control Person”).</w:t>
      </w:r>
    </w:p>
    <w:p>
      <w:pPr>
        <w:spacing w:after="0" w:line="179" w:lineRule="exact"/>
        <w:rPr>
          <w:sz w:val="20"/>
          <w:szCs w:val="20"/>
          <w:color w:val="auto"/>
        </w:rPr>
      </w:pPr>
    </w:p>
    <w:p>
      <w:pPr>
        <w:ind w:right="460" w:firstLine="648"/>
        <w:spacing w:after="0" w:line="271" w:lineRule="auto"/>
        <w:rPr>
          <w:sz w:val="20"/>
          <w:szCs w:val="20"/>
          <w:color w:val="auto"/>
        </w:rPr>
      </w:pPr>
      <w:r>
        <w:rPr>
          <w:rFonts w:ascii="Times New Roman" w:cs="Times New Roman" w:eastAsia="Times New Roman" w:hAnsi="Times New Roman"/>
          <w:sz w:val="22"/>
          <w:szCs w:val="22"/>
          <w:color w:val="auto"/>
        </w:rPr>
        <w:t>For purposes of this Section 1.4 and Section 1.5 of these Bylaws, the term “affiliate” shall have the meaning ascribed thereto in the regulations promulgated under the Exchange Act.</w:t>
      </w:r>
    </w:p>
    <w:p>
      <w:pPr>
        <w:spacing w:after="0" w:line="158" w:lineRule="exact"/>
        <w:rPr>
          <w:sz w:val="20"/>
          <w:szCs w:val="20"/>
          <w:color w:val="auto"/>
        </w:rPr>
      </w:pPr>
    </w:p>
    <w:p>
      <w:pPr>
        <w:ind w:right="120" w:firstLine="648"/>
        <w:spacing w:after="0" w:line="263" w:lineRule="auto"/>
        <w:rPr>
          <w:sz w:val="20"/>
          <w:szCs w:val="20"/>
          <w:color w:val="auto"/>
        </w:rPr>
      </w:pPr>
      <w:r>
        <w:rPr>
          <w:rFonts w:ascii="Times New Roman" w:cs="Times New Roman" w:eastAsia="Times New Roman" w:hAnsi="Times New Roman"/>
          <w:sz w:val="22"/>
          <w:szCs w:val="22"/>
          <w:color w:val="auto"/>
        </w:rPr>
        <w:t>Except as otherwise expressly provided herein, for purposes of this Section 1.4 and Section 1.5 of these Bylaws, the term “beneficial owner” shall have the meaning ascribed in Section 13(d) of the Exchange Act and Regulations 13D and 13G thereunder.</w:t>
      </w:r>
    </w:p>
    <w:p>
      <w:pPr>
        <w:spacing w:after="0" w:line="167"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2"/>
          <w:szCs w:val="22"/>
          <w:color w:val="auto"/>
        </w:rPr>
        <w:t>A Proposing Person providing notice of any nomination proposed to be made at a meeting shall further update and supplement such notice, if necessary, so that the information provided or required to be provided in such notice pursuant to this Section 1.4 shall be true and correct as of the record date for stockholders entitled to vote at the meeting and as of the date that is ten (10) business days prior to the meeting or any adjournment or postponement thereof, and such update and supplement shall be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w:t>
      </w:r>
    </w:p>
    <w:p>
      <w:pPr>
        <w:spacing w:after="0" w:line="183"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21"/>
          <w:szCs w:val="21"/>
          <w:color w:val="auto"/>
        </w:rPr>
        <w:t>No person shall be eligible to serve as a director of the corporation unless nominated in accordance with the procedures set forth in this Section 1.4. The Chairman of the meeting shall, if the facts warrant, determine and declare to the meeting that a nomination was not made in accordance with the procedures prescribed by this Section 1.4, and if the Chairman of the meeting should so determine, shall so declare to the meeting and the defective nomination shall be disregarded. Any such decision by the Chairman of the meeting shall be final, binding and conclusive upon all parties in interest.</w:t>
      </w:r>
    </w:p>
    <w:p>
      <w:pPr>
        <w:spacing w:after="0" w:line="164" w:lineRule="exact"/>
        <w:rPr>
          <w:sz w:val="20"/>
          <w:szCs w:val="20"/>
          <w:color w:val="auto"/>
        </w:rPr>
      </w:pPr>
    </w:p>
    <w:p>
      <w:pPr>
        <w:ind w:right="100" w:firstLine="648"/>
        <w:spacing w:after="0" w:line="249" w:lineRule="auto"/>
        <w:rPr>
          <w:sz w:val="20"/>
          <w:szCs w:val="20"/>
          <w:color w:val="auto"/>
        </w:rPr>
      </w:pPr>
      <w:r>
        <w:rPr>
          <w:rFonts w:ascii="Times New Roman" w:cs="Times New Roman" w:eastAsia="Times New Roman" w:hAnsi="Times New Roman"/>
          <w:sz w:val="22"/>
          <w:szCs w:val="22"/>
          <w:color w:val="auto"/>
        </w:rPr>
        <w:t>In addition to the foregoing provisions of this Section 1.4, a Proposing Person shall also comply with and shall be subject to all applicable requirements and provisions of the Exchange Act, and the rules and regulations thereunder, applicable listing standards and other applicable law, with respect to the matters set forth in this Section 1.4. If requested by the corporation, the Proposing Person must furnish to the Secretary no later than five (5) business days before the relevant meeting, or any adjournment, recess, rescheduling or postponement thereof, credible proof that such Proposing Person has satisfied the requirements of Rule 14a-19 of the Exchange Act. Notwithstanding anything in these Bylaws to the contrary, and unless otherwise required by law, if any Proposing Person (i) provides notice pursuant to Rule 14a-19(b) under the Exchange Act and (ii) subsequently fails to comply with the requirements of Rule 14a-19(a)(2) and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112" w:name="page113"/>
    <w:bookmarkEnd w:id="112"/>
    <w:p>
      <w:pPr>
        <w:ind w:right="120"/>
        <w:spacing w:after="0" w:line="257" w:lineRule="auto"/>
        <w:rPr>
          <w:sz w:val="20"/>
          <w:szCs w:val="20"/>
          <w:color w:val="auto"/>
        </w:rPr>
      </w:pPr>
      <w:r>
        <w:rPr>
          <w:rFonts w:ascii="Times New Roman" w:cs="Times New Roman" w:eastAsia="Times New Roman" w:hAnsi="Times New Roman"/>
          <w:sz w:val="22"/>
          <w:szCs w:val="22"/>
          <w:color w:val="auto"/>
        </w:rPr>
        <w:t>14a-19(a)(3) under the Exchange Act (or fails to timely provide credible proof that such stockholder has met the requirements of Rule 14a-19(a)(3) under the Exchange Act in accordance with the preceding sentence), then the nomination of each of the director nominees proposed by such Proposing Person shall be disregarded.</w:t>
      </w:r>
    </w:p>
    <w:p>
      <w:pPr>
        <w:spacing w:after="0" w:line="18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1"/>
          <w:szCs w:val="21"/>
          <w:u w:val="single" w:color="auto"/>
          <w:color w:val="auto"/>
        </w:rPr>
        <w:t>NOTICE OF STOCKHOLDER BUSINESS</w:t>
      </w:r>
    </w:p>
    <w:p>
      <w:pPr>
        <w:spacing w:after="0" w:line="220" w:lineRule="exact"/>
        <w:rPr>
          <w:sz w:val="20"/>
          <w:szCs w:val="20"/>
          <w:color w:val="auto"/>
        </w:rPr>
      </w:pPr>
    </w:p>
    <w:p>
      <w:pPr>
        <w:ind w:right="200" w:firstLine="648"/>
        <w:spacing w:after="0" w:line="253" w:lineRule="auto"/>
        <w:rPr>
          <w:sz w:val="20"/>
          <w:szCs w:val="20"/>
          <w:color w:val="auto"/>
        </w:rPr>
      </w:pPr>
      <w:r>
        <w:rPr>
          <w:rFonts w:ascii="Times New Roman" w:cs="Times New Roman" w:eastAsia="Times New Roman" w:hAnsi="Times New Roman"/>
          <w:sz w:val="22"/>
          <w:szCs w:val="22"/>
          <w:color w:val="auto"/>
        </w:rPr>
        <w:t>At an annual or special meeting of the stockholders, only such business shall be conducted as shall have been brought before the meeting (i) pursuant to the corporation’s notice of meeting, (ii) by or at the direction of the Board of Directors or (iii) as to an annual meeting, by any stockholder of the corporation who is a stockholder of record both at the time of giving of the notice provided for in this Section 1.5 and at the time of the meeting, who is entitled to vote at such meeting and who complies with the notice procedures set forth in this Section 1.5.</w:t>
      </w:r>
    </w:p>
    <w:p>
      <w:pPr>
        <w:spacing w:after="0" w:line="17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21"/>
          <w:szCs w:val="21"/>
          <w:color w:val="auto"/>
        </w:rPr>
        <w:t>For business other than director nominations (which are governed by Section 1.4 of these Bylaws) to be properly brought before an annual meeting by a stockholder pursuant to clause (iii) of the immediately preceding paragraph of this Section 1.5, the stockholder must have given timely notice thereof in writing to the Secretary of the corporation even if such matter is already the subject of any notice to the stockholders, and any such proposed business must constitute a proper matter for stockholder action. To be timely, a stockholder’s notice shall be delivered to or mailed and received at the principal executive offices of the corporation not later than the Close of Business on the ninetieth (90th) calendar day, nor earlier than the Close of Business on the one hundred and twentieth (120th) calendar day, prior to the first anniversary of the preceding year’s annual meeting; provided, however, that if the date of the annual meeting is advanced more than thirty (30) calendar days prior to, or delayed by more than sixty (60) calendar days after, the first anniversary of the preceding year’s annual meeting, notice by the stockholder to be timely must be so delivered not later than the Close of Business on the tenth (10th) calendar day following the earlier of the day on which notice of the date of the meeting was first mailed or public disclosure of the date of the meeting was first made. In no event will the adjournment or postponement of an annual meeting (or the public announcement thereof) for which notice has already been given or for which a public announcement of the meeting date has already been made, commence a new notice time period (or extend any notice time period) for the giving of a stockholder’s notice as described above.</w:t>
      </w:r>
    </w:p>
    <w:p>
      <w:pPr>
        <w:spacing w:after="0" w:line="172" w:lineRule="exact"/>
        <w:rPr>
          <w:sz w:val="20"/>
          <w:szCs w:val="20"/>
          <w:color w:val="auto"/>
        </w:rPr>
      </w:pPr>
    </w:p>
    <w:p>
      <w:pPr>
        <w:ind w:right="560" w:firstLine="648"/>
        <w:spacing w:after="0" w:line="284" w:lineRule="auto"/>
        <w:rPr>
          <w:sz w:val="20"/>
          <w:szCs w:val="20"/>
          <w:color w:val="auto"/>
        </w:rPr>
      </w:pPr>
      <w:r>
        <w:rPr>
          <w:rFonts w:ascii="Times New Roman" w:cs="Times New Roman" w:eastAsia="Times New Roman" w:hAnsi="Times New Roman"/>
          <w:sz w:val="22"/>
          <w:szCs w:val="22"/>
          <w:color w:val="auto"/>
        </w:rPr>
        <w:t>A stockholder’s notice to the Secretary shall set forth, as to each matter the stockholder proposes to bring before the meeting:</w:t>
      </w:r>
    </w:p>
    <w:p>
      <w:pPr>
        <w:spacing w:after="0" w:line="144" w:lineRule="exact"/>
        <w:rPr>
          <w:sz w:val="20"/>
          <w:szCs w:val="20"/>
          <w:color w:val="auto"/>
        </w:rPr>
      </w:pPr>
    </w:p>
    <w:p>
      <w:pPr>
        <w:ind w:right="360" w:firstLine="656"/>
        <w:spacing w:after="0" w:line="252" w:lineRule="auto"/>
        <w:tabs>
          <w:tab w:leader="none" w:pos="106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brief description of the business desired to be brought before the meeting and the reasons for conducting such business at the meeting, and if a specific action is to be proposed, the text of the resolution or resolutions that the stockholder proposes that the corporation adopt (including, in the event that such business includes a proposal to amend these Bylaws, the language of the proposed amendment);</w:t>
      </w:r>
    </w:p>
    <w:p>
      <w:pPr>
        <w:spacing w:after="0" w:line="179"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total number of shares of the corporation that will be voted by the notifying stockholder for such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113" w:name="page114"/>
    <w:bookmarkEnd w:id="113"/>
    <w:p>
      <w:pPr>
        <w:ind w:firstLine="656"/>
        <w:spacing w:after="0" w:line="271" w:lineRule="auto"/>
        <w:tabs>
          <w:tab w:leader="none" w:pos="118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that the notifying stockholder intends to appear in person or by proxy at the meeting to bring before the meeting the business specified in the notice; and</w:t>
      </w:r>
    </w:p>
    <w:p>
      <w:pPr>
        <w:spacing w:after="0" w:line="157"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each Proposing Person:</w:t>
      </w:r>
    </w:p>
    <w:p>
      <w:pPr>
        <w:spacing w:after="0" w:line="233" w:lineRule="exact"/>
        <w:rPr>
          <w:rFonts w:ascii="Times New Roman" w:cs="Times New Roman" w:eastAsia="Times New Roman" w:hAnsi="Times New Roman"/>
          <w:sz w:val="22"/>
          <w:szCs w:val="22"/>
          <w:color w:val="auto"/>
        </w:rPr>
      </w:pPr>
    </w:p>
    <w:p>
      <w:pPr>
        <w:ind w:right="80" w:firstLine="1304"/>
        <w:spacing w:after="0" w:line="271" w:lineRule="auto"/>
        <w:tabs>
          <w:tab w:leader="none" w:pos="1812"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and address of the Proposing Person, including, if applicable, the name and address as they appear on the corporation’s books;</w:t>
      </w:r>
    </w:p>
    <w:p>
      <w:pPr>
        <w:spacing w:after="0" w:line="157" w:lineRule="exact"/>
        <w:rPr>
          <w:rFonts w:ascii="Times New Roman" w:cs="Times New Roman" w:eastAsia="Times New Roman" w:hAnsi="Times New Roman"/>
          <w:sz w:val="22"/>
          <w:szCs w:val="22"/>
          <w:color w:val="auto"/>
        </w:rPr>
      </w:pPr>
    </w:p>
    <w:p>
      <w:pPr>
        <w:ind w:right="180" w:firstLine="1304"/>
        <w:spacing w:after="0" w:line="262" w:lineRule="auto"/>
        <w:tabs>
          <w:tab w:leader="none" w:pos="1800"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class and number of shares of the corporation which are, directly or indirectly, owned of record or beneficially owned by such Proposing Person. Solely for purposes of this clause (iv)(B), shares shall be treated as “beneficially owned” by a person if the person beneficially owns such shares, directly or indirectly, for purposes of Section 13(d) of the Exchange Act and Regulations 13D and 13G thereunder or has or shares pursuant to any agreement, arrangement or understanding (whether or not in writing): (w) the right to acquire such shares (whether such right is exercisable immediately or only after the passage of time or the fulfillment of a condition or both), (x) the right to vote or direct the voting of such shares, alone or in concert with others, (y) investment power with respect to such shares, including the power to dispose of, or to direct the disposition of, such shares, and/or (z) an economic or pecuniary interest in such shares;</w:t>
      </w:r>
    </w:p>
    <w:p>
      <w:pPr>
        <w:spacing w:after="0" w:line="172" w:lineRule="exact"/>
        <w:rPr>
          <w:rFonts w:ascii="Times New Roman" w:cs="Times New Roman" w:eastAsia="Times New Roman" w:hAnsi="Times New Roman"/>
          <w:sz w:val="21"/>
          <w:szCs w:val="21"/>
          <w:color w:val="auto"/>
        </w:rPr>
      </w:pPr>
    </w:p>
    <w:p>
      <w:pPr>
        <w:ind w:right="60" w:firstLine="1304"/>
        <w:spacing w:after="0" w:line="251" w:lineRule="auto"/>
        <w:tabs>
          <w:tab w:leader="none" w:pos="180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the full notional amount of any securities that, directly or indirectly, underlie any “derivative security” (as such term is defined in Rule 16a-1(c) under the Exchange Act) that constitutes a “call equivalent position” (as such term is defined in Rule 16a-1(b) under the Exchange Act) and that is, directly or indirectly, held or maintained by such Proposing Person with respect to any shares of any class or series of shares of the corporation, and (y) any other direct or indirect opportunity to profit or share in any profit derived from any increase or decrease in the value of shares of the corporation held or maintained by such Proposing Person;</w:t>
      </w:r>
    </w:p>
    <w:p>
      <w:pPr>
        <w:spacing w:after="0" w:line="194" w:lineRule="exact"/>
        <w:rPr>
          <w:rFonts w:ascii="Times New Roman" w:cs="Times New Roman" w:eastAsia="Times New Roman" w:hAnsi="Times New Roman"/>
          <w:sz w:val="22"/>
          <w:szCs w:val="22"/>
          <w:color w:val="auto"/>
        </w:rPr>
      </w:pPr>
    </w:p>
    <w:p>
      <w:pPr>
        <w:ind w:right="260" w:firstLine="1304"/>
        <w:spacing w:after="0" w:line="271" w:lineRule="auto"/>
        <w:tabs>
          <w:tab w:leader="none" w:pos="1812"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pending or threatened legal proceeding in which such Proposing Person is a party or material participant involving the corporation or any of its officers or directors, or any affiliate of the corporation;</w:t>
      </w:r>
    </w:p>
    <w:p>
      <w:pPr>
        <w:spacing w:after="0" w:line="157" w:lineRule="exact"/>
        <w:rPr>
          <w:rFonts w:ascii="Times New Roman" w:cs="Times New Roman" w:eastAsia="Times New Roman" w:hAnsi="Times New Roman"/>
          <w:sz w:val="22"/>
          <w:szCs w:val="22"/>
          <w:color w:val="auto"/>
        </w:rPr>
      </w:pPr>
    </w:p>
    <w:p>
      <w:pPr>
        <w:ind w:right="140" w:firstLine="1304"/>
        <w:spacing w:after="0" w:line="271" w:lineRule="auto"/>
        <w:tabs>
          <w:tab w:leader="none" w:pos="1788"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material relationship between such Proposing Person, on the one hand, and the corporation or any affiliate of the corporation, on the other hand;</w:t>
      </w:r>
    </w:p>
    <w:p>
      <w:pPr>
        <w:spacing w:after="0" w:line="157" w:lineRule="exact"/>
        <w:rPr>
          <w:rFonts w:ascii="Times New Roman" w:cs="Times New Roman" w:eastAsia="Times New Roman" w:hAnsi="Times New Roman"/>
          <w:sz w:val="22"/>
          <w:szCs w:val="22"/>
          <w:color w:val="auto"/>
        </w:rPr>
      </w:pPr>
    </w:p>
    <w:p>
      <w:pPr>
        <w:ind w:right="100" w:firstLine="1304"/>
        <w:spacing w:after="0" w:line="263" w:lineRule="auto"/>
        <w:tabs>
          <w:tab w:leader="none" w:pos="1776"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direct or indirect material interest in any material contract or agreement of such Proposing Person with the corporation or any affiliate of the corporation (including, in any such case, any employment agreement, collective bargaining agreement or consulting agreement);</w:t>
      </w:r>
    </w:p>
    <w:p>
      <w:pPr>
        <w:spacing w:after="0" w:line="167" w:lineRule="exact"/>
        <w:rPr>
          <w:rFonts w:ascii="Times New Roman" w:cs="Times New Roman" w:eastAsia="Times New Roman" w:hAnsi="Times New Roman"/>
          <w:sz w:val="22"/>
          <w:szCs w:val="22"/>
          <w:color w:val="auto"/>
        </w:rPr>
      </w:pPr>
    </w:p>
    <w:p>
      <w:pPr>
        <w:ind w:right="300" w:firstLine="1304"/>
        <w:spacing w:after="0" w:line="295" w:lineRule="auto"/>
        <w:tabs>
          <w:tab w:leader="none" w:pos="1812"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proxy, contract, arrangement, understanding or relationship pursuant to which such Proposing Person has a right to vote any shares of any security of the corporation or has granted any such right to any person or persons;</w:t>
      </w:r>
    </w:p>
    <w:p>
      <w:pPr>
        <w:spacing w:after="0" w:line="135" w:lineRule="exact"/>
        <w:rPr>
          <w:rFonts w:ascii="Times New Roman" w:cs="Times New Roman" w:eastAsia="Times New Roman" w:hAnsi="Times New Roman"/>
          <w:sz w:val="21"/>
          <w:szCs w:val="21"/>
          <w:color w:val="auto"/>
        </w:rPr>
      </w:pPr>
    </w:p>
    <w:p>
      <w:pPr>
        <w:ind w:right="100" w:firstLine="1304"/>
        <w:spacing w:after="0" w:line="271" w:lineRule="auto"/>
        <w:tabs>
          <w:tab w:leader="none" w:pos="1812"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short interest in any security of the corporation (for purposes of these Bylaws, a person shall be deemed to have a short interest in a security if such person directly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114" w:name="page115"/>
    <w:bookmarkEnd w:id="114"/>
    <w:p>
      <w:pPr>
        <w:ind w:right="240"/>
        <w:spacing w:after="0" w:line="271" w:lineRule="auto"/>
        <w:rPr>
          <w:sz w:val="20"/>
          <w:szCs w:val="20"/>
          <w:color w:val="auto"/>
        </w:rPr>
      </w:pPr>
      <w:r>
        <w:rPr>
          <w:rFonts w:ascii="Times New Roman" w:cs="Times New Roman" w:eastAsia="Times New Roman" w:hAnsi="Times New Roman"/>
          <w:sz w:val="22"/>
          <w:szCs w:val="22"/>
          <w:color w:val="auto"/>
        </w:rPr>
        <w:t>indirectly, through any contract, arrangement, understanding, relationship or otherwise, has the opportunity to profit or share in any profit derived from any decrease in the value of the subject security);</w:t>
      </w:r>
    </w:p>
    <w:p>
      <w:pPr>
        <w:spacing w:after="0" w:line="158" w:lineRule="exact"/>
        <w:rPr>
          <w:sz w:val="20"/>
          <w:szCs w:val="20"/>
          <w:color w:val="auto"/>
        </w:rPr>
      </w:pPr>
    </w:p>
    <w:p>
      <w:pPr>
        <w:ind w:right="60" w:firstLine="1304"/>
        <w:spacing w:after="0" w:line="284" w:lineRule="auto"/>
        <w:tabs>
          <w:tab w:leader="none" w:pos="172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rights to dividends on the shares of the corporation owned beneficially by such Proposing Person that are separated or separable from the underlying shares of the corporation;</w:t>
      </w:r>
    </w:p>
    <w:p>
      <w:pPr>
        <w:spacing w:after="0" w:line="14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4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proportionate interest in shares of the corporation or derivative instruments held, directly or indirectly, by a general or limited partnership in which such Proposing Person is a general partner or, directly or indirectly, beneficially owns an interest in a general partner;</w:t>
      </w:r>
    </w:p>
    <w:p>
      <w:pPr>
        <w:spacing w:after="0" w:line="172" w:lineRule="exact"/>
        <w:rPr>
          <w:rFonts w:ascii="Times New Roman" w:cs="Times New Roman" w:eastAsia="Times New Roman" w:hAnsi="Times New Roman"/>
          <w:sz w:val="22"/>
          <w:szCs w:val="22"/>
          <w:color w:val="auto"/>
        </w:rPr>
      </w:pPr>
    </w:p>
    <w:p>
      <w:pPr>
        <w:ind w:right="160" w:firstLine="1304"/>
        <w:spacing w:after="0" w:line="256" w:lineRule="auto"/>
        <w:tabs>
          <w:tab w:leader="none" w:pos="1812"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performance-related fees (other than an asset-based fee) that such Proposing Person is entitled to based on any increase or decrease in the value of shares of the corporation or derivative instruments, if any, as of the date of such notice, including, without limitation, any such interests held by members of such Proposing Person’s immediate family sharing the same household;</w:t>
      </w:r>
    </w:p>
    <w:p>
      <w:pPr>
        <w:spacing w:after="0" w:line="176" w:lineRule="exact"/>
        <w:rPr>
          <w:rFonts w:ascii="Times New Roman" w:cs="Times New Roman" w:eastAsia="Times New Roman" w:hAnsi="Times New Roman"/>
          <w:sz w:val="22"/>
          <w:szCs w:val="22"/>
          <w:color w:val="auto"/>
        </w:rPr>
      </w:pPr>
    </w:p>
    <w:p>
      <w:pPr>
        <w:ind w:right="20" w:firstLine="1304"/>
        <w:spacing w:after="0" w:line="256" w:lineRule="auto"/>
        <w:tabs>
          <w:tab w:leader="none" w:pos="178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details of any position of such Proposing Person as an officer or director of any competitor (for purposes of these Bylaws, a competitor shall be any entity that produces products or provides services that compete with or are alternatives to the principal products produced or services provided by the corporation or any of its affiliates) of the corporation, within the three years preceding the submission of the notice;</w:t>
      </w:r>
    </w:p>
    <w:p>
      <w:pPr>
        <w:spacing w:after="0" w:line="176" w:lineRule="exact"/>
        <w:rPr>
          <w:rFonts w:ascii="Times New Roman" w:cs="Times New Roman" w:eastAsia="Times New Roman" w:hAnsi="Times New Roman"/>
          <w:sz w:val="22"/>
          <w:szCs w:val="22"/>
          <w:color w:val="auto"/>
        </w:rPr>
      </w:pPr>
    </w:p>
    <w:p>
      <w:pPr>
        <w:ind w:right="20" w:firstLine="1304"/>
        <w:spacing w:after="0" w:line="252" w:lineRule="auto"/>
        <w:tabs>
          <w:tab w:leader="none" w:pos="184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names and addresses of other stockholders (including beneficial and record owners and Control Persons) known by the Proposing Person to support financially the business proposal, and to the extent known, the class and number of shares of the corporation owned beneficially or of record by such other stockholders (including beneficial and record owners and Control Persons), and</w:t>
      </w:r>
    </w:p>
    <w:p>
      <w:pPr>
        <w:spacing w:after="0" w:line="192" w:lineRule="exact"/>
        <w:rPr>
          <w:rFonts w:ascii="Times New Roman" w:cs="Times New Roman" w:eastAsia="Times New Roman" w:hAnsi="Times New Roman"/>
          <w:sz w:val="22"/>
          <w:szCs w:val="22"/>
          <w:color w:val="auto"/>
        </w:rPr>
      </w:pPr>
    </w:p>
    <w:p>
      <w:pPr>
        <w:ind w:right="140" w:firstLine="1304"/>
        <w:spacing w:after="0" w:line="257" w:lineRule="auto"/>
        <w:tabs>
          <w:tab w:leader="none" w:pos="1812"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information relating to such Proposing Person that would be required to be disclosed in a proxy statement or other filing required to be made in connection with solicitations of proxies or consents by such Proposing Person in support of such business proposal pursuant to Regulation 14A of the Exchange Act;</w:t>
      </w:r>
    </w:p>
    <w:p>
      <w:pPr>
        <w:spacing w:after="0" w:line="17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2"/>
          <w:szCs w:val="22"/>
          <w:color w:val="auto"/>
        </w:rPr>
        <w:t>provided, however, that the foregoing items (iv)(A) through (iv)(N) shall not include any such disclosures with respect to the ordinary course business activities of any broker, dealer, commercial bank, trust company or other nominator who is a Proposing Person solely as a result of being the stockholder directed to prepare and submit the notice required by this Section 1.5 on behalf of a beneficial owner.</w:t>
      </w:r>
    </w:p>
    <w:p>
      <w:pPr>
        <w:spacing w:after="0" w:line="176"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2"/>
          <w:szCs w:val="22"/>
          <w:color w:val="auto"/>
        </w:rPr>
        <w:t>Notwithstanding anything in these Bylaws to the contrary, no business other than director nominations shall be conducted at an annual or special meeting except in accordance with the procedures set forth in this Section 1.5. The Chairman of the meeting shall, if the facts warrant, determine and declare to the meeting that business was not properly brought before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115" w:name="page116"/>
    <w:bookmarkEnd w:id="115"/>
    <w:p>
      <w:pPr>
        <w:spacing w:after="0" w:line="251" w:lineRule="auto"/>
        <w:rPr>
          <w:sz w:val="20"/>
          <w:szCs w:val="20"/>
          <w:color w:val="auto"/>
        </w:rPr>
      </w:pPr>
      <w:r>
        <w:rPr>
          <w:rFonts w:ascii="Times New Roman" w:cs="Times New Roman" w:eastAsia="Times New Roman" w:hAnsi="Times New Roman"/>
          <w:sz w:val="22"/>
          <w:szCs w:val="22"/>
          <w:color w:val="auto"/>
        </w:rPr>
        <w:t>and in accordance with the procedures prescribed by this Section 1.5, and if the Chairman of the meeting should so determine, shall so declare to the meeting and any such business not properly brought before the meeting shall not be transacted. Any such decision by the Chairman shall be final, binding and conclusive upon all parties in interest. In addition to the foregoing provisions of this Section 1.5, a stockholder shall also comply with and be subject to all applicable requirements and provisions of the Exchange Act, and the rules and regulations thereunder, applicable listing standards and other applicable law, with respect to the matters set forth in this Section 1.5.</w:t>
      </w:r>
    </w:p>
    <w:p>
      <w:pPr>
        <w:spacing w:after="0" w:line="181"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1"/>
          <w:szCs w:val="21"/>
          <w:u w:val="single" w:color="auto"/>
          <w:color w:val="auto"/>
        </w:rPr>
        <w:t>ADJOURNMENTS</w:t>
      </w:r>
    </w:p>
    <w:p>
      <w:pPr>
        <w:spacing w:after="0" w:line="220" w:lineRule="exact"/>
        <w:rPr>
          <w:sz w:val="20"/>
          <w:szCs w:val="20"/>
          <w:color w:val="auto"/>
        </w:rPr>
      </w:pPr>
    </w:p>
    <w:p>
      <w:pPr>
        <w:ind w:right="160" w:firstLine="648"/>
        <w:spacing w:after="0" w:line="262" w:lineRule="auto"/>
        <w:rPr>
          <w:sz w:val="20"/>
          <w:szCs w:val="20"/>
          <w:color w:val="auto"/>
        </w:rPr>
      </w:pPr>
      <w:r>
        <w:rPr>
          <w:rFonts w:ascii="Times New Roman" w:cs="Times New Roman" w:eastAsia="Times New Roman" w:hAnsi="Times New Roman"/>
          <w:sz w:val="21"/>
          <w:szCs w:val="21"/>
          <w:color w:val="auto"/>
        </w:rPr>
        <w:t>Any meeting of stockholders, annual or special, may adjourn from time to time to reconvene at the same or some other place, and notice need not be given of any such adjourned meeting if the date, time and place if any, thereof and the means of remote communication, if any, by which stockholders and proxyholders may be deemed to be present in person and vote at such adjourned meeting, are announced at the meeting at which the adjournment is taken. At the adjourned meeting the corporation may transact any business which might have been transacted at the original meeting. If the adjournment is for more than thirty</w:t>
      </w:r>
    </w:p>
    <w:p>
      <w:pPr>
        <w:spacing w:after="0" w:line="2" w:lineRule="exact"/>
        <w:rPr>
          <w:sz w:val="20"/>
          <w:szCs w:val="20"/>
          <w:color w:val="auto"/>
        </w:rPr>
      </w:pPr>
    </w:p>
    <w:p>
      <w:pPr>
        <w:ind w:right="120" w:firstLine="8"/>
        <w:spacing w:after="0" w:line="249" w:lineRule="auto"/>
        <w:tabs>
          <w:tab w:leader="none" w:pos="41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or if after the adjournment a new record date is fixed for the adjourned meeting, a notice of the adjourned meeting shall be given to each stockholder of record entitled to vote at the meeting. The Chairman of the meeting shall have the power to adjourn any meeting of stockholders for any reason and the stockholders shall have the power to adjourn any meeting of stockholders by a majority vote of the shares present at such meeting in accordance with this Section 1.6.</w:t>
      </w:r>
    </w:p>
    <w:p>
      <w:pPr>
        <w:spacing w:after="0" w:line="182"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1"/>
          <w:szCs w:val="21"/>
          <w:u w:val="single" w:color="auto"/>
          <w:color w:val="auto"/>
        </w:rPr>
        <w:t>QUORUM</w:t>
      </w:r>
    </w:p>
    <w:p>
      <w:pPr>
        <w:spacing w:after="0" w:line="220"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2"/>
          <w:szCs w:val="22"/>
          <w:color w:val="auto"/>
        </w:rPr>
        <w:t>Except as otherwise provided by law, the Certificate of Incorporation or these Bylaws, at each meeting of stockholders the presence in person or by proxy of the holders of shares of stock having a majority of the votes which could be cast by the holders of all outstanding shares of stock entitled to vote at the meeting shall be necessary and sufficient to constitute a quorum. In the absence of a quorum, the stockholders so present may, by majority vote of shares present, adjourn the meeting from time to time in the manner provided in Section 1.6 of these Bylaws until a quorum shall attend.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to vote stock, including but not limited to its own stock, held by it in a fiduciary capacity.</w:t>
      </w:r>
    </w:p>
    <w:p>
      <w:pPr>
        <w:spacing w:after="0" w:line="18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1.8</w:t>
      </w:r>
      <w:r>
        <w:rPr>
          <w:sz w:val="20"/>
          <w:szCs w:val="20"/>
          <w:color w:val="auto"/>
        </w:rPr>
        <w:tab/>
      </w:r>
      <w:r>
        <w:rPr>
          <w:rFonts w:ascii="Times New Roman" w:cs="Times New Roman" w:eastAsia="Times New Roman" w:hAnsi="Times New Roman"/>
          <w:sz w:val="21"/>
          <w:szCs w:val="21"/>
          <w:u w:val="single" w:color="auto"/>
          <w:color w:val="auto"/>
        </w:rPr>
        <w:t>ORGANIZATION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Meetings of stockholders shall be presided over by (a) the Chairman of the Board of Directors or, in the absence thereof,</w:t>
      </w:r>
    </w:p>
    <w:p>
      <w:pPr>
        <w:spacing w:after="0" w:line="39" w:lineRule="exact"/>
        <w:rPr>
          <w:sz w:val="20"/>
          <w:szCs w:val="20"/>
          <w:color w:val="auto"/>
        </w:rPr>
      </w:pPr>
    </w:p>
    <w:p>
      <w:pPr>
        <w:ind w:right="880" w:firstLine="8"/>
        <w:spacing w:after="0" w:line="248" w:lineRule="auto"/>
        <w:tabs>
          <w:tab w:leader="none" w:pos="30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director or officer of the corporation designated by the Board of Directors. In the absence of the Secretary of the corporation, the secretary of the meeting shall be such person as the Chairman of the meeting appoints.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116" w:name="page117"/>
    <w:bookmarkEnd w:id="116"/>
    <w:p>
      <w:pPr>
        <w:ind w:right="100" w:firstLine="648"/>
        <w:spacing w:after="0" w:line="249" w:lineRule="auto"/>
        <w:rPr>
          <w:sz w:val="20"/>
          <w:szCs w:val="20"/>
          <w:color w:val="auto"/>
        </w:rPr>
      </w:pPr>
      <w:r>
        <w:rPr>
          <w:rFonts w:ascii="Times New Roman" w:cs="Times New Roman" w:eastAsia="Times New Roman" w:hAnsi="Times New Roman"/>
          <w:sz w:val="22"/>
          <w:szCs w:val="22"/>
          <w:color w:val="auto"/>
        </w:rPr>
        <w:t>The Board of Directors shall, in advance of any meeting of stockholders, appoint one (1) or more inspector(s), who may include individual(s) who serve the corporation in other capacities, including without limitation as officers, employees or agents, to act at the meeting of stockholders and make a written report thereof. The Board of Directors may designate one (1) or more persons as alternate inspector(s) to replace any inspector, who fails to act. If no inspector or alternate has been appointed or is able to act at a meeting of stockholders, the Chairman of the meeting shall appoint one (1) or more inspector(s) to act at the meeting. Each inspector, before discharging his or her duties, shall take and sign an oath to faithfully execute the duties of inspector with strict impartiality and according to the best of his or her ability. The inspector(s) or alternate(s) shall have the duties prescribed pursuant to Section 231 of the Delaware General Corporation Law or other applicable law.</w:t>
      </w:r>
    </w:p>
    <w:p>
      <w:pPr>
        <w:spacing w:after="0" w:line="195" w:lineRule="exact"/>
        <w:rPr>
          <w:sz w:val="20"/>
          <w:szCs w:val="20"/>
          <w:color w:val="auto"/>
        </w:rPr>
      </w:pPr>
    </w:p>
    <w:p>
      <w:pPr>
        <w:ind w:right="20" w:firstLine="648"/>
        <w:spacing w:after="0" w:line="263" w:lineRule="auto"/>
        <w:rPr>
          <w:sz w:val="20"/>
          <w:szCs w:val="20"/>
          <w:color w:val="auto"/>
        </w:rPr>
      </w:pPr>
      <w:r>
        <w:rPr>
          <w:rFonts w:ascii="Times New Roman" w:cs="Times New Roman" w:eastAsia="Times New Roman" w:hAnsi="Times New Roman"/>
          <w:sz w:val="21"/>
          <w:szCs w:val="21"/>
          <w:color w:val="auto"/>
        </w:rPr>
        <w:t>The Board of Directors shall be entitled to make such rules or regulations for the conduct of meetings of stockholders as it shall deem necessary, appropriate or convenient. Subject to such rules and regulations, if any, the Chairman of the meeting shall have the right and authority to prescribe such rules, regulations and procedures and to do all acts as, in the judgment of such Chairman of the meeting, are necessary, appropriate or convenient for the proper conduct of the meeting, including without limitation establishing an agenda of business of the meeting, rules or regulations to maintain order, restrictions on entry to the meeting after the time fixed for commencement thereof and the fixing of the date and time of the opening and closing of the polls for each matter upon which the stockholders will vote at a meeting (and shall announce such at the meeting).</w:t>
      </w:r>
    </w:p>
    <w:p>
      <w:pPr>
        <w:spacing w:after="0" w:line="173"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1.9</w:t>
      </w:r>
      <w:r>
        <w:rPr>
          <w:sz w:val="20"/>
          <w:szCs w:val="20"/>
          <w:color w:val="auto"/>
        </w:rPr>
        <w:tab/>
      </w:r>
      <w:r>
        <w:rPr>
          <w:rFonts w:ascii="Times New Roman" w:cs="Times New Roman" w:eastAsia="Times New Roman" w:hAnsi="Times New Roman"/>
          <w:sz w:val="21"/>
          <w:szCs w:val="21"/>
          <w:u w:val="single" w:color="auto"/>
          <w:color w:val="auto"/>
        </w:rPr>
        <w:t>VOTING; PROXIES</w:t>
      </w:r>
    </w:p>
    <w:p>
      <w:pPr>
        <w:spacing w:after="0" w:line="220" w:lineRule="exact"/>
        <w:rPr>
          <w:sz w:val="20"/>
          <w:szCs w:val="20"/>
          <w:color w:val="auto"/>
        </w:rPr>
      </w:pPr>
    </w:p>
    <w:p>
      <w:pPr>
        <w:ind w:right="20" w:firstLine="648"/>
        <w:spacing w:after="0" w:line="248" w:lineRule="auto"/>
        <w:rPr>
          <w:sz w:val="20"/>
          <w:szCs w:val="20"/>
          <w:color w:val="auto"/>
        </w:rPr>
      </w:pPr>
      <w:r>
        <w:rPr>
          <w:rFonts w:ascii="Times New Roman" w:cs="Times New Roman" w:eastAsia="Times New Roman" w:hAnsi="Times New Roman"/>
          <w:sz w:val="22"/>
          <w:szCs w:val="22"/>
          <w:color w:val="auto"/>
        </w:rPr>
        <w:t>Except as otherwise provided by the Certificate of Incorporation or by law, each stockholder entitled to vote at any meeting of stockholders shall be entitled to one vote for each share of stock held by such stockholder which has voting power upon the matter in question. Each stockholder entitled to vote at a meeting of stockholders may authorize another person or persons to act for such stockholder by proxy, but no such proxy shall be voted or acted upon after three years from its date, unless the proxy provides for a longer period. A duly executed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filing an instrument in writing revoking the proxy or another duly executed proxy bearing a later date with the Secretary of the corporation. Voting at meetings of stockholders need not be by written ballot and need not be conducted by inspectors of election unless so determined by the holders of shares of stock having a majority of the votes which could be cast by the holders of all outstanding shares of stock entitled to vote thereon which are present in person or by proxy at such meeting.</w:t>
      </w:r>
    </w:p>
    <w:p>
      <w:pPr>
        <w:spacing w:after="0" w:line="189" w:lineRule="exact"/>
        <w:rPr>
          <w:sz w:val="20"/>
          <w:szCs w:val="20"/>
          <w:color w:val="auto"/>
        </w:rPr>
      </w:pPr>
    </w:p>
    <w:p>
      <w:pPr>
        <w:ind w:right="480" w:firstLine="648"/>
        <w:spacing w:after="0" w:line="271" w:lineRule="auto"/>
        <w:rPr>
          <w:sz w:val="20"/>
          <w:szCs w:val="20"/>
          <w:color w:val="auto"/>
        </w:rPr>
      </w:pPr>
      <w:r>
        <w:rPr>
          <w:rFonts w:ascii="Times New Roman" w:cs="Times New Roman" w:eastAsia="Times New Roman" w:hAnsi="Times New Roman"/>
          <w:sz w:val="22"/>
          <w:szCs w:val="22"/>
          <w:color w:val="auto"/>
        </w:rPr>
        <w:t>Any stockholder directly or indirectly soliciting proxies from other stockholders must use a proxy card that is a color other than white. White proxy cards are reserved solely for use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117" w:name="page118"/>
    <w:bookmarkEnd w:id="117"/>
    <w:p>
      <w:pPr>
        <w:ind w:right="140" w:firstLine="648"/>
        <w:spacing w:after="0" w:line="256" w:lineRule="auto"/>
        <w:rPr>
          <w:sz w:val="20"/>
          <w:szCs w:val="20"/>
          <w:color w:val="auto"/>
        </w:rPr>
      </w:pPr>
      <w:r>
        <w:rPr>
          <w:rFonts w:ascii="Times New Roman" w:cs="Times New Roman" w:eastAsia="Times New Roman" w:hAnsi="Times New Roman"/>
          <w:sz w:val="22"/>
          <w:szCs w:val="22"/>
          <w:color w:val="auto"/>
        </w:rPr>
        <w:t>At a stockholders’ meeting at which directors are to be elected, a stockholder shall not be entitled to cumulate votes (i.e., cast for any candidate a number of votes greater than the number of votes which such stockholder normally is entitled to cast). The candidates receiving the highest number of affirmative votes, up to the number of directors to be elected, shall be elected; votes against any candidate and votes withheld shall have no legal effect.</w:t>
      </w:r>
    </w:p>
    <w:p>
      <w:pPr>
        <w:spacing w:after="0" w:line="17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1.10</w:t>
      </w:r>
      <w:r>
        <w:rPr>
          <w:sz w:val="20"/>
          <w:szCs w:val="20"/>
          <w:color w:val="auto"/>
        </w:rPr>
        <w:tab/>
      </w:r>
      <w:r>
        <w:rPr>
          <w:rFonts w:ascii="Times New Roman" w:cs="Times New Roman" w:eastAsia="Times New Roman" w:hAnsi="Times New Roman"/>
          <w:sz w:val="21"/>
          <w:szCs w:val="21"/>
          <w:u w:val="single" w:color="auto"/>
          <w:color w:val="auto"/>
        </w:rPr>
        <w:t>REMOTE COMMUNICATION</w:t>
      </w:r>
    </w:p>
    <w:p>
      <w:pPr>
        <w:spacing w:after="0" w:line="220" w:lineRule="exact"/>
        <w:rPr>
          <w:sz w:val="20"/>
          <w:szCs w:val="20"/>
          <w:color w:val="auto"/>
        </w:rPr>
      </w:pPr>
    </w:p>
    <w:p>
      <w:pPr>
        <w:jc w:val="both"/>
        <w:ind w:right="700" w:firstLine="648"/>
        <w:spacing w:after="0" w:line="257" w:lineRule="auto"/>
        <w:rPr>
          <w:sz w:val="20"/>
          <w:szCs w:val="20"/>
          <w:color w:val="auto"/>
        </w:rPr>
      </w:pPr>
      <w:r>
        <w:rPr>
          <w:rFonts w:ascii="Times New Roman" w:cs="Times New Roman" w:eastAsia="Times New Roman" w:hAnsi="Times New Roman"/>
          <w:sz w:val="22"/>
          <w:szCs w:val="22"/>
          <w:color w:val="auto"/>
        </w:rPr>
        <w:t>For the purposes of these Bylaws, if authorized by the Board of Directors in its sole discretion, and subject to such guidelines and procedures as the Board of Directors may adopt, stockholders and proxyholders may, by means of remote communication:</w:t>
      </w:r>
    </w:p>
    <w:p>
      <w:pPr>
        <w:spacing w:after="0" w:line="186" w:lineRule="exact"/>
        <w:rPr>
          <w:sz w:val="20"/>
          <w:szCs w:val="20"/>
          <w:color w:val="auto"/>
        </w:rPr>
      </w:pPr>
    </w:p>
    <w:p>
      <w:pPr>
        <w:ind w:left="1820" w:hanging="516"/>
        <w:spacing w:after="0"/>
        <w:tabs>
          <w:tab w:leader="none" w:pos="182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participate in a meeting of stockholders; and</w:t>
      </w:r>
    </w:p>
    <w:p>
      <w:pPr>
        <w:spacing w:after="0" w:line="219" w:lineRule="exact"/>
        <w:rPr>
          <w:rFonts w:ascii="Times New Roman" w:cs="Times New Roman" w:eastAsia="Times New Roman" w:hAnsi="Times New Roman"/>
          <w:sz w:val="22"/>
          <w:szCs w:val="22"/>
          <w:color w:val="auto"/>
        </w:rPr>
      </w:pPr>
    </w:p>
    <w:p>
      <w:pPr>
        <w:ind w:right="100" w:firstLine="1304"/>
        <w:spacing w:after="0" w:line="249" w:lineRule="auto"/>
        <w:tabs>
          <w:tab w:leader="none" w:pos="180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deemed present in person and vote at a meeting of stockholders whether such meeting is to be held at a designated place or solely by means of remote communication, provided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w:t>
      </w:r>
    </w:p>
    <w:p>
      <w:pPr>
        <w:spacing w:after="0" w:line="1" w:lineRule="exact"/>
        <w:rPr>
          <w:rFonts w:ascii="Times New Roman" w:cs="Times New Roman" w:eastAsia="Times New Roman" w:hAnsi="Times New Roman"/>
          <w:sz w:val="22"/>
          <w:szCs w:val="22"/>
          <w:color w:val="auto"/>
        </w:rPr>
      </w:pPr>
    </w:p>
    <w:p>
      <w:pPr>
        <w:ind w:right="140" w:firstLine="8"/>
        <w:spacing w:after="0" w:line="248" w:lineRule="auto"/>
        <w:tabs>
          <w:tab w:leader="none" w:pos="37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stockholder or proxyholder votes or takes other action at the meeting by means of remote communication, a record of such vote or other action shall be maintained by the corporation.</w:t>
      </w:r>
    </w:p>
    <w:p>
      <w:pPr>
        <w:spacing w:after="0" w:line="182"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u w:val="single" w:color="auto"/>
          <w:color w:val="auto"/>
        </w:rPr>
        <w:t>FIXING DATE FOR DETERMINATION OF STOCKHOLDERS OF RECORD</w:t>
      </w:r>
    </w:p>
    <w:p>
      <w:pPr>
        <w:spacing w:after="0" w:line="220"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(1) in the case of determination of stockholders entitled to vote at any meeting of stockholders or adjournment thereof, shall, unless otherwise required by law, not be more than sixty (60) nor less than ten (10) days before the date of such meeting; (2) in the case of determination of stockholders entitled to express consent to corporate action in writing without a meeting, shall not be more than ten (10) days from the date upon which the resolution fixing the record date is adopted by the Board of Directors; and (3) in the case of any other action, shall not be more than sixty (60) days prior to such other action. If no record date is fixed: (1)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(2) the record date for determining stockholders entitled to express consent to corporate action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118" w:name="page119"/>
    <w:bookmarkEnd w:id="118"/>
    <w:p>
      <w:pPr>
        <w:ind w:right="40"/>
        <w:spacing w:after="0" w:line="263" w:lineRule="auto"/>
        <w:rPr>
          <w:sz w:val="20"/>
          <w:szCs w:val="20"/>
          <w:color w:val="auto"/>
        </w:rPr>
      </w:pPr>
      <w:r>
        <w:rPr>
          <w:rFonts w:ascii="Times New Roman" w:cs="Times New Roman" w:eastAsia="Times New Roman" w:hAnsi="Times New Roman"/>
          <w:sz w:val="21"/>
          <w:szCs w:val="21"/>
          <w:color w:val="auto"/>
        </w:rPr>
        <w:t>writing without a meeting, when no prior action of the Board of Directors is required by law, shall be the first date on which a signed written consent setting forth the action taken or proposed to be taken is delivered to the corporation in accordance with applicable law, or, if prior action by the Board of Directors is required by law, shall be at the Close of Business on the day on which the Board of Directors adopts the resolution taking such prior action; and (3) the record date for determining stockholders for any other purpose shall be at the Close of Business on the day on which the Board of Directors adopts the resolution relating thereto.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73"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u w:val="single" w:color="auto"/>
          <w:color w:val="auto"/>
        </w:rPr>
        <w:t>LIST OF STOCKHOLDERS ENTITLED TO VOTE</w:t>
      </w:r>
    </w:p>
    <w:p>
      <w:pPr>
        <w:spacing w:after="0" w:line="233" w:lineRule="exact"/>
        <w:rPr>
          <w:sz w:val="20"/>
          <w:szCs w:val="20"/>
          <w:color w:val="auto"/>
        </w:rPr>
      </w:pPr>
    </w:p>
    <w:p>
      <w:pPr>
        <w:ind w:right="100" w:firstLine="648"/>
        <w:spacing w:after="0" w:line="247" w:lineRule="auto"/>
        <w:rPr>
          <w:sz w:val="20"/>
          <w:szCs w:val="20"/>
          <w:color w:val="auto"/>
        </w:rPr>
      </w:pPr>
      <w:r>
        <w:rPr>
          <w:rFonts w:ascii="Times New Roman" w:cs="Times New Roman" w:eastAsia="Times New Roman" w:hAnsi="Times New Roman"/>
          <w:sz w:val="22"/>
          <w:szCs w:val="22"/>
          <w:color w:val="auto"/>
        </w:rPr>
        <w:t>The Secretary shall prepare and make, at least ten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(10) days prior to the meeting, either (a) on a reasonably accessible electronic network, provided 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The list shall also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The stock ledger shall be the only evidence as to who are the stockholders entitled to examine the stock ledger, the list of stockholders or the books of the corporation, or to vote in person or by proxy at any meeting of stockholders. Notwithstanding the foregoing and except as required by law, the corporation is not obligated to include electronic mail addresses or any other electronic contact information on any list of stockholders so prepared, whether in response to a request from a stockholder or in connection with an annual or special stockholder meeting.</w:t>
      </w:r>
    </w:p>
    <w:p>
      <w:pPr>
        <w:spacing w:after="0" w:line="191"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1"/>
          <w:szCs w:val="21"/>
          <w:u w:val="single" w:color="auto"/>
          <w:color w:val="auto"/>
        </w:rPr>
        <w:t>STOCKHOLDER ACTION BY WRITTEN CONSENT WITHOUT A MEETING</w:t>
      </w:r>
    </w:p>
    <w:p>
      <w:pPr>
        <w:spacing w:after="0" w:line="220"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2"/>
          <w:szCs w:val="22"/>
          <w:color w:val="auto"/>
        </w:rPr>
        <w:t>Unless otherwise provided in the certificate of incorporation, any action required by this chapter to be taken at any annual or special meeting of stockholders of a corporation, or any action that may be taken at any annual or special meeting of such stockholders, may be taken without a meeting, without prior notice, and without a vote if a consent in writing, setting forth the action so taken, is signed by the holders of outstanding stock having not less than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119" w:name="page120"/>
    <w:bookmarkEnd w:id="119"/>
    <w:p>
      <w:pPr>
        <w:ind w:right="360"/>
        <w:spacing w:after="0" w:line="271" w:lineRule="auto"/>
        <w:rPr>
          <w:sz w:val="20"/>
          <w:szCs w:val="20"/>
          <w:color w:val="auto"/>
        </w:rPr>
      </w:pPr>
      <w:r>
        <w:rPr>
          <w:rFonts w:ascii="Times New Roman" w:cs="Times New Roman" w:eastAsia="Times New Roman" w:hAnsi="Times New Roman"/>
          <w:sz w:val="22"/>
          <w:szCs w:val="22"/>
          <w:color w:val="auto"/>
        </w:rPr>
        <w:t>minimum number of votes that would be necessary to authorize or take such action at a meeting at which all shares entitled to vote thereon were present and voted.</w:t>
      </w:r>
    </w:p>
    <w:p>
      <w:pPr>
        <w:spacing w:after="0" w:line="158"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2"/>
          <w:szCs w:val="22"/>
          <w:color w:val="auto"/>
        </w:rPr>
        <w:t>Prompt notice of the taking of the corporate action without a meeting by less than unanimous written consent shall be given to those stockholders who have not consented in writing. If the action which is consented to is such as would have required the filing of a certificate under any section of the Delaware General Corporation Law if such action had been voted on by stockholders at a meeting thereof, then the certificate filed under such section shall state, in lieu of any statement required by such section concerning any vote of stockholders, that written notice and written consent have been given as provided in Section 228 of the Delaware General Corporation Law.</w:t>
      </w:r>
    </w:p>
    <w:p>
      <w:pPr>
        <w:spacing w:after="0" w:line="19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6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u w:val="single" w:color="auto"/>
          <w:color w:val="auto"/>
        </w:rPr>
        <w:t>BOARD OF DIRECTORS</w:t>
      </w:r>
    </w:p>
    <w:p>
      <w:pPr>
        <w:spacing w:after="0" w:line="22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u w:val="single" w:color="auto"/>
          <w:color w:val="auto"/>
        </w:rPr>
        <w:t>POWERS; NUMBER; QUALIFICATIONS</w:t>
      </w:r>
    </w:p>
    <w:p>
      <w:pPr>
        <w:spacing w:after="0" w:line="220"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21"/>
          <w:szCs w:val="21"/>
          <w:color w:val="auto"/>
        </w:rPr>
        <w:t>The business and affairs of the corporation shall be managed by or under the direction of the Board of Directors. In addition to the power and authorities these Bylaws expressly confer upon them, the Board of Directors may exercise all such powers of the corporation and do all such lawful acts and things as are not required by statute, the Certificate of Incorporation or these Bylaws to be exercised or done by the stockholders. The Board of Directors shall consist of one or more members, the number thereof to be determined from time to time by resolution of the Board of Directors. Directors need not be stockholders.</w:t>
      </w:r>
    </w:p>
    <w:p>
      <w:pPr>
        <w:spacing w:after="0" w:line="16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u w:val="single" w:color="auto"/>
          <w:color w:val="auto"/>
        </w:rPr>
        <w:t>ELECTION; RESIGNATION; VACANCIES</w:t>
      </w:r>
    </w:p>
    <w:p>
      <w:pPr>
        <w:spacing w:after="0" w:line="220"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22"/>
          <w:szCs w:val="22"/>
          <w:color w:val="auto"/>
        </w:rPr>
        <w:t>The Board of Directors shall initially consist of the persons named as directors in the Certificate of Incorporation, and each director so elected shall hold office until the first annual meeting of stockholders or until such director’s successor is elected and qualified. At the first annual meeting of stockholders and at each annual meeting thereafter, the stockholders shall elect directors each of whom shall hold office until such director’s successor is elected and qualified or until such director’s earlier resignation or removal. Any director may resign at any time upon written notice to the corporation. Any newly created directorship or any vacancy occurring in the Board of Directors for any cause may be filled by a majority of the remaining members of the Board of Directors, although such majority is less than a quorum, or by a sole remaining director, or by a plurality of the votes cast at a meeting of stockholders, and each director so elected shall hold office until the expiration of the term of office of the director whom he has replaced or until such director’s successor is elected and qualified.</w:t>
      </w:r>
    </w:p>
    <w:p>
      <w:pPr>
        <w:spacing w:after="0" w:line="18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u w:val="single" w:color="auto"/>
          <w:color w:val="auto"/>
        </w:rPr>
        <w:t>REGULAR MEETINGS</w:t>
      </w:r>
    </w:p>
    <w:p>
      <w:pPr>
        <w:spacing w:after="0" w:line="220" w:lineRule="exact"/>
        <w:rPr>
          <w:sz w:val="20"/>
          <w:szCs w:val="20"/>
          <w:color w:val="auto"/>
        </w:rPr>
      </w:pPr>
    </w:p>
    <w:p>
      <w:pPr>
        <w:ind w:right="320" w:firstLine="648"/>
        <w:spacing w:after="0" w:line="295" w:lineRule="auto"/>
        <w:rPr>
          <w:sz w:val="20"/>
          <w:szCs w:val="20"/>
          <w:color w:val="auto"/>
        </w:rPr>
      </w:pPr>
      <w:r>
        <w:rPr>
          <w:rFonts w:ascii="Times New Roman" w:cs="Times New Roman" w:eastAsia="Times New Roman" w:hAnsi="Times New Roman"/>
          <w:sz w:val="21"/>
          <w:szCs w:val="21"/>
          <w:color w:val="auto"/>
        </w:rPr>
        <w:t>Regular meetings of the Board of Directors may be held at such places within or without the State of Delaware and at such times as the Board of Directors may from time to time determine, and if so determined notices thereof need not be 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120" w:name="page121"/>
    <w:bookmarkEnd w:id="120"/>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1"/>
          <w:szCs w:val="21"/>
          <w:u w:val="single" w:color="auto"/>
          <w:color w:val="auto"/>
        </w:rPr>
        <w:t>SPECIAL MEETINGS</w:t>
      </w:r>
    </w:p>
    <w:p>
      <w:pPr>
        <w:spacing w:after="0" w:line="220"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22"/>
          <w:szCs w:val="22"/>
          <w:color w:val="auto"/>
        </w:rPr>
        <w:t>Special meetings of the Board of Directors may be held at any time or place within or without the State of Delaware whenever called by the Chief Executive Officer, President, Chief Financial Officer, or by any member of the Board of Directors. Notice of a special meeting of the Board of Directors shall be given by the person or persons calling the meeting at least twenty-four hours before the special meeting.</w:t>
      </w:r>
    </w:p>
    <w:p>
      <w:pPr>
        <w:spacing w:after="0" w:line="17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1"/>
          <w:szCs w:val="21"/>
          <w:u w:val="single" w:color="auto"/>
          <w:color w:val="auto"/>
        </w:rPr>
        <w:t>TELEPHONIC MEETINGS PERMITTED</w:t>
      </w:r>
    </w:p>
    <w:p>
      <w:pPr>
        <w:spacing w:after="0" w:line="220"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22"/>
          <w:szCs w:val="22"/>
          <w:color w:val="auto"/>
        </w:rPr>
        <w:t>Members of the Board of Directors, or any committee designated by the Board of Directors, may participate in a meeting thereof by means of conference telephone or similar communications equipment by means of which all persons participating in the meeting can hear each other, and participation in a meeting pursuant to this Bylaw shall constitute presence in person at such meeting.</w:t>
      </w:r>
    </w:p>
    <w:p>
      <w:pPr>
        <w:spacing w:after="0" w:line="17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1"/>
          <w:szCs w:val="21"/>
          <w:u w:val="single" w:color="auto"/>
          <w:color w:val="auto"/>
        </w:rPr>
        <w:t>QUORUM; VOTE REQUIRED FOR ACTION</w:t>
      </w:r>
    </w:p>
    <w:p>
      <w:pPr>
        <w:spacing w:after="0" w:line="220"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22"/>
          <w:szCs w:val="22"/>
          <w:color w:val="auto"/>
        </w:rPr>
        <w:t>At all meetings of the Board of Directors a majority of the whole Board of Directors shall constitute a quorum for the transaction of business. Except in cases in which the Certificate of Incorporation or these Bylaws otherwise provide, the vote of a majority of the directors present at a meeting at which a quorum is present shall be the act of the Board of Directors.</w:t>
      </w:r>
    </w:p>
    <w:p>
      <w:pPr>
        <w:spacing w:after="0" w:line="18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2.7</w:t>
      </w:r>
      <w:r>
        <w:rPr>
          <w:sz w:val="20"/>
          <w:szCs w:val="20"/>
          <w:color w:val="auto"/>
        </w:rPr>
        <w:tab/>
      </w:r>
      <w:r>
        <w:rPr>
          <w:rFonts w:ascii="Times New Roman" w:cs="Times New Roman" w:eastAsia="Times New Roman" w:hAnsi="Times New Roman"/>
          <w:sz w:val="21"/>
          <w:szCs w:val="21"/>
          <w:u w:val="single" w:color="auto"/>
          <w:color w:val="auto"/>
        </w:rPr>
        <w:t>ORGANIZATION</w:t>
      </w:r>
    </w:p>
    <w:p>
      <w:pPr>
        <w:spacing w:after="0" w:line="220"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2"/>
          <w:szCs w:val="22"/>
          <w:color w:val="auto"/>
        </w:rPr>
        <w:t>The Board of Directors shall from time to time elect one of its members to be its Chairman and shall fill any vacancy in the position of Chairman of the Board of Directors at such time and in such manner as the Board of Directors shall determine. The Chairman of the Board of Directors shall, if present, preside at each meeting of the stockholders and of the Board of Directors and shall perform such other duties and responsibilities set forth in these Bylaws or as may be determined by the Board of Directors from time to time.</w:t>
      </w:r>
    </w:p>
    <w:p>
      <w:pPr>
        <w:spacing w:after="0" w:line="179" w:lineRule="exact"/>
        <w:rPr>
          <w:sz w:val="20"/>
          <w:szCs w:val="20"/>
          <w:color w:val="auto"/>
        </w:rPr>
      </w:pPr>
    </w:p>
    <w:p>
      <w:pPr>
        <w:ind w:right="100" w:firstLine="648"/>
        <w:spacing w:after="0" w:line="252" w:lineRule="auto"/>
        <w:rPr>
          <w:sz w:val="20"/>
          <w:szCs w:val="20"/>
          <w:color w:val="auto"/>
        </w:rPr>
      </w:pPr>
      <w:r>
        <w:rPr>
          <w:rFonts w:ascii="Times New Roman" w:cs="Times New Roman" w:eastAsia="Times New Roman" w:hAnsi="Times New Roman"/>
          <w:sz w:val="22"/>
          <w:szCs w:val="22"/>
          <w:color w:val="auto"/>
        </w:rPr>
        <w:t>The corporation may have, at the discretion of the Board of Directors, a Vice Chairman of the Board of Directors. The Vice Chairman of the Board of Directors, if any, shall assist the Chairman of the Board of Directors and have such other duties and responsibilities set forth in these Bylaws or as may be determined by the Board of Directors or the Chairman of the Board of Directors from time to time.</w:t>
      </w:r>
    </w:p>
    <w:p>
      <w:pPr>
        <w:spacing w:after="0" w:line="193"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2"/>
          <w:szCs w:val="22"/>
          <w:color w:val="auto"/>
        </w:rPr>
        <w:t>If at any time the Chairman of the Board of Directors is not independent as that term is defined under the then applicable rules and regulations of each national securities exchange upon which shares of the common stock of the corporation are listed for trading and of the Securities and Exchange Commission, the independent directors shall annually designate from among them a “Lead Independent Director” having the duties and responsibilities set forth in the corporation’s Corporate Governance Guidelines and as otherwise determined by the Board of Directors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121" w:name="page122"/>
    <w:bookmarkEnd w:id="121"/>
    <w:p>
      <w:pPr>
        <w:ind w:right="80" w:firstLine="648"/>
        <w:spacing w:after="0" w:line="253" w:lineRule="auto"/>
        <w:rPr>
          <w:sz w:val="20"/>
          <w:szCs w:val="20"/>
          <w:color w:val="auto"/>
        </w:rPr>
      </w:pPr>
      <w:r>
        <w:rPr>
          <w:rFonts w:ascii="Times New Roman" w:cs="Times New Roman" w:eastAsia="Times New Roman" w:hAnsi="Times New Roman"/>
          <w:sz w:val="22"/>
          <w:szCs w:val="22"/>
          <w:color w:val="auto"/>
        </w:rPr>
        <w:t>Meetings of the Board of Directors shall be presided over by the Chairman of the Board of Directors, if any, or, in the absence of the Chairman of the Board of Directors, by the Vice Chairman of the Board of Directors, if any, or in their absence by the Lead Independent Director, if any, or in the case of absence by all such persons, a Chairman chosen at the meeting. The Secretary shall act as secretary of the meeting, but, in the absence of the Secretary, the Chairman of the meeting may appoint any person to act as secretary of the meeting.</w:t>
      </w:r>
    </w:p>
    <w:p>
      <w:pPr>
        <w:spacing w:after="0" w:line="179" w:lineRule="exact"/>
        <w:rPr>
          <w:sz w:val="20"/>
          <w:szCs w:val="20"/>
          <w:color w:val="auto"/>
        </w:rPr>
      </w:pPr>
    </w:p>
    <w:p>
      <w:pPr>
        <w:ind w:right="100" w:firstLine="648"/>
        <w:spacing w:after="0" w:line="251" w:lineRule="auto"/>
        <w:rPr>
          <w:sz w:val="20"/>
          <w:szCs w:val="20"/>
          <w:color w:val="auto"/>
        </w:rPr>
      </w:pPr>
      <w:r>
        <w:rPr>
          <w:rFonts w:ascii="Times New Roman" w:cs="Times New Roman" w:eastAsia="Times New Roman" w:hAnsi="Times New Roman"/>
          <w:sz w:val="22"/>
          <w:szCs w:val="22"/>
          <w:color w:val="auto"/>
        </w:rPr>
        <w:t>The corporation may have, at the discretion of the Board of Directors, an Executive Chairman of the Board of Directors. The Executive Chairman shall, if one is designated by the Board of Directors and if present, preside at all meetings of the stockholders and of the Board of Directors, assist the directors and the senior officers of the corporation in the formulation of the strategy and policies of the corporation, shall be available to the officers for consultation and advice, and exercise and perform such other powers and duties as may be from time to time assigned by the Board of Directors. The Executive Chairman, if so designated by the Board of Directors, shall not be considered an officer of the corporation.</w:t>
      </w:r>
    </w:p>
    <w:p>
      <w:pPr>
        <w:spacing w:after="0" w:line="181"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2.8</w:t>
      </w:r>
      <w:r>
        <w:rPr>
          <w:sz w:val="20"/>
          <w:szCs w:val="20"/>
          <w:color w:val="auto"/>
        </w:rPr>
        <w:tab/>
      </w:r>
      <w:r>
        <w:rPr>
          <w:rFonts w:ascii="Times New Roman" w:cs="Times New Roman" w:eastAsia="Times New Roman" w:hAnsi="Times New Roman"/>
          <w:sz w:val="21"/>
          <w:szCs w:val="21"/>
          <w:u w:val="single" w:color="auto"/>
          <w:color w:val="auto"/>
        </w:rPr>
        <w:t>BOARD ACTION BY WRITTEN CONSENT WITHOUT A MEETING</w:t>
      </w:r>
    </w:p>
    <w:p>
      <w:pPr>
        <w:spacing w:after="0" w:line="220" w:lineRule="exact"/>
        <w:rPr>
          <w:sz w:val="20"/>
          <w:szCs w:val="20"/>
          <w:color w:val="auto"/>
        </w:rPr>
      </w:pPr>
    </w:p>
    <w:p>
      <w:pPr>
        <w:ind w:right="280" w:firstLine="648"/>
        <w:spacing w:after="0" w:line="256" w:lineRule="auto"/>
        <w:rPr>
          <w:sz w:val="20"/>
          <w:szCs w:val="20"/>
          <w:color w:val="auto"/>
        </w:rPr>
      </w:pPr>
      <w:r>
        <w:rPr>
          <w:rFonts w:ascii="Times New Roman" w:cs="Times New Roman" w:eastAsia="Times New Roman" w:hAnsi="Times New Roman"/>
          <w:sz w:val="22"/>
          <w:szCs w:val="22"/>
          <w:color w:val="auto"/>
        </w:rPr>
        <w:t>Unless otherwise restricted by the Certificate of Incorporation or these Bylaws, any action required or permitted to be taken at any meeting of the Board of Directors, or of any committee thereof, may be taken without a meeting if all members of the Board of Directors or such committee, as the case may be, consent thereto in writing, and the writing or writings are filed with the minutes of proceedings of the Board of Directors or such committee.</w:t>
      </w:r>
    </w:p>
    <w:p>
      <w:pPr>
        <w:spacing w:after="0" w:line="17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COMMITTEES</w:t>
      </w:r>
    </w:p>
    <w:p>
      <w:pPr>
        <w:spacing w:after="0" w:line="22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u w:val="single" w:color="auto"/>
          <w:color w:val="auto"/>
        </w:rPr>
        <w:t>COMMITTEES</w:t>
      </w:r>
    </w:p>
    <w:p>
      <w:pPr>
        <w:spacing w:after="0" w:line="23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1"/>
          <w:szCs w:val="21"/>
          <w:color w:val="auto"/>
        </w:rPr>
        <w:t>The Board of Directors may, by resolution passed by a majority of the whole Board of Directors,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the committee, the member or members thereof present at any meeting and not disqualified from voting, whether or not he or they constitute a quorum, may unanimously appoint another member of the Board of Directors to act at the meeting in place of any such absent or disqualified member. Any such committee, to the extent permitted by law and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w:t>
      </w:r>
    </w:p>
    <w:p>
      <w:pPr>
        <w:spacing w:after="0" w:line="175"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u w:val="single" w:color="auto"/>
          <w:color w:val="auto"/>
        </w:rPr>
        <w:t>COMMITTEE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2" w:right="339" w:bottom="1440" w:gutter="0" w:footer="0" w:header="0"/>
        </w:sectPr>
      </w:pPr>
    </w:p>
    <w:bookmarkStart w:id="122" w:name="page123"/>
    <w:bookmarkEnd w:id="122"/>
    <w:p>
      <w:pPr>
        <w:ind w:right="160" w:firstLine="648"/>
        <w:spacing w:after="0" w:line="271" w:lineRule="auto"/>
        <w:rPr>
          <w:sz w:val="20"/>
          <w:szCs w:val="20"/>
          <w:color w:val="auto"/>
        </w:rPr>
      </w:pPr>
      <w:r>
        <w:rPr>
          <w:rFonts w:ascii="Times New Roman" w:cs="Times New Roman" w:eastAsia="Times New Roman" w:hAnsi="Times New Roman"/>
          <w:sz w:val="22"/>
          <w:szCs w:val="22"/>
          <w:color w:val="auto"/>
        </w:rPr>
        <w:t>Unless the Board of Directors otherwise provides, each committee designated by the Board of Directors may make, alter and repeal rules for the conduct of its business.</w:t>
      </w:r>
    </w:p>
    <w:p>
      <w:pPr>
        <w:spacing w:after="0" w:line="15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OFFICERS</w:t>
      </w:r>
    </w:p>
    <w:p>
      <w:pPr>
        <w:spacing w:after="0" w:line="224" w:lineRule="exact"/>
        <w:rPr>
          <w:sz w:val="20"/>
          <w:szCs w:val="20"/>
          <w:color w:val="auto"/>
        </w:rPr>
      </w:pPr>
    </w:p>
    <w:p>
      <w:pPr>
        <w:ind w:left="1140" w:right="160" w:hanging="647"/>
        <w:spacing w:after="0" w:line="271" w:lineRule="auto"/>
        <w:tabs>
          <w:tab w:leader="none" w:pos="112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2"/>
          <w:szCs w:val="22"/>
          <w:u w:val="single" w:color="auto"/>
          <w:color w:val="auto"/>
        </w:rPr>
        <w:t>EXECUTIVE OFFICERS; ELECTION; QUALIFICATIONS; TERM OF OFFICE; RESIGNATION; REMOVAL; VACANCIES</w:t>
      </w:r>
    </w:p>
    <w:p>
      <w:pPr>
        <w:spacing w:after="0" w:line="158" w:lineRule="exact"/>
        <w:rPr>
          <w:sz w:val="20"/>
          <w:szCs w:val="20"/>
          <w:color w:val="auto"/>
        </w:rPr>
      </w:pPr>
    </w:p>
    <w:p>
      <w:pPr>
        <w:ind w:right="80" w:firstLine="656"/>
        <w:spacing w:after="0" w:line="248" w:lineRule="auto"/>
        <w:tabs>
          <w:tab w:leader="none" w:pos="106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determined by the Board of Directors, the officers of the corporation shall consist of a chief executive officer, a president, a chief financial officer, one or more vice presidents, a secretary, one or more assistant secretaries, a treasurer or one or more assistant treasurers as are elected by the Board of Directors and such other officers as the Board of Directors may determine, who will be elected in such manner and hold their offices for such terms as the Board of Directors may prescribe. Each such officer shall hold office until the first meeting of the Board of Directors after the annual meeting of stockholders next succeeding such officer’s election, and until such officer’s successor is elected and qualified or until such officer’s earlier resignation or removal. Any officer may resign at any time upon written notice to the corporation. The Board of Directors may remove any officer with or without cause at any time, but such removal shall be without prejudice to the contractual rights of such officer, if any, with the corporation. Any number of offices may be held by the same person. Any vacancy occurring in any office of the corporation by death, resignation, removal or otherwise may be filled for the unexpired portion of the term by the Board of Directors at any regular or special meeting.</w:t>
      </w:r>
    </w:p>
    <w:p>
      <w:pPr>
        <w:spacing w:after="0" w:line="188" w:lineRule="exact"/>
        <w:rPr>
          <w:rFonts w:ascii="Times New Roman" w:cs="Times New Roman" w:eastAsia="Times New Roman" w:hAnsi="Times New Roman"/>
          <w:sz w:val="22"/>
          <w:szCs w:val="22"/>
          <w:color w:val="auto"/>
        </w:rPr>
      </w:pPr>
    </w:p>
    <w:p>
      <w:pPr>
        <w:ind w:right="220" w:firstLine="656"/>
        <w:spacing w:after="0" w:line="256" w:lineRule="auto"/>
        <w:tabs>
          <w:tab w:leader="none" w:pos="112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officers elected by the Board of Directors, the corporation may have one or more appointed vice presidents. Such appointed vice presidents may be appointed by the Board of Directors, the Chairman of the Board of Directors or the chief executive officer and will have such duties as may be established by the Board of Directors, the Chairman of the Board of Directors or the chief executive officer.</w:t>
      </w:r>
    </w:p>
    <w:p>
      <w:pPr>
        <w:spacing w:after="0" w:line="17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STOCK</w:t>
      </w:r>
    </w:p>
    <w:p>
      <w:pPr>
        <w:spacing w:after="0" w:line="22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u w:val="single" w:color="auto"/>
          <w:color w:val="auto"/>
        </w:rPr>
        <w:t>CERTIFICATES</w:t>
      </w:r>
    </w:p>
    <w:p>
      <w:pPr>
        <w:spacing w:after="0" w:line="233"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22"/>
          <w:szCs w:val="22"/>
          <w:color w:val="auto"/>
        </w:rPr>
        <w:t>Shares of stock of the corporation may be certificated or uncertificated as provided by the Delaware General Corporation Law. Every holder of stock, upon written request, shall be entitled to have a certificate signed by or in the name of the corporation by the Chairman or Vice Chairman of the Board of Directors, if any, or the President or Vice President, and by the Treasurer or an Assistant Treasurer, or the Secretary or an Assistant Secretary, of the corporation, certifying the number of shares owned by such stockholder in the corporation. Any of or all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2"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2"/>
          <w:szCs w:val="22"/>
          <w:color w:val="auto"/>
        </w:rPr>
        <w:t>be issued by the corporation with the same effect as if he were such officer, transfer agent, or registrar at the date of issue.</w:t>
      </w:r>
    </w:p>
    <w:p>
      <w:pPr>
        <w:spacing w:after="0" w:line="22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u w:val="single" w:color="auto"/>
          <w:color w:val="auto"/>
        </w:rPr>
        <w:t>LOST, STOLEN OR DESTROYED STOCK CERTIFICATES; ISSUANCE OF NEW CERTIFICATES</w:t>
      </w:r>
    </w:p>
    <w:p>
      <w:pPr>
        <w:spacing w:after="0" w:line="22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22"/>
          <w:szCs w:val="22"/>
          <w:color w:val="auto"/>
        </w:rPr>
        <w:t>The corporation may issue a new certificate of stock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w:t>
      </w:r>
    </w:p>
    <w:p>
      <w:pPr>
        <w:spacing w:after="0" w:line="17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INDEMNIFICATION</w:t>
      </w:r>
    </w:p>
    <w:p>
      <w:pPr>
        <w:spacing w:after="0" w:line="23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1"/>
          <w:szCs w:val="21"/>
          <w:u w:val="single" w:color="auto"/>
          <w:color w:val="auto"/>
        </w:rPr>
        <w:t>THIRD PARTY ACTIONS</w:t>
      </w:r>
    </w:p>
    <w:p>
      <w:pPr>
        <w:spacing w:after="0" w:line="220"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or officer of the corporation, or that such director or officer is or was serving at the request of the corporation as a director, officer, employee or agent of another corporation, partnership, joint venture, trust or other enterprise (collectively “Agent”), against expenses (including attorneys’ fees), judgments, fines and amounts paid in settlement (if such settlement is approved in advance by the corporation, which approval shall not be unreasonably withheld)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action, suit or proceeding by judgment, order, settlement, conviction, or upon a plea of </w:t>
      </w:r>
      <w:r>
        <w:rPr>
          <w:rFonts w:ascii="Times New Roman" w:cs="Times New Roman" w:eastAsia="Times New Roman" w:hAnsi="Times New Roman"/>
          <w:sz w:val="21"/>
          <w:szCs w:val="21"/>
          <w:i w:val="1"/>
          <w:iCs w:val="1"/>
          <w:color w:val="auto"/>
        </w:rPr>
        <w:t>nolo contendere</w:t>
      </w:r>
      <w:r>
        <w:rPr>
          <w:rFonts w:ascii="Times New Roman" w:cs="Times New Roman" w:eastAsia="Times New Roman" w:hAnsi="Times New Roman"/>
          <w:sz w:val="21"/>
          <w:szCs w:val="21"/>
          <w:color w:val="auto"/>
        </w:rPr>
        <w:t xml:space="preserv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177" w:lineRule="exact"/>
        <w:rPr>
          <w:sz w:val="20"/>
          <w:szCs w:val="20"/>
          <w:color w:val="auto"/>
        </w:rPr>
      </w:pPr>
    </w:p>
    <w:p>
      <w:pPr>
        <w:ind w:right="40" w:firstLine="648"/>
        <w:spacing w:after="0" w:line="265" w:lineRule="auto"/>
        <w:rPr>
          <w:sz w:val="20"/>
          <w:szCs w:val="20"/>
          <w:color w:val="auto"/>
        </w:rPr>
      </w:pPr>
      <w:r>
        <w:rPr>
          <w:rFonts w:ascii="Times New Roman" w:cs="Times New Roman" w:eastAsia="Times New Roman" w:hAnsi="Times New Roman"/>
          <w:sz w:val="21"/>
          <w:szCs w:val="21"/>
          <w:color w:val="auto"/>
        </w:rPr>
        <w:t>Any reference to an officer of the corporation in this Article VI shall be deemed to refer exclusively to the chief executive officer, president, chief financial officer, general counsel, treasurer and secretary of the corporation appointed pursuant to Article IV of these Bylaws, and to any vice president, assistant secretary, assistant treasurer or other officer of the corporation appointed by the Board of Directors pursuant to Article IV of these Bylaws,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2" w:right="339" w:bottom="1440" w:gutter="0" w:footer="0" w:header="0"/>
        </w:sectPr>
      </w:pPr>
    </w:p>
    <w:bookmarkStart w:id="124" w:name="page125"/>
    <w:bookmarkEnd w:id="124"/>
    <w:p>
      <w:pPr>
        <w:ind w:right="100"/>
        <w:spacing w:after="0" w:line="249" w:lineRule="auto"/>
        <w:rPr>
          <w:sz w:val="20"/>
          <w:szCs w:val="20"/>
          <w:color w:val="auto"/>
        </w:rPr>
      </w:pPr>
      <w:r>
        <w:rPr>
          <w:rFonts w:ascii="Times New Roman" w:cs="Times New Roman" w:eastAsia="Times New Roman" w:hAnsi="Times New Roman"/>
          <w:sz w:val="22"/>
          <w:szCs w:val="22"/>
          <w:color w:val="auto"/>
        </w:rPr>
        <w:t>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but not an officer thereof as described in the preceding sentence, has been given or has used the title of “Vice President” or any other title that could be construed to suggest or imply that such person is or may be such an officer of the corporation or of such other corporation, partnership, joint venture, trust, employee benefit plan or other enterprise shall not result in such person being constituted as, or being deemed to be, such an officer of the corporation or of such other corporation, partnership, joint venture, trust, employee benefit plan or other enterprise for purposes of this Article VI.</w:t>
      </w:r>
    </w:p>
    <w:p>
      <w:pPr>
        <w:spacing w:after="0" w:line="195"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1"/>
          <w:szCs w:val="21"/>
          <w:u w:val="single" w:color="auto"/>
          <w:color w:val="auto"/>
        </w:rPr>
        <w:t>ACTIONS BY OR IN THE RIGHT OF THE CORPORATION</w:t>
      </w:r>
    </w:p>
    <w:p>
      <w:pPr>
        <w:spacing w:after="0" w:line="220"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2"/>
          <w:szCs w:val="22"/>
          <w:color w:val="auto"/>
        </w:rPr>
        <w:t>The corporation shall indemnify any person who was or is a party or is threatened to be made a party to any threatened, pending or completed action or suit by or in the right of the corporation to procure a judgment in its favor by reason of the fact that such person is or was an Agent (as defined in Section 6.1) against expenses (including attorneys’ fees) actually and reasonably incurred by such person in connection with the defense or settlement of such action or suit if he acted in good faith and in a manner such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Delaware Court of Chancery or such other court shall deem proper.</w:t>
      </w:r>
    </w:p>
    <w:p>
      <w:pPr>
        <w:spacing w:after="0" w:line="20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6.3</w:t>
      </w:r>
      <w:r>
        <w:rPr>
          <w:sz w:val="20"/>
          <w:szCs w:val="20"/>
          <w:color w:val="auto"/>
        </w:rPr>
        <w:tab/>
      </w:r>
      <w:r>
        <w:rPr>
          <w:rFonts w:ascii="Times New Roman" w:cs="Times New Roman" w:eastAsia="Times New Roman" w:hAnsi="Times New Roman"/>
          <w:sz w:val="21"/>
          <w:szCs w:val="21"/>
          <w:u w:val="single" w:color="auto"/>
          <w:color w:val="auto"/>
        </w:rPr>
        <w:t>SUCCESSFUL DEFENSE</w:t>
      </w:r>
    </w:p>
    <w:p>
      <w:pPr>
        <w:spacing w:after="0" w:line="220" w:lineRule="exact"/>
        <w:rPr>
          <w:sz w:val="20"/>
          <w:szCs w:val="20"/>
          <w:color w:val="auto"/>
        </w:rPr>
      </w:pPr>
    </w:p>
    <w:p>
      <w:pPr>
        <w:ind w:right="40" w:firstLine="648"/>
        <w:spacing w:after="0" w:line="275" w:lineRule="auto"/>
        <w:rPr>
          <w:sz w:val="20"/>
          <w:szCs w:val="20"/>
          <w:color w:val="auto"/>
        </w:rPr>
      </w:pPr>
      <w:r>
        <w:rPr>
          <w:rFonts w:ascii="Times New Roman" w:cs="Times New Roman" w:eastAsia="Times New Roman" w:hAnsi="Times New Roman"/>
          <w:sz w:val="21"/>
          <w:szCs w:val="21"/>
          <w:color w:val="auto"/>
        </w:rPr>
        <w:t>To the extent that an Agent of the corporation has been successful on the merits or otherwise in defense of any action, suit or proceeding referred to in Sections 6.1 and 6.2, or in defense of any claim, issue or matter therein, such Agent shall be indemnified against expenses (including attorneys’ fees) actually and reasonably incurred by such Agent in connection therewith.</w:t>
      </w:r>
    </w:p>
    <w:p>
      <w:pPr>
        <w:spacing w:after="0" w:line="155"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6.4</w:t>
      </w:r>
      <w:r>
        <w:rPr>
          <w:sz w:val="20"/>
          <w:szCs w:val="20"/>
          <w:color w:val="auto"/>
        </w:rPr>
        <w:tab/>
      </w:r>
      <w:r>
        <w:rPr>
          <w:rFonts w:ascii="Times New Roman" w:cs="Times New Roman" w:eastAsia="Times New Roman" w:hAnsi="Times New Roman"/>
          <w:sz w:val="21"/>
          <w:szCs w:val="21"/>
          <w:u w:val="single" w:color="auto"/>
          <w:color w:val="auto"/>
        </w:rPr>
        <w:t>DETERMINATION OF CONDUCT</w:t>
      </w:r>
    </w:p>
    <w:p>
      <w:pPr>
        <w:spacing w:after="0" w:line="233" w:lineRule="exact"/>
        <w:rPr>
          <w:sz w:val="20"/>
          <w:szCs w:val="20"/>
          <w:color w:val="auto"/>
        </w:rPr>
      </w:pPr>
    </w:p>
    <w:p>
      <w:pPr>
        <w:ind w:right="120" w:firstLine="648"/>
        <w:spacing w:after="0" w:line="248" w:lineRule="auto"/>
        <w:rPr>
          <w:sz w:val="20"/>
          <w:szCs w:val="20"/>
          <w:color w:val="auto"/>
        </w:rPr>
      </w:pPr>
      <w:r>
        <w:rPr>
          <w:rFonts w:ascii="Times New Roman" w:cs="Times New Roman" w:eastAsia="Times New Roman" w:hAnsi="Times New Roman"/>
          <w:sz w:val="22"/>
          <w:szCs w:val="22"/>
          <w:color w:val="auto"/>
        </w:rPr>
        <w:t>Any indemnification under Sections 6.1 and 6.2 (unless ordered by a court) shall be made by the corporation only as authorized in the specific case upon a determination that the indemnification of the Agent is proper in the circumstances because such Agent has met the applicable standard of conduct set forth in Sections 6.1 and 6.2. Such determination shall be made (1) by the Board of Directors or an executive committee by a majority vote of a quorum consisting of directors who were not parties to such action, suit or proceeding, or (2) if such quorum is not obtainable or, even if obtainable, a quorum of disinterested directors so directs, by independent legal counsel in a written opinion, or (3) by the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2" w:right="339" w:bottom="1440" w:gutter="0" w:footer="0" w:header="0"/>
        </w:sectPr>
      </w:pPr>
    </w:p>
    <w:bookmarkStart w:id="125" w:name="page126"/>
    <w:bookmarkEnd w:id="125"/>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6.5</w:t>
      </w:r>
      <w:r>
        <w:rPr>
          <w:sz w:val="20"/>
          <w:szCs w:val="20"/>
          <w:color w:val="auto"/>
        </w:rPr>
        <w:tab/>
      </w:r>
      <w:r>
        <w:rPr>
          <w:rFonts w:ascii="Times New Roman" w:cs="Times New Roman" w:eastAsia="Times New Roman" w:hAnsi="Times New Roman"/>
          <w:sz w:val="21"/>
          <w:szCs w:val="21"/>
          <w:u w:val="single" w:color="auto"/>
          <w:color w:val="auto"/>
        </w:rPr>
        <w:t>PAYMENT OF EXPENSES IN ADVANCE</w:t>
      </w:r>
    </w:p>
    <w:p>
      <w:pPr>
        <w:spacing w:after="0" w:line="22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22"/>
          <w:szCs w:val="22"/>
          <w:color w:val="auto"/>
        </w:rPr>
        <w:t>Expenses incurred in defending a civil or criminal action, suit or proceeding shall be paid by the corporation in advance of the final disposition of such action, suit or proceeding upon receipt of an undertaking by or on behalf of the director, officer, employee or agent to repay such amount if it shall ultimately be determined that such person is not entitled to be indemnified by the corporation as authorized in this Article VI.</w:t>
      </w:r>
    </w:p>
    <w:p>
      <w:pPr>
        <w:spacing w:after="0" w:line="17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6.6</w:t>
      </w:r>
      <w:r>
        <w:rPr>
          <w:sz w:val="20"/>
          <w:szCs w:val="20"/>
          <w:color w:val="auto"/>
        </w:rPr>
        <w:tab/>
      </w:r>
      <w:r>
        <w:rPr>
          <w:rFonts w:ascii="Times New Roman" w:cs="Times New Roman" w:eastAsia="Times New Roman" w:hAnsi="Times New Roman"/>
          <w:sz w:val="21"/>
          <w:szCs w:val="21"/>
          <w:u w:val="single" w:color="auto"/>
          <w:color w:val="auto"/>
        </w:rPr>
        <w:t>INDEMNITY NOT EXCLUSIVE</w:t>
      </w:r>
    </w:p>
    <w:p>
      <w:pPr>
        <w:spacing w:after="0" w:line="220" w:lineRule="exact"/>
        <w:rPr>
          <w:sz w:val="20"/>
          <w:szCs w:val="20"/>
          <w:color w:val="auto"/>
        </w:rPr>
      </w:pPr>
    </w:p>
    <w:p>
      <w:pPr>
        <w:ind w:right="280" w:firstLine="648"/>
        <w:spacing w:after="0" w:line="256" w:lineRule="auto"/>
        <w:rPr>
          <w:sz w:val="20"/>
          <w:szCs w:val="20"/>
          <w:color w:val="auto"/>
        </w:rPr>
      </w:pPr>
      <w:r>
        <w:rPr>
          <w:rFonts w:ascii="Times New Roman" w:cs="Times New Roman" w:eastAsia="Times New Roman" w:hAnsi="Times New Roman"/>
          <w:sz w:val="22"/>
          <w:szCs w:val="22"/>
          <w:color w:val="auto"/>
        </w:rPr>
        <w:t>The indemnification and advancement of expenses provided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w:t>
      </w:r>
    </w:p>
    <w:p>
      <w:pPr>
        <w:spacing w:after="0" w:line="17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6.7</w:t>
      </w:r>
      <w:r>
        <w:rPr>
          <w:sz w:val="20"/>
          <w:szCs w:val="20"/>
          <w:color w:val="auto"/>
        </w:rPr>
        <w:tab/>
      </w:r>
      <w:r>
        <w:rPr>
          <w:rFonts w:ascii="Times New Roman" w:cs="Times New Roman" w:eastAsia="Times New Roman" w:hAnsi="Times New Roman"/>
          <w:sz w:val="21"/>
          <w:szCs w:val="21"/>
          <w:u w:val="single" w:color="auto"/>
          <w:color w:val="auto"/>
        </w:rPr>
        <w:t>INSURANCE INDEMNIFICATION</w:t>
      </w:r>
    </w:p>
    <w:p>
      <w:pPr>
        <w:spacing w:after="0" w:line="220"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2"/>
          <w:szCs w:val="22"/>
          <w:color w:val="auto"/>
        </w:rPr>
        <w:t>The corporation shall have the power to purchase and maintain insurance on behalf of any person who is or was an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Article VI.</w:t>
      </w:r>
    </w:p>
    <w:p>
      <w:pPr>
        <w:spacing w:after="0" w:line="179"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6.8</w:t>
      </w:r>
      <w:r>
        <w:rPr>
          <w:sz w:val="20"/>
          <w:szCs w:val="20"/>
          <w:color w:val="auto"/>
        </w:rPr>
        <w:tab/>
      </w:r>
      <w:r>
        <w:rPr>
          <w:rFonts w:ascii="Times New Roman" w:cs="Times New Roman" w:eastAsia="Times New Roman" w:hAnsi="Times New Roman"/>
          <w:sz w:val="21"/>
          <w:szCs w:val="21"/>
          <w:u w:val="single" w:color="auto"/>
          <w:color w:val="auto"/>
        </w:rPr>
        <w:t>THE CORPORATION</w:t>
      </w:r>
    </w:p>
    <w:p>
      <w:pPr>
        <w:spacing w:after="0" w:line="220"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2"/>
          <w:szCs w:val="22"/>
          <w:color w:val="auto"/>
        </w:rPr>
        <w:t>For purposes of this Article VI,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and officers, so that any person who is or was a director or Agent of such constituent corporation, or is or was serving at the request of such constituent corporation as a director, officer, employee or agent of another corporation, partnership, joint venture, trust or other enterprise, shall stand in the same position under and subject to the provisions of this Article VI with respect to the resulting or surviving corporation as such person would have with respect to such constituent corporation if its separate existence had continued.</w:t>
      </w:r>
    </w:p>
    <w:p>
      <w:pPr>
        <w:spacing w:after="0" w:line="19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6.9</w:t>
      </w:r>
      <w:r>
        <w:rPr>
          <w:sz w:val="20"/>
          <w:szCs w:val="20"/>
          <w:color w:val="auto"/>
        </w:rPr>
        <w:tab/>
      </w:r>
      <w:r>
        <w:rPr>
          <w:rFonts w:ascii="Times New Roman" w:cs="Times New Roman" w:eastAsia="Times New Roman" w:hAnsi="Times New Roman"/>
          <w:sz w:val="21"/>
          <w:szCs w:val="21"/>
          <w:u w:val="single" w:color="auto"/>
          <w:color w:val="auto"/>
        </w:rPr>
        <w:t>EMPLOYEE BENEFIT PLANS</w:t>
      </w:r>
    </w:p>
    <w:p>
      <w:pPr>
        <w:spacing w:after="0" w:line="220"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2"/>
          <w:szCs w:val="22"/>
          <w:color w:val="auto"/>
        </w:rPr>
        <w:t>For purposes of this Article VI,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2" w:right="339" w:bottom="1440" w:gutter="0" w:footer="0" w:header="0"/>
        </w:sectPr>
      </w:pPr>
    </w:p>
    <w:bookmarkStart w:id="126" w:name="page127"/>
    <w:bookmarkEnd w:id="126"/>
    <w:p>
      <w:pPr>
        <w:ind w:right="60"/>
        <w:spacing w:after="0" w:line="257" w:lineRule="auto"/>
        <w:rPr>
          <w:sz w:val="20"/>
          <w:szCs w:val="20"/>
          <w:color w:val="auto"/>
        </w:rPr>
      </w:pPr>
      <w:r>
        <w:rPr>
          <w:rFonts w:ascii="Times New Roman" w:cs="Times New Roman" w:eastAsia="Times New Roman" w:hAnsi="Times New Roman"/>
          <w:sz w:val="22"/>
          <w:szCs w:val="22"/>
          <w:color w:val="auto"/>
        </w:rPr>
        <w:t>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Article VI.</w:t>
      </w:r>
    </w:p>
    <w:p>
      <w:pPr>
        <w:spacing w:after="0" w:line="18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6.10</w:t>
      </w:r>
      <w:r>
        <w:rPr>
          <w:sz w:val="20"/>
          <w:szCs w:val="20"/>
          <w:color w:val="auto"/>
        </w:rPr>
        <w:tab/>
      </w:r>
      <w:r>
        <w:rPr>
          <w:rFonts w:ascii="Times New Roman" w:cs="Times New Roman" w:eastAsia="Times New Roman" w:hAnsi="Times New Roman"/>
          <w:sz w:val="21"/>
          <w:szCs w:val="21"/>
          <w:u w:val="single" w:color="auto"/>
          <w:color w:val="auto"/>
        </w:rPr>
        <w:t>INDEMNITY FUND</w:t>
      </w:r>
    </w:p>
    <w:p>
      <w:pPr>
        <w:spacing w:after="0" w:line="220"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2"/>
          <w:szCs w:val="22"/>
          <w:color w:val="auto"/>
        </w:rPr>
        <w:t>Upon resolution passed by the Board of Directors, the corporation may establish a trust or other designated account, grant a security interest or use other means (including, without limitation, a letter of credit), to ensure the payment of certain of its obligations arising under this Article VI and/or agreements which may be entered into between the corporation and its officers and directors from time to time.</w:t>
      </w:r>
    </w:p>
    <w:p>
      <w:pPr>
        <w:spacing w:after="0" w:line="193"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2"/>
          <w:szCs w:val="22"/>
          <w:color w:val="auto"/>
        </w:rPr>
        <w:t>6.11</w:t>
      </w:r>
      <w:r>
        <w:rPr>
          <w:sz w:val="20"/>
          <w:szCs w:val="20"/>
          <w:color w:val="auto"/>
        </w:rPr>
        <w:tab/>
      </w:r>
      <w:r>
        <w:rPr>
          <w:rFonts w:ascii="Times New Roman" w:cs="Times New Roman" w:eastAsia="Times New Roman" w:hAnsi="Times New Roman"/>
          <w:sz w:val="21"/>
          <w:szCs w:val="21"/>
          <w:u w:val="single" w:color="auto"/>
          <w:color w:val="auto"/>
        </w:rPr>
        <w:t>INDEMNIFICATION OF OTHER PERSONS</w:t>
      </w:r>
    </w:p>
    <w:p>
      <w:pPr>
        <w:spacing w:after="0" w:line="220"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22"/>
          <w:szCs w:val="22"/>
          <w:color w:val="auto"/>
        </w:rPr>
        <w:t>The provisions of this Article VI shall not be deemed to preclude the indemnification of any person who is not an Agent (as defined in Section 6.1), but whom the corporation has the power or obligation to indemnify under the provisions of the Delaware General Corporation Law or otherwise. The corporation may, in its sole discretion, indemnify an employee, trustee or other agent as permitted by the Delaware General Corporation Law. The corporation shall indemnify an employee, trustee or other agent where required by law.</w:t>
      </w:r>
    </w:p>
    <w:p>
      <w:pPr>
        <w:spacing w:after="0" w:line="194"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6.12</w:t>
      </w:r>
      <w:r>
        <w:rPr>
          <w:sz w:val="20"/>
          <w:szCs w:val="20"/>
          <w:color w:val="auto"/>
        </w:rPr>
        <w:tab/>
      </w:r>
      <w:r>
        <w:rPr>
          <w:rFonts w:ascii="Times New Roman" w:cs="Times New Roman" w:eastAsia="Times New Roman" w:hAnsi="Times New Roman"/>
          <w:sz w:val="21"/>
          <w:szCs w:val="21"/>
          <w:u w:val="single" w:color="auto"/>
          <w:color w:val="auto"/>
        </w:rPr>
        <w:t>SAVINGS CLAUSE</w:t>
      </w:r>
    </w:p>
    <w:p>
      <w:pPr>
        <w:spacing w:after="0" w:line="220" w:lineRule="exact"/>
        <w:rPr>
          <w:sz w:val="20"/>
          <w:szCs w:val="20"/>
          <w:color w:val="auto"/>
        </w:rPr>
      </w:pPr>
    </w:p>
    <w:p>
      <w:pPr>
        <w:ind w:right="100" w:firstLine="648"/>
        <w:spacing w:after="0" w:line="251" w:lineRule="auto"/>
        <w:rPr>
          <w:sz w:val="20"/>
          <w:szCs w:val="20"/>
          <w:color w:val="auto"/>
        </w:rPr>
      </w:pPr>
      <w:r>
        <w:rPr>
          <w:rFonts w:ascii="Times New Roman" w:cs="Times New Roman" w:eastAsia="Times New Roman" w:hAnsi="Times New Roman"/>
          <w:sz w:val="22"/>
          <w:szCs w:val="22"/>
          <w:color w:val="auto"/>
        </w:rPr>
        <w:t>If this Article or any portion thereof shall be invalidated on any ground by any court of competent jurisdiction, then the corporation shall nevertheless indemnify each Agent against expenses (including attorneys’ fees), judgments, fines and amounts paid in settlement with respect to any action, suit, proceeding or investigation, whether civil, criminal or administrative, and whether internal or external, including a grand jury proceeding and an action or suit brought by or in the right of the corporation, to the full extent permitted by any applicable portion of this Article that shall not have been invalidated, or by any other applicable law.</w:t>
      </w:r>
    </w:p>
    <w:p>
      <w:pPr>
        <w:spacing w:after="0" w:line="181"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6.13</w:t>
      </w:r>
      <w:r>
        <w:rPr>
          <w:sz w:val="20"/>
          <w:szCs w:val="20"/>
          <w:color w:val="auto"/>
        </w:rPr>
        <w:tab/>
      </w:r>
      <w:r>
        <w:rPr>
          <w:rFonts w:ascii="Times New Roman" w:cs="Times New Roman" w:eastAsia="Times New Roman" w:hAnsi="Times New Roman"/>
          <w:sz w:val="21"/>
          <w:szCs w:val="21"/>
          <w:u w:val="single" w:color="auto"/>
          <w:color w:val="auto"/>
        </w:rPr>
        <w:t>CONTINUATION OF INDEMNIFICATION AND ADVANCEMENT OF EXPENSES</w:t>
      </w:r>
    </w:p>
    <w:p>
      <w:pPr>
        <w:spacing w:after="0" w:line="220" w:lineRule="exact"/>
        <w:rPr>
          <w:sz w:val="20"/>
          <w:szCs w:val="20"/>
          <w:color w:val="auto"/>
        </w:rPr>
      </w:pPr>
    </w:p>
    <w:p>
      <w:pPr>
        <w:ind w:right="480" w:firstLine="648"/>
        <w:spacing w:after="0" w:line="263" w:lineRule="auto"/>
        <w:rPr>
          <w:sz w:val="20"/>
          <w:szCs w:val="20"/>
          <w:color w:val="auto"/>
        </w:rPr>
      </w:pPr>
      <w:r>
        <w:rPr>
          <w:rFonts w:ascii="Times New Roman" w:cs="Times New Roman" w:eastAsia="Times New Roman" w:hAnsi="Times New Roman"/>
          <w:sz w:val="22"/>
          <w:szCs w:val="22"/>
          <w:color w:val="auto"/>
        </w:rPr>
        <w:t>The indemnification and advancement of expenses provided by, or granted pursuant to, this Article VI shall, unless otherwise provided when authorized or ratified, continue as to a person who has ceased to be a director, officer, employee or agent and shall inure to the benefit of the heirs, executors and administrators of such a person.</w:t>
      </w:r>
    </w:p>
    <w:p>
      <w:pPr>
        <w:spacing w:after="0" w:line="16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MISCELLANEOUS</w:t>
      </w:r>
    </w:p>
    <w:p>
      <w:pPr>
        <w:spacing w:after="0" w:line="22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1"/>
          <w:szCs w:val="21"/>
          <w:u w:val="single" w:color="auto"/>
          <w:color w:val="auto"/>
        </w:rPr>
        <w:t>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22" w:right="339" w:bottom="1440" w:gutter="0" w:footer="0" w:header="0"/>
        </w:sectPr>
      </w:pPr>
    </w:p>
    <w:bookmarkStart w:id="127" w:name="page128"/>
    <w:bookmarkEnd w:id="127"/>
    <w:p>
      <w:pPr>
        <w:ind w:left="660"/>
        <w:spacing w:after="0"/>
        <w:rPr>
          <w:sz w:val="20"/>
          <w:szCs w:val="20"/>
          <w:color w:val="auto"/>
        </w:rPr>
      </w:pPr>
      <w:r>
        <w:rPr>
          <w:rFonts w:ascii="Times New Roman" w:cs="Times New Roman" w:eastAsia="Times New Roman" w:hAnsi="Times New Roman"/>
          <w:sz w:val="22"/>
          <w:szCs w:val="22"/>
          <w:color w:val="auto"/>
        </w:rPr>
        <w:t>The fiscal year of the corporation shall be determined by resolution of the Board of Directors.</w:t>
      </w:r>
    </w:p>
    <w:p>
      <w:pPr>
        <w:spacing w:after="0" w:line="22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1"/>
          <w:szCs w:val="21"/>
          <w:u w:val="single" w:color="auto"/>
          <w:color w:val="auto"/>
        </w:rPr>
        <w:t>SEAL</w:t>
      </w:r>
    </w:p>
    <w:p>
      <w:pPr>
        <w:spacing w:after="0" w:line="220"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22"/>
          <w:szCs w:val="22"/>
          <w:color w:val="auto"/>
        </w:rPr>
        <w:t>The corporate seal shall have the name of the corporation inscribed thereon and shall be in such form as may be approved from time to time by the Board of Directors.</w:t>
      </w:r>
    </w:p>
    <w:p>
      <w:pPr>
        <w:spacing w:after="0" w:line="14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7.3</w:t>
      </w:r>
      <w:r>
        <w:rPr>
          <w:sz w:val="20"/>
          <w:szCs w:val="20"/>
          <w:color w:val="auto"/>
        </w:rPr>
        <w:tab/>
      </w:r>
      <w:r>
        <w:rPr>
          <w:rFonts w:ascii="Times New Roman" w:cs="Times New Roman" w:eastAsia="Times New Roman" w:hAnsi="Times New Roman"/>
          <w:sz w:val="21"/>
          <w:szCs w:val="21"/>
          <w:u w:val="single" w:color="auto"/>
          <w:color w:val="auto"/>
        </w:rPr>
        <w:t>WAIVER OF NOTICE OF MEETINGS OF STOCKHOLDERS, DIRECTORS AND COMMITTEES</w:t>
      </w:r>
    </w:p>
    <w:p>
      <w:pPr>
        <w:spacing w:after="0" w:line="220" w:lineRule="exact"/>
        <w:rPr>
          <w:sz w:val="20"/>
          <w:szCs w:val="20"/>
          <w:color w:val="auto"/>
        </w:rPr>
      </w:pPr>
    </w:p>
    <w:p>
      <w:pPr>
        <w:ind w:right="80" w:firstLine="648"/>
        <w:spacing w:after="0" w:line="263" w:lineRule="auto"/>
        <w:rPr>
          <w:sz w:val="20"/>
          <w:szCs w:val="20"/>
          <w:color w:val="auto"/>
        </w:rPr>
      </w:pPr>
      <w:r>
        <w:rPr>
          <w:rFonts w:ascii="Times New Roman" w:cs="Times New Roman" w:eastAsia="Times New Roman" w:hAnsi="Times New Roman"/>
          <w:sz w:val="21"/>
          <w:szCs w:val="21"/>
          <w:color w:val="auto"/>
        </w:rPr>
        <w:t>Any written waiver of notice, signed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If such a waiver is given by electronic transmission, the electronic transmission must either set forth or be submitted with information from which it can be determined that the electronic transmission was authorized by the stockholder.</w:t>
      </w:r>
    </w:p>
    <w:p>
      <w:pPr>
        <w:spacing w:after="0" w:line="173"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7.4</w:t>
      </w:r>
      <w:r>
        <w:rPr>
          <w:sz w:val="20"/>
          <w:szCs w:val="20"/>
          <w:color w:val="auto"/>
        </w:rPr>
        <w:tab/>
      </w:r>
      <w:r>
        <w:rPr>
          <w:rFonts w:ascii="Times New Roman" w:cs="Times New Roman" w:eastAsia="Times New Roman" w:hAnsi="Times New Roman"/>
          <w:sz w:val="21"/>
          <w:szCs w:val="21"/>
          <w:u w:val="single" w:color="auto"/>
          <w:color w:val="auto"/>
        </w:rPr>
        <w:t>INTERESTED DIRECTORS; QUORUM</w:t>
      </w:r>
    </w:p>
    <w:p>
      <w:pPr>
        <w:spacing w:after="0" w:line="22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1"/>
          <w:szCs w:val="21"/>
          <w:color w:val="auto"/>
        </w:rPr>
        <w:t>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his, her or their votes are counted for such purpose, if: (1) the material facts as to his, her or their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(2) the material facts as to his, her or their relationship or interest and as to the contract or transaction are disclosed or are known to the stockholders entitled to vote thereon, and the contract or transaction is specifically approved in good faith by vote of the stockholders; or (3)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the contract or transaction.</w:t>
      </w:r>
    </w:p>
    <w:p>
      <w:pPr>
        <w:spacing w:after="0" w:line="17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7.5</w:t>
      </w:r>
      <w:r>
        <w:rPr>
          <w:sz w:val="20"/>
          <w:szCs w:val="20"/>
          <w:color w:val="auto"/>
        </w:rPr>
        <w:tab/>
      </w:r>
      <w:r>
        <w:rPr>
          <w:rFonts w:ascii="Times New Roman" w:cs="Times New Roman" w:eastAsia="Times New Roman" w:hAnsi="Times New Roman"/>
          <w:sz w:val="21"/>
          <w:szCs w:val="21"/>
          <w:u w:val="single" w:color="auto"/>
          <w:color w:val="auto"/>
        </w:rPr>
        <w:t>FORM OF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22" w:right="339" w:bottom="1440" w:gutter="0" w:footer="0" w:header="0"/>
        </w:sectPr>
      </w:pPr>
    </w:p>
    <w:bookmarkStart w:id="128" w:name="page129"/>
    <w:bookmarkEnd w:id="128"/>
    <w:p>
      <w:pPr>
        <w:ind w:right="60" w:firstLine="648"/>
        <w:spacing w:after="0" w:line="272" w:lineRule="auto"/>
        <w:rPr>
          <w:sz w:val="20"/>
          <w:szCs w:val="20"/>
          <w:color w:val="auto"/>
        </w:rPr>
      </w:pPr>
      <w:r>
        <w:rPr>
          <w:rFonts w:ascii="Times New Roman" w:cs="Times New Roman" w:eastAsia="Times New Roman" w:hAnsi="Times New Roman"/>
          <w:sz w:val="21"/>
          <w:szCs w:val="21"/>
          <w:color w:val="auto"/>
        </w:rPr>
        <w:t>Any records maintained by the corporation in the regular course of its business, including its stock ledger, books of account, and minute books, may be kept on, or be in the form of, punch cards, magnetic tape, photographs, microphotographs or any other information storage device, provided that the records so kept can be converted into clearly legible form within a reasonable time. The corporation shall so convert any records so kept upon the request of any person entitled to inspect the same.</w:t>
      </w:r>
    </w:p>
    <w:p>
      <w:pPr>
        <w:spacing w:after="0" w:line="161"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7.6</w:t>
      </w:r>
      <w:r>
        <w:rPr>
          <w:sz w:val="20"/>
          <w:szCs w:val="20"/>
          <w:color w:val="auto"/>
        </w:rPr>
        <w:tab/>
      </w:r>
      <w:r>
        <w:rPr>
          <w:rFonts w:ascii="Times New Roman" w:cs="Times New Roman" w:eastAsia="Times New Roman" w:hAnsi="Times New Roman"/>
          <w:sz w:val="21"/>
          <w:szCs w:val="21"/>
          <w:u w:val="single" w:color="auto"/>
          <w:color w:val="auto"/>
        </w:rPr>
        <w:t>AMENDMENT OF BYLAWS</w:t>
      </w:r>
    </w:p>
    <w:p>
      <w:pPr>
        <w:spacing w:after="0" w:line="220" w:lineRule="exact"/>
        <w:rPr>
          <w:sz w:val="20"/>
          <w:szCs w:val="20"/>
          <w:color w:val="auto"/>
        </w:rPr>
      </w:pPr>
    </w:p>
    <w:p>
      <w:pPr>
        <w:jc w:val="both"/>
        <w:ind w:right="360" w:firstLine="648"/>
        <w:spacing w:after="0" w:line="295" w:lineRule="auto"/>
        <w:rPr>
          <w:sz w:val="20"/>
          <w:szCs w:val="20"/>
          <w:color w:val="auto"/>
        </w:rPr>
      </w:pPr>
      <w:r>
        <w:rPr>
          <w:rFonts w:ascii="Times New Roman" w:cs="Times New Roman" w:eastAsia="Times New Roman" w:hAnsi="Times New Roman"/>
          <w:sz w:val="21"/>
          <w:szCs w:val="21"/>
          <w:color w:val="auto"/>
        </w:rPr>
        <w:t>These Bylaws may be amended, altered or repealed, and new Bylaws adopted, by (i) the Board of Directors or (ii) the stockholders upon the affirmative vote of a majority of the voting power of the shares of capital stock entitled to vote thereon.</w:t>
      </w:r>
    </w:p>
    <w:p>
      <w:pPr>
        <w:spacing w:after="0" w:line="13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EXCLUSIVE FORUM</w:t>
      </w:r>
    </w:p>
    <w:p>
      <w:pPr>
        <w:spacing w:after="0" w:line="22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8.1</w:t>
      </w:r>
      <w:r>
        <w:rPr>
          <w:sz w:val="20"/>
          <w:szCs w:val="20"/>
          <w:color w:val="auto"/>
        </w:rPr>
        <w:tab/>
      </w:r>
      <w:r>
        <w:rPr>
          <w:rFonts w:ascii="Times New Roman" w:cs="Times New Roman" w:eastAsia="Times New Roman" w:hAnsi="Times New Roman"/>
          <w:sz w:val="21"/>
          <w:szCs w:val="21"/>
          <w:u w:val="single" w:color="auto"/>
          <w:color w:val="auto"/>
        </w:rPr>
        <w:t>EXCLUSIVE FORUM</w:t>
      </w:r>
    </w:p>
    <w:p>
      <w:pPr>
        <w:spacing w:after="0" w:line="220"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21"/>
          <w:szCs w:val="21"/>
          <w:color w:val="auto"/>
        </w:rPr>
        <w:t>Unless the corporation consents in writing to the selection of an alternative forum (an “Alternative Forum Consent”), the Court of Chancery of the State of Delaware shall be the sole and exclusive forum, to the fullest extent permitted by law, for (i) any derivative action or proceeding brought on behalf of the corporation, (ii) any action asserting a claim of a breach of a fiduciary duty owed by any director, officer, employee or agent of the corporation to the corporation or the corporation’s stockholders, (iii) any action asserting a claim arising pursuant to any provision of the Delaware General Corporation Law, the Certificate of Incorporation or these Bylaws (as either may be amended or restated) or (iv) any action asserting a claim governed by the internal affairs doctrine (except that, in the event the Delaware Court of Chancery lacks subject matter jurisdiction over any such action or proceeding, then the sole and exclusive forum for such action or proceeding shall be the federal district court for the District of Delaware). The sole and exclusive forum for any complaint asserting a cause of action arising under the Securities Act of 1933, as amended, shall be the federal district courts of the United States of America to the fullest extent permitted by law, unless provided for otherwise in an Alternative Forum Consent. Failure to enforce the foregoing provisions would cause the corporation irreparable harm and the corporation shall be entitled to equitable relief, including injunctive relief and specific performance, to enforce the foregoing provisions. Any person or entity purchasing or otherwise acquiring or holding any interest in shares of the corporation shall be deemed to have notice of and consented to the provisions of this Article VIII. If any action the subject matter of which is within the scope of the first sentence of this Article VIII is filed in a court other than the Delaware Court of Chancery (or the federal district court for the District of Delaware, as applicable) (a “Foreign Action”) by or in the name of any stockholder, such stockholder shall be deemed to have consented to (i) the personal jurisdiction of the Delaware Court of Chancery (or the federal district court for the District of Delaware, as applicable) in connection with any action brought in any such court to enforce this Article VIII and (ii) having service of process made upon such stockholder in any such action by service upon such stockholder’s counsel in the Foreign Action as agent for such stockholder. The existence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22" w:right="339" w:bottom="1440" w:gutter="0" w:footer="0" w:header="0"/>
        </w:sectPr>
      </w:pPr>
    </w:p>
    <w:bookmarkStart w:id="129" w:name="page130"/>
    <w:bookmarkEnd w:id="129"/>
    <w:p>
      <w:pPr>
        <w:ind w:right="420"/>
        <w:spacing w:after="0" w:line="271" w:lineRule="auto"/>
        <w:rPr>
          <w:sz w:val="20"/>
          <w:szCs w:val="20"/>
          <w:color w:val="auto"/>
        </w:rPr>
      </w:pPr>
      <w:r>
        <w:rPr>
          <w:rFonts w:ascii="Times New Roman" w:cs="Times New Roman" w:eastAsia="Times New Roman" w:hAnsi="Times New Roman"/>
          <w:sz w:val="22"/>
          <w:szCs w:val="22"/>
          <w:color w:val="auto"/>
        </w:rPr>
        <w:t>prior Alternative Forum Consent shall not act as a waiver of the corporation’s ongoing consent right as set forth above in this Article VIII with respect to any current or future actions or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22" w:right="339" w:bottom="1440" w:gutter="0" w:footer="0" w:header="0"/>
        </w:sectPr>
      </w:pPr>
    </w:p>
    <w:bookmarkStart w:id="130" w:name="page131"/>
    <w:bookmarkEnd w:id="130"/>
    <w:p>
      <w:pPr>
        <w:spacing w:after="0" w:line="1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10.22</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2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18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GLOBAL PERFORMANCE-VESTED RESTRICTED STOCK UNIT AWARD AGREEMENT</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Unless otherwise defined herein, each term used in this Global Performance-Vested Restricted Stock Unit Award Agreement, including the</w:t>
      </w:r>
    </w:p>
    <w:p>
      <w:pPr>
        <w:spacing w:after="0" w:line="16" w:lineRule="exact"/>
        <w:rPr>
          <w:sz w:val="20"/>
          <w:szCs w:val="20"/>
          <w:color w:val="auto"/>
        </w:rPr>
      </w:pPr>
    </w:p>
    <w:p>
      <w:pPr>
        <w:ind w:left="140" w:right="300"/>
        <w:spacing w:after="0" w:line="230" w:lineRule="auto"/>
        <w:rPr>
          <w:sz w:val="20"/>
          <w:szCs w:val="20"/>
          <w:color w:val="auto"/>
        </w:rPr>
      </w:pPr>
      <w:r>
        <w:rPr>
          <w:rFonts w:ascii="Times New Roman" w:cs="Times New Roman" w:eastAsia="Times New Roman" w:hAnsi="Times New Roman"/>
          <w:sz w:val="18"/>
          <w:szCs w:val="18"/>
          <w:color w:val="auto"/>
        </w:rPr>
        <w:t>performance goals set forth in the Appendix A attached hereto, the general terms and conditions for all non-U.S. Participants and the additional terms and conditions for certain countries, all as set forth in the Appendix B attached hereto (Appendices A and B, together with the Global Performance-Vested Restricted Stock Unit Award Agreement, the “Award Agreement”) and defined in the Amkor Technology, Inc. 2021 Equity Incentive Plan (the “Plan”) will have the same meaning as is given to such term in the Plan.</w:t>
      </w:r>
    </w:p>
    <w:p>
      <w:pPr>
        <w:spacing w:after="0" w:line="236" w:lineRule="exact"/>
        <w:rPr>
          <w:sz w:val="20"/>
          <w:szCs w:val="20"/>
          <w:color w:val="auto"/>
        </w:rPr>
      </w:pPr>
    </w:p>
    <w:p>
      <w:pPr>
        <w:ind w:left="640"/>
        <w:spacing w:after="0"/>
        <w:tabs>
          <w:tab w:leader="none" w:pos="3000" w:val="left"/>
        </w:tabs>
        <w:rPr>
          <w:sz w:val="20"/>
          <w:szCs w:val="20"/>
          <w:color w:val="auto"/>
        </w:rPr>
      </w:pPr>
      <w:r>
        <w:rPr>
          <w:rFonts w:ascii="Times New Roman" w:cs="Times New Roman" w:eastAsia="Times New Roman" w:hAnsi="Times New Roman"/>
          <w:sz w:val="18"/>
          <w:szCs w:val="18"/>
          <w:b w:val="1"/>
          <w:bCs w:val="1"/>
          <w:color w:val="auto"/>
        </w:rPr>
        <w:t>Participant Name:</w:t>
      </w:r>
      <w:r>
        <w:rPr>
          <w:sz w:val="20"/>
          <w:szCs w:val="20"/>
          <w:color w:val="auto"/>
        </w:rPr>
        <w:tab/>
      </w:r>
      <w:r>
        <w:rPr>
          <w:rFonts w:ascii="Times New Roman" w:cs="Times New Roman" w:eastAsia="Times New Roman" w:hAnsi="Times New Roman"/>
          <w:sz w:val="17"/>
          <w:szCs w:val="17"/>
          <w:color w:val="auto"/>
        </w:rPr>
        <w:t>Guillaume Marie Jean Rutten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80" w:right="280"/>
        <w:spacing w:after="0" w:line="250" w:lineRule="auto"/>
        <w:rPr>
          <w:sz w:val="20"/>
          <w:szCs w:val="20"/>
          <w:color w:val="auto"/>
        </w:rPr>
      </w:pPr>
      <w:r>
        <w:rPr>
          <w:rFonts w:ascii="Times New Roman" w:cs="Times New Roman" w:eastAsia="Times New Roman" w:hAnsi="Times New Roman"/>
          <w:sz w:val="18"/>
          <w:szCs w:val="18"/>
          <w:color w:val="auto"/>
        </w:rPr>
        <w:t>You have been granted the right to receive an Award of Performance-Vested Restricted Stock Units, subject to the terms and conditions of the Plan and this Award Agreement, as follows:</w:t>
      </w:r>
    </w:p>
    <w:p>
      <w:pPr>
        <w:spacing w:after="0" w:line="3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3342640</wp:posOffset>
            </wp:positionH>
            <wp:positionV relativeFrom="paragraph">
              <wp:posOffset>-22225</wp:posOffset>
            </wp:positionV>
            <wp:extent cx="2286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9">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3342640</wp:posOffset>
            </wp:positionH>
            <wp:positionV relativeFrom="paragraph">
              <wp:posOffset>-22225</wp:posOffset>
            </wp:positionV>
            <wp:extent cx="2286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0">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Number of Restricted Stock Units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3342640</wp:posOffset>
            </wp:positionH>
            <wp:positionV relativeFrom="paragraph">
              <wp:posOffset>-22225</wp:posOffset>
            </wp:positionV>
            <wp:extent cx="2286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1">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200" w:firstLine="8"/>
        <w:spacing w:after="0" w:line="236" w:lineRule="auto"/>
        <w:tabs>
          <w:tab w:leader="none" w:pos="31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The Company hereby grants to the individual named above (“Participant”) under the Plan as a separate incentive and not in lieu of any salary or other compensation for the Participant’s services, an Award of Restricted Stock Units (the “Award”), subject to all of the terms and conditions in this Award Agreement and the Plan, which is incorporated herein by reference. In the event of a conflict between the terms and conditions of the Plan and the terms and conditions of this Award Agreement, the terms and conditions of the Plan will prevail.</w:t>
      </w:r>
    </w:p>
    <w:p>
      <w:pPr>
        <w:spacing w:after="0" w:line="157" w:lineRule="exact"/>
        <w:rPr>
          <w:rFonts w:ascii="Times New Roman" w:cs="Times New Roman" w:eastAsia="Times New Roman" w:hAnsi="Times New Roman"/>
          <w:sz w:val="18"/>
          <w:szCs w:val="18"/>
          <w:color w:val="auto"/>
        </w:rPr>
      </w:pPr>
    </w:p>
    <w:p>
      <w:pPr>
        <w:ind w:right="100" w:firstLine="8"/>
        <w:spacing w:after="0" w:line="231" w:lineRule="auto"/>
        <w:tabs>
          <w:tab w:leader="none" w:pos="1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 Except as may be otherwise provided in Section 4 or Section 5 of this Award Agreement, the Award shall vest (a) if the Participant’s continuous status as a Service Provider has not terminated prior to the Determination Date (as defined below) and (b) to the extent the Performance Goal (as defined in Appendix A) has been attained and all other conditions for the vesting of the Restricted Stock Units have been satisfied, as determined on or prior to the Determination Date by Administrator, whose good faith determination shall be final, binding and conclusive on all persons, including, but not limited to, the Company and the Participant. The Determination Date shall be the date on which the Administrator determines and certifies in writing that the corresponding Performance Goal and all other conditions for the vesting of the Restricted Stock Units have been satisfied, which date shall not be more than ninety (90) days after the last day of the Performance Period (“Determination Date”).</w:t>
      </w:r>
    </w:p>
    <w:p>
      <w:pPr>
        <w:spacing w:after="0" w:line="158" w:lineRule="exact"/>
        <w:rPr>
          <w:sz w:val="20"/>
          <w:szCs w:val="20"/>
          <w:color w:val="auto"/>
        </w:rPr>
      </w:pPr>
    </w:p>
    <w:p>
      <w:pPr>
        <w:jc w:val="both"/>
        <w:ind w:right="420"/>
        <w:spacing w:after="0" w:line="242" w:lineRule="auto"/>
        <w:rPr>
          <w:sz w:val="20"/>
          <w:szCs w:val="20"/>
          <w:color w:val="auto"/>
        </w:rPr>
      </w:pPr>
      <w:r>
        <w:rPr>
          <w:rFonts w:ascii="Times New Roman" w:cs="Times New Roman" w:eastAsia="Times New Roman" w:hAnsi="Times New Roman"/>
          <w:sz w:val="18"/>
          <w:szCs w:val="18"/>
          <w:color w:val="auto"/>
        </w:rPr>
        <w:t>For the avoidance of doubt, unless otherwise set forth in Section 4 of this Award Agreement, employment or other service during only a portion of the vesting period until the Determination Date shall not entitle Participant to vest in a pro rata portion of the Restricted Stock Units scheduled to vest on such date.</w:t>
      </w:r>
    </w:p>
    <w:p>
      <w:pPr>
        <w:spacing w:after="0" w:line="143" w:lineRule="exact"/>
        <w:rPr>
          <w:sz w:val="20"/>
          <w:szCs w:val="20"/>
          <w:color w:val="auto"/>
        </w:rPr>
      </w:pPr>
    </w:p>
    <w:p>
      <w:pPr>
        <w:ind w:right="260" w:firstLine="8"/>
        <w:spacing w:after="0" w:line="236" w:lineRule="auto"/>
        <w:tabs>
          <w:tab w:leader="none" w:pos="31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Subject to Sections 7 and 22 hereof, promptly following each applicable vesting date (including any accelerated vesting date under Section 4), and in any event within forty-five (45) days thereof, the Company shall, in the Administrator’s sole discretion, either (i) pay to Participant an amount in cash equal to the Fair Market Value of the Shares represented by the RSUs that vested as of the most recent vesting date, or (ii) (a) issue and deliver to the Participant the number of Shares equal to the number of vested Restricted Stock Units and (b) enter the</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name on the books of the Company as the stockholder of record with respect to the Shares delivered to the Participant.</w:t>
      </w:r>
    </w:p>
    <w:p>
      <w:pPr>
        <w:spacing w:after="0" w:line="104" w:lineRule="exact"/>
        <w:rPr>
          <w:sz w:val="20"/>
          <w:szCs w:val="20"/>
          <w:color w:val="auto"/>
        </w:rPr>
      </w:pPr>
    </w:p>
    <w:p>
      <w:pPr>
        <w:ind w:left="180" w:hanging="172"/>
        <w:spacing w:after="0"/>
        <w:tabs>
          <w:tab w:leader="none" w:pos="1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Status as a Service Provider.</w:t>
      </w:r>
    </w:p>
    <w:p>
      <w:pPr>
        <w:spacing w:after="0" w:line="184" w:lineRule="exact"/>
        <w:rPr>
          <w:rFonts w:ascii="Times New Roman" w:cs="Times New Roman" w:eastAsia="Times New Roman" w:hAnsi="Times New Roman"/>
          <w:sz w:val="18"/>
          <w:szCs w:val="18"/>
          <w:color w:val="auto"/>
        </w:rPr>
      </w:pPr>
    </w:p>
    <w:p>
      <w:pPr>
        <w:jc w:val="both"/>
        <w:ind w:right="300" w:firstLine="332"/>
        <w:spacing w:after="0" w:line="233" w:lineRule="auto"/>
        <w:tabs>
          <w:tab w:leader="none" w:pos="56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Death or Disabilit</w:t>
      </w:r>
      <w:r>
        <w:rPr>
          <w:rFonts w:ascii="Times New Roman" w:cs="Times New Roman" w:eastAsia="Times New Roman" w:hAnsi="Times New Roman"/>
          <w:sz w:val="18"/>
          <w:szCs w:val="18"/>
          <w:color w:val="auto"/>
        </w:rPr>
        <w:t>y. If the Participant’s termination as a Service Provider is due to death or Disability and such termination occurs before the Determination Date, the Participant shall become vested at the time of the Determination Date in a number of Restricted Stock Units equal to the product of (i) the number of Restricted Stock Units that the Participant would have become vested in accordance with Section 2 had the Participant’s continuous status as a Service Provider had continued through the Determination Date and (ii) a fraction, the numerator of which is the number of days during the Performance Period that the Participant provided services as a Service Provider and the denominator of which is the total number of days in the Performance Period.</w:t>
      </w:r>
    </w:p>
    <w:p>
      <w:pPr>
        <w:spacing w:after="0" w:line="157" w:lineRule="exact"/>
        <w:rPr>
          <w:rFonts w:ascii="Times New Roman" w:cs="Times New Roman" w:eastAsia="Times New Roman" w:hAnsi="Times New Roman"/>
          <w:sz w:val="18"/>
          <w:szCs w:val="18"/>
          <w:color w:val="auto"/>
        </w:rPr>
      </w:pPr>
    </w:p>
    <w:p>
      <w:pPr>
        <w:ind w:firstLine="332"/>
        <w:spacing w:after="0" w:line="242" w:lineRule="auto"/>
        <w:tabs>
          <w:tab w:leader="none" w:pos="579"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Due to Retirement</w:t>
      </w:r>
      <w:r>
        <w:rPr>
          <w:rFonts w:ascii="Times New Roman" w:cs="Times New Roman" w:eastAsia="Times New Roman" w:hAnsi="Times New Roman"/>
          <w:sz w:val="17"/>
          <w:szCs w:val="17"/>
          <w:color w:val="auto"/>
        </w:rPr>
        <w:t>. If the Participant’s termination as a Service Provider is due to Retirement (as defined herein), and such Retirement occurs before the Determination Date, the Participant shall become vested at the time of the Determination Date in a number of Restricted Stock Units equal to the product of (i) the number of Restricted Stock Units that the Participant would have earned in accordance with Section 2 had the Participant remained as a Service Provider through the end of the Performance Period and (ii) a fraction, the numerator of which is the number of days during the Performance Period that the Participant provided services as a Service Provider during such year and the denominator of which is the total number of days in the Performance Period. Notwithstanding the preceding sentence, if such Retirement occurred within six (6) months following the Date of Grant, all the Restricted Stock Units will be forfeited (with no consideration due the Participant), and Participant will have no further rights thereunder. “Retirement” for purposes of this Award Agreement shall mean the Participant’s resignation from the Company (or the Subsidiary employing or retaining Participant) on or after the date on which the sum of (i) the Participant’s age (rounded down to the nearest whole month) plus (ii) the number of years (rounded down to the nearest whole month) that the Participant has provided services as a Service Provider to the Company equals or is greater than seventy-five (75).</w:t>
      </w:r>
    </w:p>
    <w:p>
      <w:pPr>
        <w:spacing w:after="0" w:line="162" w:lineRule="exact"/>
        <w:rPr>
          <w:sz w:val="20"/>
          <w:szCs w:val="20"/>
          <w:color w:val="auto"/>
        </w:rPr>
      </w:pPr>
    </w:p>
    <w:p>
      <w:pPr>
        <w:ind w:right="400" w:firstLine="454"/>
        <w:spacing w:after="0" w:line="232" w:lineRule="auto"/>
        <w:rPr>
          <w:sz w:val="20"/>
          <w:szCs w:val="20"/>
          <w:color w:val="auto"/>
        </w:rPr>
      </w:pPr>
      <w:r>
        <w:rPr>
          <w:rFonts w:ascii="Times New Roman" w:cs="Times New Roman" w:eastAsia="Times New Roman" w:hAnsi="Times New Roman"/>
          <w:sz w:val="18"/>
          <w:szCs w:val="18"/>
          <w:color w:val="auto"/>
        </w:rPr>
        <w:t>Notwithstanding the foregoing, if the Company receives a legal opinion that there has been a legal judgment and/or legal development in Participant’s jurisdiction that likely would result in the favorable treatment that applies to the Restricted Stock Units when Participant’s status as a Service Provider terminates as a result of Participant’s Retirement being deemed unlawful and/or discriminatory, the provisions of this Section 4(b) regarding the treatment of the Restricted Stock Units when Participant’s status as a Service Provider terminates as a result of Participant’s Retirement will not be applicable to Participant and the remaining provisions of this Award Agreement will govern.</w:t>
      </w:r>
    </w:p>
    <w:p>
      <w:pPr>
        <w:spacing w:after="0" w:line="161" w:lineRule="exact"/>
        <w:rPr>
          <w:sz w:val="20"/>
          <w:szCs w:val="20"/>
          <w:color w:val="auto"/>
        </w:rPr>
      </w:pPr>
    </w:p>
    <w:p>
      <w:pPr>
        <w:ind w:firstLine="332"/>
        <w:spacing w:after="0" w:line="233" w:lineRule="auto"/>
        <w:tabs>
          <w:tab w:leader="none" w:pos="56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without Cause</w:t>
      </w:r>
      <w:r>
        <w:rPr>
          <w:rFonts w:ascii="Times New Roman" w:cs="Times New Roman" w:eastAsia="Times New Roman" w:hAnsi="Times New Roman"/>
          <w:sz w:val="18"/>
          <w:szCs w:val="18"/>
          <w:color w:val="auto"/>
        </w:rPr>
        <w:t>. If Participant’s status as a Service Provider is terminated by the Company without Cause before this Award is vested in full, Participant shall become vested at the time of such termination, with respect to that number of Restricted Stock Units that would vest upon the achievement of the Performance Goal at the target (100.0%) level for the current EPS Performance Period (as defined in Appendix A) and multiplied by a fraction, the numerator of which is the number of fiscal quarters that have elapsed since the start of the current EPS Performance Period (inclusive of the current fiscal quarter) and the denominator of which is four. Following application of the preceding sentence, the balance of the Restricted Stock Units that have not vested at the time of Participant’s termination as a Service Provider without Cause will be forfeited (with no consideration due to Participant) and automatically transferred to and reacquired by the Company at no cost to the Company upon the date of such termination and Participant will have no further rights thereunder.</w:t>
      </w:r>
    </w:p>
    <w:p>
      <w:pPr>
        <w:spacing w:after="0" w:line="160" w:lineRule="exact"/>
        <w:rPr>
          <w:rFonts w:ascii="Times New Roman" w:cs="Times New Roman" w:eastAsia="Times New Roman" w:hAnsi="Times New Roman"/>
          <w:sz w:val="18"/>
          <w:szCs w:val="18"/>
          <w:color w:val="auto"/>
        </w:rPr>
      </w:pPr>
    </w:p>
    <w:p>
      <w:pPr>
        <w:ind w:right="100" w:firstLine="332"/>
        <w:spacing w:after="0" w:line="232" w:lineRule="auto"/>
        <w:tabs>
          <w:tab w:leader="none" w:pos="579"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 in Control</w:t>
      </w:r>
      <w:r>
        <w:rPr>
          <w:rFonts w:ascii="Times New Roman" w:cs="Times New Roman" w:eastAsia="Times New Roman" w:hAnsi="Times New Roman"/>
          <w:sz w:val="18"/>
          <w:szCs w:val="18"/>
          <w:color w:val="auto"/>
        </w:rPr>
        <w:t>. If a Change in Control occurs, the Award is assumed by the successor in connection with the Change in Control and the Participant either (i) remains a Service Provider through the Determination Date or (ii) the Participant’s continuous status as a Service Provider is terminated prior to the Determination Date (A) by the Company (or the Subsidiary employing or retaining Participant) for any reason other than Cause or</w:t>
      </w:r>
    </w:p>
    <w:p>
      <w:pPr>
        <w:ind w:right="20" w:firstLine="8"/>
        <w:spacing w:after="0" w:line="227" w:lineRule="auto"/>
        <w:tabs>
          <w:tab w:leader="none" w:pos="28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Participant for Good Reason, the Participant shall become vested at the time of the Determination Date in a number of Restricted Stock Units equal to the greater of (i) the amount of Restricted Stock Units that the Participant would have received had the Performance Goal been attained at the 100% attainment level and (ii) the actual attainment level of the Performance Goal measured as of the time of the Change in Control. For purposes of this Award Agreement, “Good Reason” shall mean: (i) a material reduction in the Participant’s authority, duties or responsibilities; (ii) a material reduction in the Participant’s base salary or bonus opportunity (other than a general reduction in base salary that affects all similarly situated executives in substantially the same proportions); or (iii) any material breach by the Company of any material provision of this Agreement. However, Good Reason shall not be deemed to exist unless (x) Participant shall have given written notice to the Company specifying in reasonable</w:t>
      </w:r>
    </w:p>
    <w:p>
      <w:pPr>
        <w:sectPr>
          <w:pgSz w:w="11900" w:h="16838" w:orient="portrait"/>
          <w:cols w:equalWidth="0" w:num="1">
            <w:col w:w="11160"/>
          </w:cols>
          <w:pgMar w:left="320" w:top="1440" w:right="419" w:bottom="1440" w:gutter="0" w:footer="0" w:header="0"/>
        </w:sectPr>
      </w:pPr>
    </w:p>
    <w:bookmarkStart w:id="132" w:name="page133"/>
    <w:bookmarkEnd w:id="132"/>
    <w:p>
      <w:pPr>
        <w:spacing w:after="0" w:line="15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detail the circumstances that Participant alleges constitute Good Reason within thirty (30) calendar days of learning of such act or omission and (y) the Company has failed to cure any such circumstances within thirty (30) calendar days of receipt of such written notice.</w:t>
      </w:r>
    </w:p>
    <w:p>
      <w:pPr>
        <w:spacing w:after="0" w:line="135" w:lineRule="exact"/>
        <w:rPr>
          <w:sz w:val="20"/>
          <w:szCs w:val="20"/>
          <w:color w:val="auto"/>
        </w:rPr>
      </w:pPr>
    </w:p>
    <w:p>
      <w:pPr>
        <w:jc w:val="center"/>
        <w:ind w:right="300" w:firstLine="8"/>
        <w:spacing w:after="0" w:line="253" w:lineRule="auto"/>
        <w:tabs>
          <w:tab w:leader="none" w:pos="18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Forfeiture upon Termination of Status as a Service Provider</w:t>
      </w:r>
      <w:r>
        <w:rPr>
          <w:rFonts w:ascii="Times New Roman" w:cs="Times New Roman" w:eastAsia="Times New Roman" w:hAnsi="Times New Roman"/>
          <w:sz w:val="17"/>
          <w:szCs w:val="17"/>
          <w:color w:val="auto"/>
        </w:rPr>
        <w:t>. Notwithstanding any contrary provision of this Award Agreement, but subject to the vesting provisions set forth in this Award Agreement and Section 4 above, the balance of the Restricted Stock Units that have not vested at the time of Participant’s termination as a Service Provider for any reason will be forfeited (with no consideration due to Participant) and automatically transferred to and reacquired by the Company at no cost to the Company upon the date of such termination and Participant will have no further rights thereunder.</w:t>
      </w:r>
    </w:p>
    <w:p>
      <w:pPr>
        <w:spacing w:after="0" w:line="148" w:lineRule="exact"/>
        <w:rPr>
          <w:sz w:val="20"/>
          <w:szCs w:val="20"/>
          <w:color w:val="auto"/>
        </w:rPr>
      </w:pPr>
    </w:p>
    <w:p>
      <w:pPr>
        <w:ind w:right="160"/>
        <w:spacing w:after="0" w:line="229" w:lineRule="auto"/>
        <w:rPr>
          <w:sz w:val="20"/>
          <w:szCs w:val="20"/>
          <w:color w:val="auto"/>
        </w:rPr>
      </w:pPr>
      <w:r>
        <w:rPr>
          <w:rFonts w:ascii="Times New Roman" w:cs="Times New Roman" w:eastAsia="Times New Roman" w:hAnsi="Times New Roman"/>
          <w:sz w:val="18"/>
          <w:szCs w:val="18"/>
          <w:color w:val="auto"/>
        </w:rPr>
        <w:t>For purposes of the Restricted Stock Units, Participant’s status as a Service Provider will be deemed terminated as of the date Participant is no longer actively providing services to the Company or one of its Subsidiaries (regardless of the reason for such termination and whether or not later found to be invalid or in breach of labor laws in the jurisdiction where Participant is providing service or the terms of Participant’s employment or other service agreement, if any) and such date will not be extended by any notice period (e.g., Participant’s period of service would not include any contractual notice period or any period of “garden leave” or similar period mandated under labor laws in the jurisdiction where the Participant is providing service or the terms of Participant’s employment or other service agreement, if any). The Administrator shall have the exclusive discretion to determine when Participant is no longer actively provides services for purposes of the Restricted Stock (including whether Participant may still be considered to be providing services while on a leave of absence).</w:t>
      </w:r>
    </w:p>
    <w:p>
      <w:pPr>
        <w:spacing w:after="0" w:line="162" w:lineRule="exact"/>
        <w:rPr>
          <w:sz w:val="20"/>
          <w:szCs w:val="20"/>
          <w:color w:val="auto"/>
        </w:rPr>
      </w:pPr>
    </w:p>
    <w:p>
      <w:pPr>
        <w:ind w:right="120" w:firstLine="8"/>
        <w:spacing w:after="0" w:line="231" w:lineRule="auto"/>
        <w:tabs>
          <w:tab w:leader="none" w:pos="1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w:t>
      </w:r>
      <w:r>
        <w:rPr>
          <w:rFonts w:ascii="Times New Roman" w:cs="Times New Roman" w:eastAsia="Times New Roman" w:hAnsi="Times New Roman"/>
          <w:sz w:val="18"/>
          <w:szCs w:val="18"/>
          <w:color w:val="auto"/>
        </w:rPr>
        <w:t>. Notwithstanding any provision of this Award Agreement to the contrary, the Award is subject in all respects to the Amkor Technology, Inc. Excess Compensation Recovery Policy, as amended from time to time (the “Policy”). In the event of an “Accounting Restatement” (as defined in the Policy), the Award (or any portion thereof) may be subject to recovery by the Company if the Award (or any portion thereof) is determined to be “Erroneously Awarded Compensation” (as defined in the Policy). In addition, the Award is subject to recovery by the Company if the Company is required to restate its financial statements resulting in the financial results being reduced such that the Award (or any portion thereof) would not have been paid, if the Company determines, in its sole discretion, that the Participant engaged in intentional misconduct or fraud that resulted in such restatement.</w:t>
      </w:r>
    </w:p>
    <w:p>
      <w:pPr>
        <w:spacing w:after="0" w:line="157" w:lineRule="exact"/>
        <w:rPr>
          <w:rFonts w:ascii="Times New Roman" w:cs="Times New Roman" w:eastAsia="Times New Roman" w:hAnsi="Times New Roman"/>
          <w:sz w:val="18"/>
          <w:szCs w:val="18"/>
          <w:color w:val="auto"/>
        </w:rPr>
      </w:pPr>
    </w:p>
    <w:p>
      <w:pPr>
        <w:ind w:right="40" w:firstLine="8"/>
        <w:spacing w:after="0" w:line="235" w:lineRule="auto"/>
        <w:tabs>
          <w:tab w:leader="none" w:pos="1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of Participant</w:t>
      </w:r>
      <w:r>
        <w:rPr>
          <w:rFonts w:ascii="Times New Roman" w:cs="Times New Roman" w:eastAsia="Times New Roman" w:hAnsi="Times New Roman"/>
          <w:sz w:val="18"/>
          <w:szCs w:val="18"/>
          <w:color w:val="auto"/>
        </w:rPr>
        <w:t>. Notwithstanding any provision of this Award Agreement to the contrary, any distribution or delivery to be made to Participant under this Award Agreement will, if Participant is then deceased, be made to the administrator or executor of Participant’s estate, Participant’s legal heirs or, provided such designation has been permitted by the Company and/or is valid under Applicable Laws, Participant’s designated beneficiary.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61" w:lineRule="exact"/>
        <w:rPr>
          <w:rFonts w:ascii="Times New Roman" w:cs="Times New Roman" w:eastAsia="Times New Roman" w:hAnsi="Times New Roman"/>
          <w:sz w:val="18"/>
          <w:szCs w:val="18"/>
          <w:color w:val="auto"/>
        </w:rPr>
      </w:pPr>
    </w:p>
    <w:p>
      <w:pPr>
        <w:ind w:left="200" w:hanging="183"/>
        <w:spacing w:after="0"/>
        <w:tabs>
          <w:tab w:leader="none" w:pos="2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Responsibilit</w:t>
      </w:r>
      <w:r>
        <w:rPr>
          <w:rFonts w:ascii="Times New Roman" w:cs="Times New Roman" w:eastAsia="Times New Roman" w:hAnsi="Times New Roman"/>
          <w:sz w:val="18"/>
          <w:szCs w:val="18"/>
          <w:color w:val="auto"/>
        </w:rPr>
        <w:t>y for Taxes.</w:t>
      </w:r>
    </w:p>
    <w:p>
      <w:pPr>
        <w:spacing w:after="0" w:line="171" w:lineRule="exact"/>
        <w:rPr>
          <w:rFonts w:ascii="Times New Roman" w:cs="Times New Roman" w:eastAsia="Times New Roman" w:hAnsi="Times New Roman"/>
          <w:sz w:val="18"/>
          <w:szCs w:val="18"/>
          <w:color w:val="auto"/>
        </w:rPr>
      </w:pPr>
    </w:p>
    <w:p>
      <w:pPr>
        <w:ind w:firstLine="332"/>
        <w:spacing w:after="0" w:line="229" w:lineRule="auto"/>
        <w:tabs>
          <w:tab w:leader="none" w:pos="56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and agrees that, regardless of any action taken by the Company or, if different, the Subsidiary to which Participant is providing services (the “Service Recipient”), the ultimate liability for all income tax, social insurance, payroll tax, fringe benefits tax, payment on account or other tax-related items related to Participant’s participation in the Plan and legally applicable to Participant (“Tax-Related Items”) is and remains Participant’s responsibility and may exceed the amount, if any, actually withheld by the Company or the Service Recipient. Participant further acknowledges that the Company and/or the Service Recipient: (i) make no representations or undertakings regarding the treatment of any Tax-Related Items in connection with any aspect of the Restricted Stock Units, including, but not limited to, the grant or vesting of Restricted Stock Units, or the subsequent sale of Shares acquired at vesting and the receipt of any dividends; and (ii) do not commit to and are under no obligation to structure the terms of the grant or any aspect of the Restricted Stock Units to reduce or eliminate Participant’s liability for Tax-Related Items or achieve any particular tax result. Further, if Participant is subject to Tax-Related Items in more than one jurisdiction, Participant acknowledges that the Company and/or the Service Recipient (or former service recipient, as applicable) may be required to withhold or account for Tax-Related Items in more than one jurisdiction.</w:t>
      </w:r>
    </w:p>
    <w:p>
      <w:pPr>
        <w:spacing w:after="0" w:line="158" w:lineRule="exact"/>
        <w:rPr>
          <w:rFonts w:ascii="Times New Roman" w:cs="Times New Roman" w:eastAsia="Times New Roman" w:hAnsi="Times New Roman"/>
          <w:sz w:val="18"/>
          <w:szCs w:val="18"/>
          <w:color w:val="auto"/>
        </w:rPr>
      </w:pPr>
    </w:p>
    <w:p>
      <w:pPr>
        <w:ind w:right="180" w:firstLine="332"/>
        <w:spacing w:after="0" w:line="264" w:lineRule="auto"/>
        <w:tabs>
          <w:tab w:leader="none" w:pos="579"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relevant taxable or tax withholding event, as applicable, Participant agrees to make adequate arrangements satisfactory to the Company and/or the Service Recipient to satisfy all Tax-Related Items. In this regard, Participant authorizes the Company and/or the Service Recipient, or their respective agents, at their discretion, to satisfy any applicable withholding obligations with regard to all Tax-Related Items by one or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-1880235</wp:posOffset>
            </wp:positionV>
            <wp:extent cx="45529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2">
                      <a:extLst>
                        <a:ext uri="{28A0092B-C50C-407E-A947-70E740481C1C}"/>
                      </a:extLst>
                    </a:blip>
                    <a:srcRect/>
                    <a:stretch>
                      <a:fillRect/>
                    </a:stretch>
                  </pic:blipFill>
                  <pic:spPr bwMode="auto">
                    <a:xfrm>
                      <a:off x="0" y="0"/>
                      <a:ext cx="455295" cy="825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33" w:name="page134"/>
    <w:bookmarkEnd w:id="133"/>
    <w:p>
      <w:pPr>
        <w:spacing w:after="0" w:line="153"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8"/>
          <w:szCs w:val="18"/>
          <w:color w:val="auto"/>
        </w:rPr>
        <w:t>combination of the following: (i) withholding from Participant’s salary, wages or other compensation payable to Participant by the Company and/or the Service Recipient; (ii) withholding from proceeds of the sale of the Shares subject to the Restricted Stock Units either through a voluntary sale or through a mandatory sale arranged by the Company (on Participant’s behalf pursuant to this authorization without further consent); (iii) withholding Shares subject to the Restricted Stock Units; or (iv) any method determined by the Administrator to be in compliance with Applicable Laws. Notwithstanding the foregoing, if Participant is subject to Section 16 of the Exchange Act at the time the withholding obligation for Tax-Related Items becomes due, the Administrator will satisfy any applicable withholding obligation by directing the Company to withhold Shares subject to the Restricted Stock Units (except in the case of U.S. Federal Insurance Contribution Act taxes or other Tax-Related Items which become payable in a year prior to the year in which the Shares are issued).</w:t>
      </w:r>
    </w:p>
    <w:p>
      <w:pPr>
        <w:spacing w:after="0" w:line="80" w:lineRule="exact"/>
        <w:rPr>
          <w:sz w:val="20"/>
          <w:szCs w:val="20"/>
          <w:color w:val="auto"/>
        </w:rPr>
      </w:pPr>
    </w:p>
    <w:p>
      <w:pPr>
        <w:ind w:firstLine="332"/>
        <w:spacing w:after="0" w:line="231" w:lineRule="auto"/>
        <w:tabs>
          <w:tab w:leader="none" w:pos="56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and/or the Service Recipient may withhold or account for Tax-Related Items by considering statutory withholding amounts or other applicable withholding rates, including maximum rates applicable in Participant’s jurisdiction(s). In the event of over-withholding, Participant may receive a refund of any over-withheld amount in cash (with no entitlement to the equivalent in Shares), or if not refunded, Participant may seek a refund from local tax authorities. In the event of under-withholding, Participant may be required to pay any additional Tax-Related Items directly to the applicable tax authority or to the Company and/or the Service Recipient. If the obligation for Tax-Related Items is satisfied by withholding Shares, for tax purposes, Participant is deemed to have received the full number of Shares subject to the vested Restricted Stock Units, notwithstanding that a number of the Shares is held back solely for the purpose of paying the Tax-Related Items.</w:t>
      </w:r>
    </w:p>
    <w:p>
      <w:pPr>
        <w:spacing w:after="0" w:line="158" w:lineRule="exact"/>
        <w:rPr>
          <w:sz w:val="20"/>
          <w:szCs w:val="20"/>
          <w:color w:val="auto"/>
        </w:rPr>
      </w:pPr>
    </w:p>
    <w:p>
      <w:pPr>
        <w:ind w:right="80" w:firstLine="324"/>
        <w:spacing w:after="0" w:line="236" w:lineRule="auto"/>
        <w:rPr>
          <w:sz w:val="20"/>
          <w:szCs w:val="20"/>
          <w:color w:val="auto"/>
        </w:rPr>
      </w:pPr>
      <w:r>
        <w:rPr>
          <w:rFonts w:ascii="Times New Roman" w:cs="Times New Roman" w:eastAsia="Times New Roman" w:hAnsi="Times New Roman"/>
          <w:sz w:val="18"/>
          <w:szCs w:val="18"/>
          <w:color w:val="auto"/>
        </w:rPr>
        <w:t>Participant agrees to pay to the Company or the Service Recipient any amount of Tax-Related Items that the Company or the Service Recipient may be required to withhold or account for as a result of Participant’s participation in the Plan that cannot be satisfied by the means previously described. The Company may refuse to issue or deliver the Shares or the proceeds of the sale of the Shares acquired upon vesting of the Restricted Stock Units, if Participant fails to comply with his or her obligations in connection with the Tax-Related Items.</w:t>
      </w:r>
    </w:p>
    <w:p>
      <w:pPr>
        <w:spacing w:after="0" w:line="158" w:lineRule="exact"/>
        <w:rPr>
          <w:sz w:val="20"/>
          <w:szCs w:val="20"/>
          <w:color w:val="auto"/>
        </w:rPr>
      </w:pPr>
    </w:p>
    <w:p>
      <w:pPr>
        <w:ind w:right="100" w:firstLine="8"/>
        <w:spacing w:after="0" w:line="231" w:lineRule="auto"/>
        <w:tabs>
          <w:tab w:leader="none" w:pos="1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Neither Participant nor any person claiming under or through Participant will have any of the rights or privileges of a stockholder of the Company in respect of any Shares deliverable hereunder unless and until the Restricted Stock Units have vested and are settled by the issuance of Shares in accordance with Section 3, the Share issuance is recorded on the records of the Company or its transfer agents or registrars, and certificates representing such Shares have been issued (if the Shares are certificated or evidence of book entry if the Shares are not certificated) and delivered to Participant. After such vesting, settlement, issuance, recordation and delivery, Participant will have all the rights of a stockholder of the Company with respect to such Shares for which such conditions are met, including voting and receipt of dividends and distributions on such Shares. The Participant shall not be entitled to any Dividend Equivalents with respect to the Restricted Stock Units to reflect any dividends payable on Shares.</w:t>
      </w:r>
    </w:p>
    <w:p>
      <w:pPr>
        <w:spacing w:after="0" w:line="157" w:lineRule="exact"/>
        <w:rPr>
          <w:rFonts w:ascii="Times New Roman" w:cs="Times New Roman" w:eastAsia="Times New Roman" w:hAnsi="Times New Roman"/>
          <w:sz w:val="18"/>
          <w:szCs w:val="18"/>
          <w:color w:val="auto"/>
        </w:rPr>
      </w:pPr>
    </w:p>
    <w:p>
      <w:pPr>
        <w:ind w:right="160" w:firstLine="8"/>
        <w:spacing w:after="0" w:line="230" w:lineRule="auto"/>
        <w:tabs>
          <w:tab w:leader="none" w:pos="27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 of Continued Service</w:t>
      </w:r>
      <w:r>
        <w:rPr>
          <w:rFonts w:ascii="Times New Roman" w:cs="Times New Roman" w:eastAsia="Times New Roman" w:hAnsi="Times New Roman"/>
          <w:sz w:val="18"/>
          <w:szCs w:val="18"/>
          <w:color w:val="auto"/>
        </w:rPr>
        <w:t>. PARTICIPANT ACKNOWLEDGES AND AGREES THAT THE VESTING OF THE RESTRICTED STOCK UNITS PURSUANT TO THE VESTING SCHEDULE HEREOF IS EARNED ONLY BY CONTINUING AS A SERVICE PROVIDER AND NOT THROUGH THE ACT OF BEING HIRED, BEING GRANTED THESE RESTRICTED STOCK UNITS OR ACQUIRING SHARES HEREUNDER. PARTICIPANT FURTHER ACKNOWLEDGES AND AGREES THAT THIS AWARD AGREEMENT, THE TRANSACTIONS CONTEMPLATED HEREUNDER AND THE VESTING AND SETTLEMENT SCHEDULE SET FORTH HEREIN DO NOT CONSTITUTE AN EXPRESS OR IMPLIED PROMISE OF CONTINUED ENGAGEMENT AS A SERVICE PROVIDER FOR THE VESTING PERIOD, FOR ANY PERIOD, OR AT ALL, AND WILL NOT INTERFERE IN ANY WAY WITH PARTICIPANT’S RIGHT OR THE RIGHT OF THE COMPANY OR THE SERVICE RECIPIENT, AS APPLICABLE. TO TERMINATE PARTICIPANT’S RELATIONSHIP AS A SERVICE PROVIDER AT ANY TIME, WITH OR WITHOUT CAUSE.</w:t>
      </w:r>
    </w:p>
    <w:p>
      <w:pPr>
        <w:spacing w:after="0" w:line="158" w:lineRule="exact"/>
        <w:rPr>
          <w:rFonts w:ascii="Times New Roman" w:cs="Times New Roman" w:eastAsia="Times New Roman" w:hAnsi="Times New Roman"/>
          <w:sz w:val="18"/>
          <w:szCs w:val="18"/>
          <w:color w:val="auto"/>
        </w:rPr>
      </w:pPr>
    </w:p>
    <w:p>
      <w:pPr>
        <w:ind w:right="20" w:firstLine="8"/>
        <w:spacing w:after="0" w:line="233" w:lineRule="auto"/>
        <w:tabs>
          <w:tab w:leader="none" w:pos="26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For Participants outside the United States, the Restricted Stock Units shall be subject to the general terms and conditions for all non-U.S. Participants and the additional terms and conditions for certain countries set forth in the Appendix B attached hereto. Moreover, if Participant relocates from the U.S. to one of the countries included in the Appendix B or if Participant relocates between countries included in the Appendix B during the vesting period of the Restricted Stock Units, the general terms and conditions for non-U.S. Participants and the additional terms and conditions for such country shall apply to Participant, to the extent the Company determines that the application of such terms and conditions is necessary or advisable for legal or administrative reasons. The Appendix B constitutes part of this Award Agreement.</w:t>
      </w:r>
    </w:p>
    <w:p>
      <w:pPr>
        <w:sectPr>
          <w:pgSz w:w="11900" w:h="16838" w:orient="portrait"/>
          <w:cols w:equalWidth="0" w:num="1">
            <w:col w:w="11100"/>
          </w:cols>
          <w:pgMar w:left="320" w:top="1440" w:right="479" w:bottom="1440" w:gutter="0" w:footer="0" w:header="0"/>
        </w:sectPr>
      </w:pPr>
    </w:p>
    <w:bookmarkStart w:id="134" w:name="page135"/>
    <w:bookmarkEnd w:id="134"/>
    <w:p>
      <w:pPr>
        <w:spacing w:after="0" w:line="153" w:lineRule="exact"/>
        <w:rPr>
          <w:sz w:val="20"/>
          <w:szCs w:val="20"/>
          <w:color w:val="auto"/>
        </w:rPr>
      </w:pPr>
    </w:p>
    <w:p>
      <w:pPr>
        <w:ind w:right="260" w:firstLine="8"/>
        <w:spacing w:after="0"/>
        <w:tabs>
          <w:tab w:leader="none" w:pos="27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Advice Re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ardin</w:t>
      </w: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The Company is not providing any tax, legal or financial advice, nor is the Company making any recommendations regarding participation in the Plan, or Participant’s acquisition or sale of the underlying Shares. Participant acknowledges that he or she should consult with his or her own personal tax, legal and financial advisors regarding participation in the Plan before taking any action related to the Restricted Stock Units.</w:t>
      </w:r>
    </w:p>
    <w:p>
      <w:pPr>
        <w:spacing w:after="0" w:line="63" w:lineRule="exact"/>
        <w:rPr>
          <w:rFonts w:ascii="Times New Roman" w:cs="Times New Roman" w:eastAsia="Times New Roman" w:hAnsi="Times New Roman"/>
          <w:sz w:val="18"/>
          <w:szCs w:val="18"/>
          <w:color w:val="auto"/>
        </w:rPr>
      </w:pPr>
    </w:p>
    <w:p>
      <w:pPr>
        <w:jc w:val="both"/>
        <w:ind w:right="220" w:firstLine="8"/>
        <w:spacing w:after="0" w:line="242" w:lineRule="auto"/>
        <w:tabs>
          <w:tab w:leader="none" w:pos="27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for Notices</w:t>
      </w:r>
      <w:r>
        <w:rPr>
          <w:rFonts w:ascii="Times New Roman" w:cs="Times New Roman" w:eastAsia="Times New Roman" w:hAnsi="Times New Roman"/>
          <w:sz w:val="18"/>
          <w:szCs w:val="18"/>
          <w:color w:val="auto"/>
        </w:rPr>
        <w:t>. Any notice to be given to the Company under the terms of this Award Agreement will be addressed to the Company, in care of its General Counsel at Amkor Technology, Inc., 2045 East Innovation Circle, Tempe, AZ 85284, or at such other address as the Company may hereafter designate in writing.</w:t>
      </w:r>
    </w:p>
    <w:p>
      <w:pPr>
        <w:spacing w:after="0" w:line="156" w:lineRule="exact"/>
        <w:rPr>
          <w:rFonts w:ascii="Times New Roman" w:cs="Times New Roman" w:eastAsia="Times New Roman" w:hAnsi="Times New Roman"/>
          <w:sz w:val="18"/>
          <w:szCs w:val="18"/>
          <w:color w:val="auto"/>
        </w:rPr>
      </w:pPr>
    </w:p>
    <w:p>
      <w:pPr>
        <w:ind w:right="700" w:firstLine="8"/>
        <w:spacing w:after="0" w:line="250" w:lineRule="auto"/>
        <w:tabs>
          <w:tab w:leader="none" w:pos="27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 Participant acknowledges that a waiver by the Company of breach of any provision of this Award Agreement shall not operate or be construed as a waiver of any other provision of this Award Agreement, or of any subsequent breach by Participant or any other participants.</w:t>
      </w:r>
    </w:p>
    <w:p>
      <w:pPr>
        <w:spacing w:after="0" w:line="149" w:lineRule="exact"/>
        <w:rPr>
          <w:rFonts w:ascii="Times New Roman" w:cs="Times New Roman" w:eastAsia="Times New Roman" w:hAnsi="Times New Roman"/>
          <w:sz w:val="18"/>
          <w:szCs w:val="18"/>
          <w:color w:val="auto"/>
        </w:rPr>
      </w:pPr>
    </w:p>
    <w:p>
      <w:pPr>
        <w:ind w:firstLine="8"/>
        <w:spacing w:after="0" w:line="235" w:lineRule="auto"/>
        <w:tabs>
          <w:tab w:leader="none" w:pos="27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is Not Transferable</w:t>
      </w:r>
      <w:r>
        <w:rPr>
          <w:rFonts w:ascii="Times New Roman" w:cs="Times New Roman" w:eastAsia="Times New Roman" w:hAnsi="Times New Roman"/>
          <w:sz w:val="18"/>
          <w:szCs w:val="18"/>
          <w:color w:val="auto"/>
        </w:rPr>
        <w:t>. Except to the limited extent provided in Section 6, the unvested Restricted Stock Units subject to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any unvested Restricted Stock Units subject to this grant, or any right or privilege conferred hereby, or upon any attempted sale under any execution, attachment or similar process, this grant and the rights and privileges conferred hereby immediately will become null and void.</w:t>
      </w:r>
    </w:p>
    <w:p>
      <w:pPr>
        <w:spacing w:after="0" w:line="161" w:lineRule="exact"/>
        <w:rPr>
          <w:rFonts w:ascii="Times New Roman" w:cs="Times New Roman" w:eastAsia="Times New Roman" w:hAnsi="Times New Roman"/>
          <w:sz w:val="18"/>
          <w:szCs w:val="18"/>
          <w:color w:val="auto"/>
        </w:rPr>
      </w:pPr>
    </w:p>
    <w:p>
      <w:pPr>
        <w:jc w:val="both"/>
        <w:ind w:right="380" w:firstLine="8"/>
        <w:spacing w:after="0" w:line="236" w:lineRule="auto"/>
        <w:tabs>
          <w:tab w:leader="none" w:pos="27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w:t>
      </w: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Subject to the limitation on the transferability of this grant contained herein, this Award Agreement will be binding upon and inure to the benefit of the heirs, legatees, legal representatives, successors and assigns of the parties hereto (provided that neither the Restricted Stock Units nor this Award Agreement may be assigned by Participant).</w:t>
      </w:r>
    </w:p>
    <w:p>
      <w:pPr>
        <w:spacing w:after="0" w:line="172"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Conditions</w:t>
      </w:r>
      <w:r>
        <w:rPr>
          <w:rFonts w:ascii="Times New Roman" w:cs="Times New Roman" w:eastAsia="Times New Roman" w:hAnsi="Times New Roman"/>
          <w:sz w:val="18"/>
          <w:szCs w:val="18"/>
          <w:color w:val="auto"/>
        </w:rPr>
        <w:t>. The Company will not be required to issue any certificate or certificates (or evidence of book entry) for Shares hereunder</w:t>
      </w:r>
    </w:p>
    <w:p>
      <w:pPr>
        <w:spacing w:after="0" w:line="2" w:lineRule="exact"/>
        <w:rPr>
          <w:sz w:val="20"/>
          <w:szCs w:val="20"/>
          <w:color w:val="auto"/>
        </w:rPr>
      </w:pPr>
    </w:p>
    <w:p>
      <w:pPr>
        <w:ind w:right="180"/>
        <w:spacing w:after="0" w:line="226" w:lineRule="auto"/>
        <w:rPr>
          <w:sz w:val="20"/>
          <w:szCs w:val="20"/>
          <w:color w:val="auto"/>
        </w:rPr>
      </w:pPr>
      <w:r>
        <w:rPr>
          <w:rFonts w:ascii="Times New Roman" w:cs="Times New Roman" w:eastAsia="Times New Roman" w:hAnsi="Times New Roman"/>
          <w:sz w:val="18"/>
          <w:szCs w:val="18"/>
          <w:color w:val="auto"/>
        </w:rPr>
        <w:t>prior to fulfillment of all the following conditions: (a) the admission of such Shares to listing on all stock exchanges on which such class of stock is then listed; (b) the completion of any registration or other qualification of such Shares under any Applicable Laws or under the rulings or regulations of the U.S. Securities and Exchange Commission or any other U.S. or non-U.S. governmental regulatory body, which the Administrator, in its absolute discretion, deems necessary or advisable; (c) the obtaining of any approval or other clearance from any U.S. or non-U.S. governmental agency, which the Administrator, in its absolute discretion, determines to be necessary or advisable; and (d) the lapse of such reasonable period of time following the date of grant of the Restricted Stock Units as the Administrator may establish from time to time for reasons of administrative convenience. Participant understands that the Company is under no obligation to register or qualify the Shares subject to the Restricted Stock Units with any U.S. state or non-U.S. securities commission or to seek approval or clearance from any governmental authority for the issuance or sale of the Shares. Further, Participant agrees that the Company shall have unilateral authority to amend the Plan and this Award Agreement without Participant’s consent to the extent necessary to comply with Applicable Laws. In addition, Participant acknowledges and agrees that the Award is subject to all legal requirements and stock exchange listing rules as currently in effect and as revised from time to time.</w:t>
      </w:r>
    </w:p>
    <w:p>
      <w:pPr>
        <w:spacing w:after="0" w:line="158" w:lineRule="exact"/>
        <w:rPr>
          <w:sz w:val="20"/>
          <w:szCs w:val="20"/>
          <w:color w:val="auto"/>
        </w:rPr>
      </w:pPr>
    </w:p>
    <w:p>
      <w:pPr>
        <w:ind w:right="220" w:firstLine="8"/>
        <w:spacing w:after="0" w:line="233" w:lineRule="auto"/>
        <w:tabs>
          <w:tab w:leader="none" w:pos="27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Authorit</w:t>
      </w:r>
      <w:r>
        <w:rPr>
          <w:rFonts w:ascii="Times New Roman" w:cs="Times New Roman" w:eastAsia="Times New Roman" w:hAnsi="Times New Roman"/>
          <w:sz w:val="18"/>
          <w:szCs w:val="18"/>
          <w:color w:val="auto"/>
        </w:rPr>
        <w:t>y. The Administrator has the power to interpret the Plan and this Award Agreement and to adopt such rules for the administration, interpretation and application of the Plan and this Award Agreement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spacing w:after="0" w:line="157" w:lineRule="exact"/>
        <w:rPr>
          <w:rFonts w:ascii="Times New Roman" w:cs="Times New Roman" w:eastAsia="Times New Roman" w:hAnsi="Times New Roman"/>
          <w:sz w:val="18"/>
          <w:szCs w:val="18"/>
          <w:color w:val="auto"/>
        </w:rPr>
      </w:pPr>
    </w:p>
    <w:p>
      <w:pPr>
        <w:ind w:right="220" w:firstLine="8"/>
        <w:spacing w:after="0" w:line="236" w:lineRule="auto"/>
        <w:tabs>
          <w:tab w:leader="none" w:pos="27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w:t>
      </w:r>
      <w:r>
        <w:rPr>
          <w:rFonts w:ascii="Times New Roman" w:cs="Times New Roman" w:eastAsia="Times New Roman" w:hAnsi="Times New Roman"/>
          <w:sz w:val="18"/>
          <w:szCs w:val="18"/>
          <w:color w:val="auto"/>
        </w:rPr>
        <w:t>y and Acceptance. The Company may, in its sole discretion, decide to deliver any documents related to the Restricted Stock Units or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76" w:lineRule="exact"/>
        <w:rPr>
          <w:rFonts w:ascii="Times New Roman" w:cs="Times New Roman" w:eastAsia="Times New Roman" w:hAnsi="Times New Roman"/>
          <w:sz w:val="18"/>
          <w:szCs w:val="18"/>
          <w:color w:val="auto"/>
        </w:rPr>
      </w:pPr>
    </w:p>
    <w:p>
      <w:pPr>
        <w:ind w:right="920" w:firstLine="8"/>
        <w:spacing w:after="0" w:line="250" w:lineRule="auto"/>
        <w:tabs>
          <w:tab w:leader="none" w:pos="27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Captions provided herein are for convenience only and are not to serve as a basis for interpretation or construction of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-715645</wp:posOffset>
            </wp:positionV>
            <wp:extent cx="75501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3">
                      <a:extLst>
                        <a:ext uri="{28A0092B-C50C-407E-A947-70E740481C1C}"/>
                      </a:extLst>
                    </a:blip>
                    <a:srcRect/>
                    <a:stretch>
                      <a:fillRect/>
                    </a:stretch>
                  </pic:blipFill>
                  <pic:spPr bwMode="auto">
                    <a:xfrm>
                      <a:off x="0" y="0"/>
                      <a:ext cx="755015" cy="8890"/>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35" w:name="page136"/>
    <w:bookmarkEnd w:id="135"/>
    <w:p>
      <w:pPr>
        <w:spacing w:after="0" w:line="153" w:lineRule="exact"/>
        <w:rPr>
          <w:sz w:val="20"/>
          <w:szCs w:val="20"/>
          <w:color w:val="auto"/>
        </w:rPr>
      </w:pPr>
    </w:p>
    <w:p>
      <w:pPr>
        <w:ind w:right="460" w:firstLine="8"/>
        <w:spacing w:after="0" w:line="296" w:lineRule="auto"/>
        <w:tabs>
          <w:tab w:leader="none" w:pos="27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Agreement Severable</w:t>
      </w:r>
      <w:r>
        <w:rPr>
          <w:rFonts w:ascii="Times New Roman" w:cs="Times New Roman" w:eastAsia="Times New Roman" w:hAnsi="Times New Roman"/>
          <w:sz w:val="17"/>
          <w:szCs w:val="17"/>
          <w:color w:val="auto"/>
        </w:rPr>
        <w:t>. In the event that any provision in this Award Agreement is held invalid or unenforceable, such provision will be severable from, and such invalidity or unenforceability will not be construed to have any effect on, the remaining provisions of this Award Agreement.</w:t>
      </w:r>
    </w:p>
    <w:p>
      <w:pPr>
        <w:spacing w:after="0" w:line="111" w:lineRule="exact"/>
        <w:rPr>
          <w:rFonts w:ascii="Times New Roman" w:cs="Times New Roman" w:eastAsia="Times New Roman" w:hAnsi="Times New Roman"/>
          <w:sz w:val="17"/>
          <w:szCs w:val="17"/>
          <w:color w:val="auto"/>
        </w:rPr>
      </w:pPr>
    </w:p>
    <w:p>
      <w:pPr>
        <w:ind w:right="120" w:firstLine="8"/>
        <w:spacing w:after="0" w:line="236" w:lineRule="auto"/>
        <w:tabs>
          <w:tab w:leader="none" w:pos="27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Modifications to the Award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reement</w:t>
      </w:r>
      <w:r>
        <w:rPr>
          <w:rFonts w:ascii="Times New Roman" w:cs="Times New Roman" w:eastAsia="Times New Roman" w:hAnsi="Times New Roman"/>
          <w:sz w:val="18"/>
          <w:szCs w:val="18"/>
          <w:color w:val="auto"/>
        </w:rPr>
        <w:t>. The Plan and this Award Agreement constitute the entire understanding of the parties on the subjects covered herein. Participant expressly warrants that he or she is not accepting this Award Agreement in reliance on any promises, representations, or inducements other than those contained herein. Except as otherwise provided herein or in the Plan, modifications to this Award Agreement can be made only in an express written contract executed by Participant and a duly authorized officer of the Company.</w:t>
      </w:r>
    </w:p>
    <w:p>
      <w:pPr>
        <w:spacing w:after="0" w:line="157" w:lineRule="exact"/>
        <w:rPr>
          <w:rFonts w:ascii="Times New Roman" w:cs="Times New Roman" w:eastAsia="Times New Roman" w:hAnsi="Times New Roman"/>
          <w:sz w:val="18"/>
          <w:szCs w:val="18"/>
          <w:color w:val="auto"/>
        </w:rPr>
      </w:pPr>
    </w:p>
    <w:p>
      <w:pPr>
        <w:ind w:firstLine="8"/>
        <w:spacing w:after="0" w:line="229" w:lineRule="auto"/>
        <w:tabs>
          <w:tab w:leader="none" w:pos="27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Code Section 409A</w:t>
      </w:r>
      <w:r>
        <w:rPr>
          <w:rFonts w:ascii="Times New Roman" w:cs="Times New Roman" w:eastAsia="Times New Roman" w:hAnsi="Times New Roman"/>
          <w:sz w:val="18"/>
          <w:szCs w:val="18"/>
          <w:color w:val="auto"/>
        </w:rPr>
        <w:t>. The Award Agreement is intended to comply with, or be exempt from, Code Section 409A and all regulations, guidance, compliance programs and other interpretative authority thereunder, and shall be interpreted in a manner consistent therewith. Notwithstanding anything contained herein to the contrary, in the event the Award Agreement is subject to Code Section 409A, the Company may, in its sole discretion and without Participant’s prior consent, amend the Plan and/or the Award Agreement, adopt policies and procedures, or take any other actions as deemed appropriate by the Company to (i) exempt the Plan and/or the Award Agreement from the application of Code Section 409A, (ii) preserve the intended tax treatment of the Award Agreement or (iii) comply with the requirements of Code Section 409A. Notwithstanding anything contained herein to the contrary, in no event shall the Company or any Subsidiary have any liability or obligation to any Participant or any other person in the event that the Plan or the Award Agreement is not exempt from, or compliant with, Code Section 409A.</w:t>
      </w:r>
    </w:p>
    <w:p>
      <w:pPr>
        <w:spacing w:after="0" w:line="162" w:lineRule="exact"/>
        <w:rPr>
          <w:sz w:val="20"/>
          <w:szCs w:val="20"/>
          <w:color w:val="auto"/>
        </w:rPr>
      </w:pPr>
    </w:p>
    <w:p>
      <w:pPr>
        <w:ind w:right="20" w:firstLine="324"/>
        <w:spacing w:after="0" w:line="229" w:lineRule="auto"/>
        <w:rPr>
          <w:sz w:val="20"/>
          <w:szCs w:val="20"/>
          <w:color w:val="auto"/>
        </w:rPr>
      </w:pPr>
      <w:r>
        <w:rPr>
          <w:rFonts w:ascii="Times New Roman" w:cs="Times New Roman" w:eastAsia="Times New Roman" w:hAnsi="Times New Roman"/>
          <w:sz w:val="18"/>
          <w:szCs w:val="18"/>
          <w:color w:val="auto"/>
        </w:rPr>
        <w:t>Furthermore, notwithstanding anything in this Award Agreement to the contrary, any Restricted Stock Units that become vested under this Agreement as of the date or at a time that is by reference to Participant’s termination as a Service Provider and that constitute an item of non-qualified deferred compensation subject to Code Section 409A shall not be settled unless Participant experiences a “separation from service” within the meaning of Code Section 409A (a “Separation from Service”); provided that if Participant is a “specified employee” within the meaning of Code Section 409A as of the date of the Separation from Service (as determined according to the methodology established by the Company as in effect on the date of Participant’s termination as a Service Provider), the Restricted Stock Units shall instead be settled on the first business day that is after the earlier of (i) the date that is six months following the date of the Separation from Service or (ii) the date of Participant’s death, to the extent such delayed payment is otherwise required in order to avoid a prohibited distribution under Section 409A(a)(2) of the Code, or any successor provision thereto.</w:t>
      </w:r>
    </w:p>
    <w:p>
      <w:pPr>
        <w:spacing w:after="0" w:line="162" w:lineRule="exact"/>
        <w:rPr>
          <w:sz w:val="20"/>
          <w:szCs w:val="20"/>
          <w:color w:val="auto"/>
        </w:rPr>
      </w:pPr>
    </w:p>
    <w:p>
      <w:pPr>
        <w:ind w:right="560" w:firstLine="8"/>
        <w:spacing w:after="0" w:line="242" w:lineRule="auto"/>
        <w:tabs>
          <w:tab w:leader="none" w:pos="27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Plan</w:t>
      </w:r>
      <w:r>
        <w:rPr>
          <w:rFonts w:ascii="Times New Roman" w:cs="Times New Roman" w:eastAsia="Times New Roman" w:hAnsi="Times New Roman"/>
          <w:sz w:val="18"/>
          <w:szCs w:val="18"/>
          <w:color w:val="auto"/>
        </w:rPr>
        <w:t>. By accepting the Restricted Stock Units, Participant expressly warrants that he or she has received an Award of Restricted Stock Units under the Plan, and has received, read and understands the Plan. Participant understands that the Plan is discretionary in nature and may be amended, suspended or terminated by the Company at any time, to the extent permitted by the Plan.</w:t>
      </w:r>
    </w:p>
    <w:p>
      <w:pPr>
        <w:spacing w:after="0" w:line="156" w:lineRule="exact"/>
        <w:rPr>
          <w:rFonts w:ascii="Times New Roman" w:cs="Times New Roman" w:eastAsia="Times New Roman" w:hAnsi="Times New Roman"/>
          <w:sz w:val="18"/>
          <w:szCs w:val="18"/>
          <w:color w:val="auto"/>
        </w:rPr>
      </w:pPr>
    </w:p>
    <w:p>
      <w:pPr>
        <w:ind w:right="20" w:firstLine="8"/>
        <w:spacing w:after="0" w:line="236" w:lineRule="auto"/>
        <w:tabs>
          <w:tab w:leader="none" w:pos="27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Venue</w:t>
      </w:r>
      <w:r>
        <w:rPr>
          <w:rFonts w:ascii="Times New Roman" w:cs="Times New Roman" w:eastAsia="Times New Roman" w:hAnsi="Times New Roman"/>
          <w:sz w:val="18"/>
          <w:szCs w:val="18"/>
          <w:color w:val="auto"/>
        </w:rPr>
        <w:t>. This Award Agreement will be governed by the laws of the State of Delaware, without giving effect to the conflict of law principles thereof. For purposes of litigating any dispute that arises under this Award or this Award Agreement, the parties hereby submit to and consent to the exclusive jurisdiction of the State of Arizona and agree that such litigation will be conducted solely in the courts of Maricopa County, Arizona, or the federal courts for the United States for the District of Arizona in Maricopa County, Arizona, and no other courts.</w:t>
      </w:r>
    </w:p>
    <w:p>
      <w:pPr>
        <w:spacing w:after="0" w:line="157" w:lineRule="exact"/>
        <w:rPr>
          <w:rFonts w:ascii="Times New Roman" w:cs="Times New Roman" w:eastAsia="Times New Roman" w:hAnsi="Times New Roman"/>
          <w:sz w:val="18"/>
          <w:szCs w:val="18"/>
          <w:color w:val="auto"/>
        </w:rPr>
      </w:pPr>
    </w:p>
    <w:p>
      <w:pPr>
        <w:ind w:right="80" w:firstLine="8"/>
        <w:spacing w:after="0" w:line="229" w:lineRule="auto"/>
        <w:tabs>
          <w:tab w:leader="none" w:pos="27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Insider Tradin</w:t>
      </w: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Restrictions/Market Abuse Laws</w:t>
      </w:r>
      <w:r>
        <w:rPr>
          <w:rFonts w:ascii="Times New Roman" w:cs="Times New Roman" w:eastAsia="Times New Roman" w:hAnsi="Times New Roman"/>
          <w:sz w:val="18"/>
          <w:szCs w:val="18"/>
          <w:color w:val="auto"/>
        </w:rPr>
        <w:t>. By accepting the Restricted Stock Units, Participant acknowledges that he or she is bound by all the terms and conditions of the Company’s insider trading policy as may be in effect from time to time. Participant further acknowledges that, depending on Participant’s or his or her broker’s country or the country in which the Shares are listed, he or she may be subject to insider trading restrictions and/or market abuse laws which may affect Participant’s ability to accept, acquire, sell or otherwise dispose of Shares, rights to Shares, or rights linked to the value of Shares during such times as Participant is considered to have “inside information” regarding the Company (as defined by the laws in the applicable jurisdictions). Local insider trading laws and regulations may prohibit the cancellation or amendment of orders Participant placed before Participant possessed inside information. Furthermore, Participant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the Company’s insider trading policy as may be in effect from time to time. Participant acknowledges that it is Participant’s responsibility to comply with any applicable restrictions, and Participant should speak to his or her personal advisor on this matter.</w:t>
      </w:r>
    </w:p>
    <w:p>
      <w:pPr>
        <w:sectPr>
          <w:pgSz w:w="11900" w:h="16838" w:orient="portrait"/>
          <w:cols w:equalWidth="0" w:num="1">
            <w:col w:w="11160"/>
          </w:cols>
          <w:pgMar w:left="320" w:top="1440" w:right="419" w:bottom="1440" w:gutter="0" w:footer="0" w:header="0"/>
        </w:sectPr>
      </w:pPr>
    </w:p>
    <w:bookmarkStart w:id="136" w:name="page137"/>
    <w:bookmarkEnd w:id="136"/>
    <w:p>
      <w:pPr>
        <w:spacing w:after="0" w:line="153" w:lineRule="exact"/>
        <w:rPr>
          <w:sz w:val="20"/>
          <w:szCs w:val="20"/>
          <w:color w:val="auto"/>
        </w:rPr>
      </w:pPr>
    </w:p>
    <w:p>
      <w:pPr>
        <w:ind w:left="-8" w:firstLine="8"/>
        <w:spacing w:after="0" w:line="235" w:lineRule="auto"/>
        <w:tabs>
          <w:tab w:leader="none" w:pos="26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Participant’s acceptance of the Restricted Stock Units by signing below or by otherwise accepting the Restricted Stock Units following such procedures as established by the Company (including an online acceptance process) constitute Participant’s agreement to be bound by the terms and conditions of this Award Agreement and the Plan. The Company may refuse to allow Participant to vest in the Restricted Stock Units unless Participant has signed this Award Agreement or otherwise accepted the Restricted Stock Units following such procedures as established by the Company (including an online acceptance process).</w:t>
      </w:r>
    </w:p>
    <w:p>
      <w:pPr>
        <w:spacing w:after="0" w:line="200" w:lineRule="exact"/>
        <w:rPr>
          <w:sz w:val="20"/>
          <w:szCs w:val="20"/>
          <w:color w:val="auto"/>
        </w:rPr>
      </w:pPr>
    </w:p>
    <w:p>
      <w:pPr>
        <w:spacing w:after="0" w:line="281" w:lineRule="exact"/>
        <w:rPr>
          <w:sz w:val="20"/>
          <w:szCs w:val="20"/>
          <w:color w:val="auto"/>
        </w:rPr>
      </w:pPr>
    </w:p>
    <w:p>
      <w:pPr>
        <w:ind w:left="72"/>
        <w:spacing w:after="0"/>
        <w:tabs>
          <w:tab w:leader="none" w:pos="6352" w:val="left"/>
        </w:tabs>
        <w:rPr>
          <w:sz w:val="20"/>
          <w:szCs w:val="20"/>
          <w:color w:val="auto"/>
        </w:rPr>
      </w:pPr>
      <w:r>
        <w:rPr>
          <w:rFonts w:ascii="Times New Roman" w:cs="Times New Roman" w:eastAsia="Times New Roman" w:hAnsi="Times New Roman"/>
          <w:sz w:val="18"/>
          <w:szCs w:val="18"/>
          <w:b w:val="1"/>
          <w:bCs w:val="1"/>
          <w:color w:val="auto"/>
        </w:rPr>
        <w:t>Participant</w:t>
      </w:r>
      <w:r>
        <w:rPr>
          <w:sz w:val="20"/>
          <w:szCs w:val="20"/>
          <w:color w:val="auto"/>
        </w:rPr>
        <w:tab/>
      </w:r>
      <w:r>
        <w:rPr>
          <w:rFonts w:ascii="Times New Roman" w:cs="Times New Roman" w:eastAsia="Times New Roman" w:hAnsi="Times New Roman"/>
          <w:sz w:val="18"/>
          <w:szCs w:val="18"/>
          <w:b w:val="1"/>
          <w:bCs w:val="1"/>
          <w:color w:val="auto"/>
        </w:rPr>
        <w:t>Amkor Technology, Inc.</w:t>
      </w:r>
    </w:p>
    <w:p>
      <w:pPr>
        <w:sectPr>
          <w:pgSz w:w="11900" w:h="16838" w:orient="portrait"/>
          <w:cols w:equalWidth="0" w:num="1">
            <w:col w:w="11032"/>
          </w:cols>
          <w:pgMar w:left="328" w:top="1440" w:right="539" w:bottom="1440" w:gutter="0" w:footer="0" w:header="0"/>
        </w:sectPr>
      </w:pPr>
    </w:p>
    <w:bookmarkStart w:id="137" w:name="page138"/>
    <w:bookmarkEnd w:id="137"/>
    <w:p>
      <w:pPr>
        <w:spacing w:after="0" w:line="6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APPENDIX B TO</w:t>
      </w:r>
    </w:p>
    <w:p>
      <w:pPr>
        <w:spacing w:after="0" w:line="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jc w:val="center"/>
        <w:ind w:right="100"/>
        <w:spacing w:after="0" w:line="219" w:lineRule="auto"/>
        <w:rPr>
          <w:sz w:val="20"/>
          <w:szCs w:val="20"/>
          <w:color w:val="auto"/>
        </w:rPr>
      </w:pPr>
      <w:r>
        <w:rPr>
          <w:rFonts w:ascii="Times New Roman" w:cs="Times New Roman" w:eastAsia="Times New Roman" w:hAnsi="Times New Roman"/>
          <w:sz w:val="18"/>
          <w:szCs w:val="18"/>
          <w:b w:val="1"/>
          <w:bCs w:val="1"/>
          <w:color w:val="auto"/>
        </w:rPr>
        <w:t>2021 EQUITY INCENTIVE PLAN</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GLOBAL PERFORMANCE-VESTED RESTRICTED STOCK UNIT AWARD AGREEMENT</w:t>
      </w:r>
    </w:p>
    <w:p>
      <w:pPr>
        <w:spacing w:after="0" w:line="165" w:lineRule="exact"/>
        <w:rPr>
          <w:sz w:val="20"/>
          <w:szCs w:val="20"/>
          <w:color w:val="auto"/>
        </w:rPr>
      </w:pPr>
    </w:p>
    <w:p>
      <w:pPr>
        <w:ind w:right="900" w:firstLine="389"/>
        <w:spacing w:after="0" w:line="266" w:lineRule="auto"/>
        <w:rPr>
          <w:sz w:val="20"/>
          <w:szCs w:val="20"/>
          <w:color w:val="auto"/>
        </w:rPr>
      </w:pPr>
      <w:r>
        <w:rPr>
          <w:rFonts w:ascii="Times New Roman" w:cs="Times New Roman" w:eastAsia="Times New Roman" w:hAnsi="Times New Roman"/>
          <w:sz w:val="18"/>
          <w:szCs w:val="18"/>
          <w:color w:val="auto"/>
        </w:rPr>
        <w:t>Capitalized terms used but not defined in this Appendix B shall have the same meanings assigned to them in the Plan and/or the Global Performance-Vested Restricted Stock Unit Award Agreement.</w:t>
      </w:r>
    </w:p>
    <w:p>
      <w:pPr>
        <w:spacing w:after="0" w:line="2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81" w:lineRule="exact"/>
        <w:rPr>
          <w:sz w:val="20"/>
          <w:szCs w:val="20"/>
          <w:color w:val="auto"/>
        </w:rPr>
      </w:pPr>
    </w:p>
    <w:p>
      <w:pPr>
        <w:ind w:firstLine="389"/>
        <w:spacing w:after="0" w:line="235" w:lineRule="auto"/>
        <w:rPr>
          <w:sz w:val="20"/>
          <w:szCs w:val="20"/>
          <w:color w:val="auto"/>
        </w:rPr>
      </w:pPr>
      <w:r>
        <w:rPr>
          <w:rFonts w:ascii="Times New Roman" w:cs="Times New Roman" w:eastAsia="Times New Roman" w:hAnsi="Times New Roman"/>
          <w:sz w:val="18"/>
          <w:szCs w:val="18"/>
          <w:color w:val="auto"/>
        </w:rPr>
        <w:t>This Appendix B includes general terms and conditions for all non-U.S. Participants and additional terms and conditions that govern the Restricted Stock Units if Participant works and/or resides in one of the countries listed below. If Participant is a citizen or resident of a country other than the one in which Participant is currently working and/or residing (or is considered as such for local law purposes), or if Participant transfers employment and/or residency to a different country after the Restricted Stock Units are granted, the Company will, in its discretion, determine the extent to which the terms and conditions contained herein will apply to Participant.</w:t>
      </w:r>
    </w:p>
    <w:p>
      <w:pPr>
        <w:spacing w:after="0" w:line="2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67" w:lineRule="exact"/>
        <w:rPr>
          <w:sz w:val="20"/>
          <w:szCs w:val="20"/>
          <w:color w:val="auto"/>
        </w:rPr>
      </w:pPr>
    </w:p>
    <w:p>
      <w:pPr>
        <w:ind w:right="160" w:firstLine="389"/>
        <w:spacing w:after="0" w:line="235" w:lineRule="auto"/>
        <w:rPr>
          <w:sz w:val="20"/>
          <w:szCs w:val="20"/>
          <w:color w:val="auto"/>
        </w:rPr>
      </w:pPr>
      <w:r>
        <w:rPr>
          <w:rFonts w:ascii="Times New Roman" w:cs="Times New Roman" w:eastAsia="Times New Roman" w:hAnsi="Times New Roman"/>
          <w:sz w:val="18"/>
          <w:szCs w:val="18"/>
          <w:color w:val="auto"/>
        </w:rPr>
        <w:t>This Appendix B also includes information regarding certain other issues of which Participant should be aware with respect to Participant’s participation in the Plan. The information is based on the securities, exchange control and other laws in effect in the respective countries as of March 2021. Such laws are often complex and change frequently. As a result, Participant should not rely on the information noted herein as the only source of information relating to the consequences of participation in the Plan because the information may be out-of-date at the time the Restricted Stock Units vest or Participant sells any Shares acquired under the Plan.</w:t>
      </w:r>
    </w:p>
    <w:p>
      <w:pPr>
        <w:spacing w:after="0" w:line="161" w:lineRule="exact"/>
        <w:rPr>
          <w:sz w:val="20"/>
          <w:szCs w:val="20"/>
          <w:color w:val="auto"/>
        </w:rPr>
      </w:pPr>
    </w:p>
    <w:p>
      <w:pPr>
        <w:ind w:right="160" w:firstLine="389"/>
        <w:spacing w:after="0" w:line="236" w:lineRule="auto"/>
        <w:rPr>
          <w:sz w:val="20"/>
          <w:szCs w:val="20"/>
          <w:color w:val="auto"/>
        </w:rPr>
      </w:pPr>
      <w:r>
        <w:rPr>
          <w:rFonts w:ascii="Times New Roman" w:cs="Times New Roman" w:eastAsia="Times New Roman" w:hAnsi="Times New Roman"/>
          <w:sz w:val="18"/>
          <w:szCs w:val="18"/>
          <w:color w:val="auto"/>
        </w:rPr>
        <w:t>In addition, the information contained herein is general in nature and may not apply to Participant’s particular situation. As a result, the Company is not in a position to assure Participant of any particular result. Accordingly, Participant should seek appropriate professional advice as to how the relevant laws in Participant’s country may apply to Participant’s individual situation.</w:t>
      </w:r>
    </w:p>
    <w:p>
      <w:pPr>
        <w:spacing w:after="0" w:line="159" w:lineRule="exact"/>
        <w:rPr>
          <w:sz w:val="20"/>
          <w:szCs w:val="20"/>
          <w:color w:val="auto"/>
        </w:rPr>
      </w:pPr>
    </w:p>
    <w:p>
      <w:pPr>
        <w:jc w:val="both"/>
        <w:ind w:right="120" w:firstLine="389"/>
        <w:spacing w:after="0" w:line="242" w:lineRule="auto"/>
        <w:rPr>
          <w:sz w:val="20"/>
          <w:szCs w:val="20"/>
          <w:color w:val="auto"/>
        </w:rPr>
      </w:pPr>
      <w:r>
        <w:rPr>
          <w:rFonts w:ascii="Times New Roman" w:cs="Times New Roman" w:eastAsia="Times New Roman" w:hAnsi="Times New Roman"/>
          <w:sz w:val="18"/>
          <w:szCs w:val="18"/>
          <w:color w:val="auto"/>
        </w:rPr>
        <w:t>If Participant is a citizen or resident of a country other than the one in which Participant is currently working and/or residing (or is considered as such for local law purposes), or if Participant transfers employment and/or residency to a different country after the Restricted Stock Units are granted, the information contained in this Appendix B may not be applicable to Participant in the same manner.</w:t>
      </w:r>
    </w:p>
    <w:p>
      <w:pPr>
        <w:sectPr>
          <w:pgSz w:w="11900" w:h="16838" w:orient="portrait"/>
          <w:cols w:equalWidth="0" w:num="1">
            <w:col w:w="11020"/>
          </w:cols>
          <w:pgMar w:left="460" w:top="1440" w:right="419" w:bottom="1440" w:gutter="0" w:footer="0" w:header="0"/>
        </w:sectPr>
      </w:pPr>
    </w:p>
    <w:bookmarkStart w:id="138" w:name="page139"/>
    <w:bookmarkEnd w:id="13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TERMS AND CONDITIONS APPLICABLE TO ALL NON-U.S. PARTICIPANTS</w:t>
      </w:r>
    </w:p>
    <w:p>
      <w:pPr>
        <w:spacing w:after="0" w:line="104" w:lineRule="exact"/>
        <w:rPr>
          <w:sz w:val="20"/>
          <w:szCs w:val="20"/>
          <w:color w:val="auto"/>
        </w:rPr>
      </w:pPr>
    </w:p>
    <w:p>
      <w:pPr>
        <w:ind w:left="580" w:hanging="189"/>
        <w:spacing w:after="0"/>
        <w:tabs>
          <w:tab w:leader="none" w:pos="58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Data Privac</w:t>
      </w:r>
      <w:r>
        <w:rPr>
          <w:rFonts w:ascii="Times New Roman" w:cs="Times New Roman" w:eastAsia="Times New Roman" w:hAnsi="Times New Roman"/>
          <w:sz w:val="18"/>
          <w:szCs w:val="18"/>
          <w:b w:val="1"/>
          <w:bCs w:val="1"/>
          <w:i w:val="1"/>
          <w:iCs w:val="1"/>
          <w:color w:val="auto"/>
        </w:rPr>
        <w:t xml:space="preserve">y </w:t>
      </w:r>
      <w:r>
        <w:rPr>
          <w:rFonts w:ascii="Times New Roman" w:cs="Times New Roman" w:eastAsia="Times New Roman" w:hAnsi="Times New Roman"/>
          <w:sz w:val="18"/>
          <w:szCs w:val="18"/>
          <w:b w:val="1"/>
          <w:bCs w:val="1"/>
          <w:i w:val="1"/>
          <w:iCs w:val="1"/>
          <w:u w:val="single" w:color="auto"/>
          <w:color w:val="auto"/>
        </w:rPr>
        <w:t>Information and Consent</w:t>
      </w:r>
      <w:r>
        <w:rPr>
          <w:rFonts w:ascii="Times New Roman" w:cs="Times New Roman" w:eastAsia="Times New Roman" w:hAnsi="Times New Roman"/>
          <w:sz w:val="18"/>
          <w:szCs w:val="18"/>
          <w:b w:val="1"/>
          <w:bCs w:val="1"/>
          <w:i w:val="1"/>
          <w:iCs w:val="1"/>
          <w:color w:val="auto"/>
        </w:rPr>
        <w:t>.</w:t>
      </w:r>
    </w:p>
    <w:p>
      <w:pPr>
        <w:spacing w:after="0" w:line="171" w:lineRule="exact"/>
        <w:rPr>
          <w:rFonts w:ascii="Times New Roman" w:cs="Times New Roman" w:eastAsia="Times New Roman" w:hAnsi="Times New Roman"/>
          <w:sz w:val="18"/>
          <w:szCs w:val="18"/>
          <w:color w:val="auto"/>
        </w:rPr>
      </w:pPr>
    </w:p>
    <w:p>
      <w:pPr>
        <w:ind w:right="80" w:firstLine="845"/>
        <w:spacing w:after="0" w:line="233" w:lineRule="auto"/>
        <w:tabs>
          <w:tab w:leader="none" w:pos="1093" w:val="left"/>
        </w:tabs>
        <w:numPr>
          <w:ilvl w:val="2"/>
          <w:numId w:val="7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Data Collection and Usa</w:t>
      </w:r>
      <w:r>
        <w:rPr>
          <w:rFonts w:ascii="Times New Roman" w:cs="Times New Roman" w:eastAsia="Times New Roman" w:hAnsi="Times New Roman"/>
          <w:sz w:val="18"/>
          <w:szCs w:val="18"/>
          <w:b w:val="1"/>
          <w:bCs w:val="1"/>
          <w:i w:val="1"/>
          <w:iCs w:val="1"/>
          <w:color w:val="auto"/>
        </w:rPr>
        <w:t>ge. The Company and the Service Recipient collect, process and use certain personal information about Participant, including, but not limited to, Participant’s name, home address, telephone number, email address, date of birth, social insurance number, passport or other identification number, salary, nationality, job title, any shares or directorships held in the Company, details of all awards granted under the Plan or any other entitlement to shares awarded, canceled, exercised, vested, unvested or outstanding in Participant’s favor (“Data”), for purposes of implementing, administering and managing the Plan. The legal basis, where required, for the processing of Data is Participant’s consent.</w:t>
      </w:r>
    </w:p>
    <w:p>
      <w:pPr>
        <w:spacing w:after="0" w:line="157" w:lineRule="exact"/>
        <w:rPr>
          <w:rFonts w:ascii="Times New Roman" w:cs="Times New Roman" w:eastAsia="Times New Roman" w:hAnsi="Times New Roman"/>
          <w:sz w:val="18"/>
          <w:szCs w:val="18"/>
          <w:b w:val="1"/>
          <w:bCs w:val="1"/>
          <w:i w:val="1"/>
          <w:iCs w:val="1"/>
          <w:color w:val="auto"/>
        </w:rPr>
      </w:pPr>
    </w:p>
    <w:p>
      <w:pPr>
        <w:ind w:firstLine="845"/>
        <w:spacing w:after="0" w:line="233" w:lineRule="auto"/>
        <w:tabs>
          <w:tab w:leader="none" w:pos="1093" w:val="left"/>
        </w:tabs>
        <w:numPr>
          <w:ilvl w:val="2"/>
          <w:numId w:val="7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Stock Plan Administration Service Providers</w:t>
      </w:r>
      <w:r>
        <w:rPr>
          <w:rFonts w:ascii="Times New Roman" w:cs="Times New Roman" w:eastAsia="Times New Roman" w:hAnsi="Times New Roman"/>
          <w:sz w:val="18"/>
          <w:szCs w:val="18"/>
          <w:b w:val="1"/>
          <w:bCs w:val="1"/>
          <w:i w:val="1"/>
          <w:iCs w:val="1"/>
          <w:color w:val="auto"/>
        </w:rPr>
        <w:t>. The Company transfers Data to E*TRADE Financial Corporate Services, Inc. and certain of its affiliates (“E*TRADE)”, an independent service provider which is assisting the Company with the implementation, administration and management of the Plan. The Company may select a different service provider or additional service providers and share Data with such other provider serving in a similar manner. Participant may be asked to agree on separate terms and data processing practices with E*TRADE and such other service providers, with such agreement being a condition to the ability to participate in the Plan.</w:t>
      </w:r>
    </w:p>
    <w:p>
      <w:pPr>
        <w:spacing w:after="0" w:line="156" w:lineRule="exact"/>
        <w:rPr>
          <w:rFonts w:ascii="Times New Roman" w:cs="Times New Roman" w:eastAsia="Times New Roman" w:hAnsi="Times New Roman"/>
          <w:sz w:val="18"/>
          <w:szCs w:val="18"/>
          <w:b w:val="1"/>
          <w:bCs w:val="1"/>
          <w:i w:val="1"/>
          <w:iCs w:val="1"/>
          <w:color w:val="auto"/>
        </w:rPr>
      </w:pPr>
    </w:p>
    <w:p>
      <w:pPr>
        <w:ind w:right="40" w:firstLine="845"/>
        <w:spacing w:after="0" w:line="245" w:lineRule="auto"/>
        <w:tabs>
          <w:tab w:leader="none" w:pos="1096" w:val="left"/>
        </w:tabs>
        <w:numPr>
          <w:ilvl w:val="2"/>
          <w:numId w:val="7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International Data Transfers</w:t>
      </w:r>
      <w:r>
        <w:rPr>
          <w:rFonts w:ascii="Times New Roman" w:cs="Times New Roman" w:eastAsia="Times New Roman" w:hAnsi="Times New Roman"/>
          <w:sz w:val="18"/>
          <w:szCs w:val="18"/>
          <w:b w:val="1"/>
          <w:bCs w:val="1"/>
          <w:i w:val="1"/>
          <w:iCs w:val="1"/>
          <w:color w:val="auto"/>
        </w:rPr>
        <w:t>. The Company and E*TRADE are based in the U.S., which means that it will be necessary for Data to be transferred to, and processed in, the U.S. Participant’s country or jurisdiction may have different data privacy laws and protections than the U.S. The Company’s legal basis for the transfer of Data, where required, is Participant’s consent.</w:t>
      </w:r>
    </w:p>
    <w:p>
      <w:pPr>
        <w:spacing w:after="0" w:line="149" w:lineRule="exact"/>
        <w:rPr>
          <w:rFonts w:ascii="Times New Roman" w:cs="Times New Roman" w:eastAsia="Times New Roman" w:hAnsi="Times New Roman"/>
          <w:sz w:val="18"/>
          <w:szCs w:val="18"/>
          <w:b w:val="1"/>
          <w:bCs w:val="1"/>
          <w:i w:val="1"/>
          <w:iCs w:val="1"/>
          <w:color w:val="auto"/>
        </w:rPr>
      </w:pPr>
    </w:p>
    <w:p>
      <w:pPr>
        <w:ind w:right="80" w:firstLine="845"/>
        <w:spacing w:after="0" w:line="233" w:lineRule="auto"/>
        <w:tabs>
          <w:tab w:leader="none" w:pos="1093" w:val="left"/>
        </w:tabs>
        <w:numPr>
          <w:ilvl w:val="2"/>
          <w:numId w:val="7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Data Retention</w:t>
      </w:r>
      <w:r>
        <w:rPr>
          <w:rFonts w:ascii="Times New Roman" w:cs="Times New Roman" w:eastAsia="Times New Roman" w:hAnsi="Times New Roman"/>
          <w:sz w:val="18"/>
          <w:szCs w:val="18"/>
          <w:b w:val="1"/>
          <w:bCs w:val="1"/>
          <w:i w:val="1"/>
          <w:iCs w:val="1"/>
          <w:color w:val="auto"/>
        </w:rPr>
        <w:t>. The Company will hold and use Data only as long as is necessary to implement, administer and manage Participant’s participation in the Plan, or as required to comply with legal or regulatory obligations, including under tax, exchange control, labor and securities laws. This period may extend beyond the Participant’s period as a Service Provider. When the Company and/or the Service Recipient no longer need Data for any of the above purposes, they will cease processing it in this context and remove it from all of their systems used for such purposes to the fullest extent practicable.</w:t>
      </w:r>
    </w:p>
    <w:p>
      <w:pPr>
        <w:spacing w:after="0" w:line="156" w:lineRule="exact"/>
        <w:rPr>
          <w:rFonts w:ascii="Times New Roman" w:cs="Times New Roman" w:eastAsia="Times New Roman" w:hAnsi="Times New Roman"/>
          <w:sz w:val="18"/>
          <w:szCs w:val="18"/>
          <w:b w:val="1"/>
          <w:bCs w:val="1"/>
          <w:i w:val="1"/>
          <w:iCs w:val="1"/>
          <w:color w:val="auto"/>
        </w:rPr>
      </w:pPr>
    </w:p>
    <w:p>
      <w:pPr>
        <w:ind w:right="60" w:firstLine="845"/>
        <w:spacing w:after="0" w:line="236" w:lineRule="auto"/>
        <w:tabs>
          <w:tab w:leader="none" w:pos="1096" w:val="left"/>
        </w:tabs>
        <w:numPr>
          <w:ilvl w:val="2"/>
          <w:numId w:val="7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Voluntariness and Conse</w:t>
      </w:r>
      <w:r>
        <w:rPr>
          <w:rFonts w:ascii="Times New Roman" w:cs="Times New Roman" w:eastAsia="Times New Roman" w:hAnsi="Times New Roman"/>
          <w:sz w:val="18"/>
          <w:szCs w:val="18"/>
          <w:b w:val="1"/>
          <w:bCs w:val="1"/>
          <w:i w:val="1"/>
          <w:iCs w:val="1"/>
          <w:color w:val="auto"/>
        </w:rPr>
        <w:t>q</w:t>
      </w:r>
      <w:r>
        <w:rPr>
          <w:rFonts w:ascii="Times New Roman" w:cs="Times New Roman" w:eastAsia="Times New Roman" w:hAnsi="Times New Roman"/>
          <w:sz w:val="18"/>
          <w:szCs w:val="18"/>
          <w:b w:val="1"/>
          <w:bCs w:val="1"/>
          <w:i w:val="1"/>
          <w:iCs w:val="1"/>
          <w:u w:val="single" w:color="auto"/>
          <w:color w:val="auto"/>
        </w:rPr>
        <w:t>uences of Consent Denial or Withdrawal</w:t>
      </w:r>
      <w:r>
        <w:rPr>
          <w:rFonts w:ascii="Times New Roman" w:cs="Times New Roman" w:eastAsia="Times New Roman" w:hAnsi="Times New Roman"/>
          <w:sz w:val="18"/>
          <w:szCs w:val="18"/>
          <w:b w:val="1"/>
          <w:bCs w:val="1"/>
          <w:i w:val="1"/>
          <w:iCs w:val="1"/>
          <w:color w:val="auto"/>
        </w:rPr>
        <w:t>. Participation in the Plan is voluntary and Participant is providing the consents herein on a purely voluntary basis. If Participant does not consent, or if Participant later seeks to revoke his or her consent, Participant’s salary from or employment or service with the Service Recipient will not be affected; the only consequence of refusing or withdrawing consent is that the Company would not be able to grant the Restricted Stock Units or other equity awards to Participant under the Plan or administer or maintain such awards.</w:t>
      </w:r>
    </w:p>
    <w:p>
      <w:pPr>
        <w:spacing w:after="0" w:line="143" w:lineRule="exact"/>
        <w:rPr>
          <w:rFonts w:ascii="Times New Roman" w:cs="Times New Roman" w:eastAsia="Times New Roman" w:hAnsi="Times New Roman"/>
          <w:sz w:val="18"/>
          <w:szCs w:val="18"/>
          <w:b w:val="1"/>
          <w:bCs w:val="1"/>
          <w:i w:val="1"/>
          <w:iCs w:val="1"/>
          <w:color w:val="auto"/>
        </w:rPr>
      </w:pPr>
    </w:p>
    <w:p>
      <w:pPr>
        <w:ind w:right="160" w:firstLine="845"/>
        <w:spacing w:after="0" w:line="236" w:lineRule="auto"/>
        <w:tabs>
          <w:tab w:leader="none" w:pos="1090" w:val="left"/>
        </w:tabs>
        <w:numPr>
          <w:ilvl w:val="2"/>
          <w:numId w:val="7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Data Sub</w:t>
      </w:r>
      <w:r>
        <w:rPr>
          <w:rFonts w:ascii="Times New Roman" w:cs="Times New Roman" w:eastAsia="Times New Roman" w:hAnsi="Times New Roman"/>
          <w:sz w:val="18"/>
          <w:szCs w:val="18"/>
          <w:b w:val="1"/>
          <w:bCs w:val="1"/>
          <w:i w:val="1"/>
          <w:iCs w:val="1"/>
          <w:color w:val="auto"/>
        </w:rPr>
        <w:t>j</w:t>
      </w:r>
      <w:r>
        <w:rPr>
          <w:rFonts w:ascii="Times New Roman" w:cs="Times New Roman" w:eastAsia="Times New Roman" w:hAnsi="Times New Roman"/>
          <w:sz w:val="18"/>
          <w:szCs w:val="18"/>
          <w:b w:val="1"/>
          <w:bCs w:val="1"/>
          <w:i w:val="1"/>
          <w:iCs w:val="1"/>
          <w:u w:val="single" w:color="auto"/>
          <w:color w:val="auto"/>
        </w:rPr>
        <w:t>ect Ri</w:t>
      </w:r>
      <w:r>
        <w:rPr>
          <w:rFonts w:ascii="Times New Roman" w:cs="Times New Roman" w:eastAsia="Times New Roman" w:hAnsi="Times New Roman"/>
          <w:sz w:val="18"/>
          <w:szCs w:val="18"/>
          <w:b w:val="1"/>
          <w:bCs w:val="1"/>
          <w:i w:val="1"/>
          <w:iCs w:val="1"/>
          <w:color w:val="auto"/>
        </w:rPr>
        <w:t>g</w:t>
      </w:r>
      <w:r>
        <w:rPr>
          <w:rFonts w:ascii="Times New Roman" w:cs="Times New Roman" w:eastAsia="Times New Roman" w:hAnsi="Times New Roman"/>
          <w:sz w:val="18"/>
          <w:szCs w:val="18"/>
          <w:b w:val="1"/>
          <w:bCs w:val="1"/>
          <w:i w:val="1"/>
          <w:iCs w:val="1"/>
          <w:u w:val="single" w:color="auto"/>
          <w:color w:val="auto"/>
        </w:rPr>
        <w:t>hts.</w:t>
      </w:r>
      <w:r>
        <w:rPr>
          <w:rFonts w:ascii="Times New Roman" w:cs="Times New Roman" w:eastAsia="Times New Roman" w:hAnsi="Times New Roman"/>
          <w:sz w:val="18"/>
          <w:szCs w:val="18"/>
          <w:b w:val="1"/>
          <w:bCs w:val="1"/>
          <w:i w:val="1"/>
          <w:iCs w:val="1"/>
          <w:color w:val="auto"/>
        </w:rPr>
        <w:t xml:space="preserve"> Participant may have a number of rights under data privacy laws in his or her jurisdiction. Depending on where Participant is based, such rights may include the right to (i) request access to or copies of Data the Company processes, (ii) rectify incorrect Data, (iii) delete Data, (iv) restrict the processing of Data, (v) restrict the portability of Data, (vi) lodge complaints with competent authorities in Participant’s jurisdiction, and/or (vii) receive a list with the names and addresses of any potential recipients of Data. To receive clarification regarding these rights or to exercise these rights, Participant can contact his or her local human resources representative.</w:t>
      </w:r>
    </w:p>
    <w:p>
      <w:pPr>
        <w:spacing w:after="0" w:line="143" w:lineRule="exact"/>
        <w:rPr>
          <w:rFonts w:ascii="Times New Roman" w:cs="Times New Roman" w:eastAsia="Times New Roman" w:hAnsi="Times New Roman"/>
          <w:sz w:val="18"/>
          <w:szCs w:val="18"/>
          <w:b w:val="1"/>
          <w:bCs w:val="1"/>
          <w:i w:val="1"/>
          <w:iCs w:val="1"/>
          <w:color w:val="auto"/>
        </w:rPr>
      </w:pPr>
    </w:p>
    <w:p>
      <w:pPr>
        <w:ind w:right="20" w:firstLine="845"/>
        <w:spacing w:after="0" w:line="234" w:lineRule="auto"/>
        <w:tabs>
          <w:tab w:leader="none" w:pos="1093" w:val="left"/>
        </w:tabs>
        <w:numPr>
          <w:ilvl w:val="2"/>
          <w:numId w:val="7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Other Le</w:t>
      </w:r>
      <w:r>
        <w:rPr>
          <w:rFonts w:ascii="Times New Roman" w:cs="Times New Roman" w:eastAsia="Times New Roman" w:hAnsi="Times New Roman"/>
          <w:sz w:val="18"/>
          <w:szCs w:val="18"/>
          <w:b w:val="1"/>
          <w:bCs w:val="1"/>
          <w:i w:val="1"/>
          <w:iCs w:val="1"/>
          <w:color w:val="auto"/>
        </w:rPr>
        <w:t>g</w:t>
      </w:r>
      <w:r>
        <w:rPr>
          <w:rFonts w:ascii="Times New Roman" w:cs="Times New Roman" w:eastAsia="Times New Roman" w:hAnsi="Times New Roman"/>
          <w:sz w:val="18"/>
          <w:szCs w:val="18"/>
          <w:b w:val="1"/>
          <w:bCs w:val="1"/>
          <w:i w:val="1"/>
          <w:iCs w:val="1"/>
          <w:u w:val="single" w:color="auto"/>
          <w:color w:val="auto"/>
        </w:rPr>
        <w:t>al Basis and Additional Consent</w:t>
      </w:r>
      <w:r>
        <w:rPr>
          <w:rFonts w:ascii="Times New Roman" w:cs="Times New Roman" w:eastAsia="Times New Roman" w:hAnsi="Times New Roman"/>
          <w:sz w:val="18"/>
          <w:szCs w:val="18"/>
          <w:b w:val="1"/>
          <w:bCs w:val="1"/>
          <w:i w:val="1"/>
          <w:iCs w:val="1"/>
          <w:color w:val="auto"/>
        </w:rPr>
        <w:t>. Participant understands that the Company may rely on a different legal basis for the collection, processing or transfer of Data in the future and/or request Participant to provide another data privacy consent. If applicable, upon request of the Company or the Service Recipient, Participant will provide a separate executed data privacy agreement (or any other agreements or consents) that the Company and/or the Service Recipient may deem necessary to obtain from Participant for the purpose of administering his or her participation in the Plan in compliance with the data privacy laws in Participant’s country, either now or in the future. Participant understands and agrees that Participant will not be able to participate in the Plan if Participant fails to provide any such agreement requested by the Company and/or the Service Recipient.</w:t>
      </w:r>
    </w:p>
    <w:p>
      <w:pPr>
        <w:spacing w:after="0" w:line="76" w:lineRule="exact"/>
        <w:rPr>
          <w:rFonts w:ascii="Times New Roman" w:cs="Times New Roman" w:eastAsia="Times New Roman" w:hAnsi="Times New Roman"/>
          <w:sz w:val="18"/>
          <w:szCs w:val="18"/>
          <w:b w:val="1"/>
          <w:bCs w:val="1"/>
          <w:i w:val="1"/>
          <w:iCs w:val="1"/>
          <w:color w:val="auto"/>
        </w:rPr>
      </w:pPr>
    </w:p>
    <w:p>
      <w:pPr>
        <w:ind w:left="500" w:hanging="174"/>
        <w:spacing w:after="0"/>
        <w:tabs>
          <w:tab w:leader="none" w:pos="5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Grant</w:t>
      </w:r>
      <w:r>
        <w:rPr>
          <w:rFonts w:ascii="Times New Roman" w:cs="Times New Roman" w:eastAsia="Times New Roman" w:hAnsi="Times New Roman"/>
          <w:sz w:val="18"/>
          <w:szCs w:val="18"/>
          <w:color w:val="auto"/>
        </w:rPr>
        <w:t>. By accepting the Restricted Stock Units, Participant acknowledges, understands, and agrees that:</w:t>
      </w:r>
    </w:p>
    <w:p>
      <w:pPr>
        <w:sectPr>
          <w:pgSz w:w="11900" w:h="16838" w:orient="portrait"/>
          <w:cols w:equalWidth="0" w:num="1">
            <w:col w:w="10960"/>
          </w:cols>
          <w:pgMar w:left="520" w:top="1440" w:right="419" w:bottom="1440" w:gutter="0" w:footer="0" w:header="0"/>
        </w:sectPr>
      </w:pPr>
    </w:p>
    <w:bookmarkStart w:id="139" w:name="page140"/>
    <w:bookmarkEnd w:id="139"/>
    <w:p>
      <w:pPr>
        <w:spacing w:after="0" w:line="153" w:lineRule="exact"/>
        <w:rPr>
          <w:sz w:val="20"/>
          <w:szCs w:val="20"/>
          <w:color w:val="auto"/>
        </w:rPr>
      </w:pPr>
    </w:p>
    <w:p>
      <w:pPr>
        <w:jc w:val="both"/>
        <w:ind w:right="400" w:firstLine="845"/>
        <w:spacing w:after="0" w:line="296" w:lineRule="auto"/>
        <w:tabs>
          <w:tab w:leader="none" w:pos="1096"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grant of the Restricted Stock Units is exceptional, voluntary and occasional and does not create any contractual or other right to receive future grants of restricted stock units, or benefits in lieu of restricted stock units, even if restricted stock units have been granted in the past;</w:t>
      </w:r>
    </w:p>
    <w:p>
      <w:pPr>
        <w:spacing w:after="0" w:line="111" w:lineRule="exact"/>
        <w:rPr>
          <w:rFonts w:ascii="Times New Roman" w:cs="Times New Roman" w:eastAsia="Times New Roman" w:hAnsi="Times New Roman"/>
          <w:sz w:val="17"/>
          <w:szCs w:val="17"/>
          <w:color w:val="auto"/>
        </w:rPr>
      </w:pPr>
    </w:p>
    <w:p>
      <w:pPr>
        <w:ind w:left="1100" w:hanging="255"/>
        <w:spacing w:after="0"/>
        <w:tabs>
          <w:tab w:leader="none" w:pos="11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restricted stock unit or other grants, if any, will be at the sole discretion of the Company;</w:t>
      </w:r>
    </w:p>
    <w:p>
      <w:pPr>
        <w:spacing w:after="0" w:line="184" w:lineRule="exact"/>
        <w:rPr>
          <w:rFonts w:ascii="Times New Roman" w:cs="Times New Roman" w:eastAsia="Times New Roman" w:hAnsi="Times New Roman"/>
          <w:sz w:val="18"/>
          <w:szCs w:val="18"/>
          <w:color w:val="auto"/>
        </w:rPr>
      </w:pPr>
    </w:p>
    <w:p>
      <w:pPr>
        <w:ind w:left="1100" w:hanging="255"/>
        <w:spacing w:after="0"/>
        <w:tabs>
          <w:tab w:leader="none" w:pos="11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is voluntarily participating in the Plan;</w:t>
      </w:r>
    </w:p>
    <w:p>
      <w:pPr>
        <w:spacing w:after="0" w:line="171" w:lineRule="exact"/>
        <w:rPr>
          <w:rFonts w:ascii="Times New Roman" w:cs="Times New Roman" w:eastAsia="Times New Roman" w:hAnsi="Times New Roman"/>
          <w:sz w:val="18"/>
          <w:szCs w:val="18"/>
          <w:color w:val="auto"/>
        </w:rPr>
      </w:pPr>
    </w:p>
    <w:p>
      <w:pPr>
        <w:ind w:right="700" w:firstLine="845"/>
        <w:spacing w:after="0" w:line="250" w:lineRule="auto"/>
        <w:tabs>
          <w:tab w:leader="none" w:pos="1093"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and any Shares subject to the Restricted Stock Units, and the income from and value of same, are not intended to replace any pension rights or compensation;</w:t>
      </w:r>
    </w:p>
    <w:p>
      <w:pPr>
        <w:spacing w:after="0" w:line="149" w:lineRule="exact"/>
        <w:rPr>
          <w:rFonts w:ascii="Times New Roman" w:cs="Times New Roman" w:eastAsia="Times New Roman" w:hAnsi="Times New Roman"/>
          <w:sz w:val="18"/>
          <w:szCs w:val="18"/>
          <w:color w:val="auto"/>
        </w:rPr>
      </w:pPr>
    </w:p>
    <w:p>
      <w:pPr>
        <w:ind w:right="460" w:firstLine="845"/>
        <w:spacing w:after="0" w:line="242" w:lineRule="auto"/>
        <w:tabs>
          <w:tab w:leader="none" w:pos="109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agreed with the Company, the Restricted Stock Units and the Shares subject to the Restricted Stock Units, and the income from and value of same, are not granted as consideration for, or in connection with, the service Participant may provide as a director of a Subsidiary;</w:t>
      </w:r>
    </w:p>
    <w:p>
      <w:pPr>
        <w:spacing w:after="0" w:line="156" w:lineRule="exact"/>
        <w:rPr>
          <w:rFonts w:ascii="Times New Roman" w:cs="Times New Roman" w:eastAsia="Times New Roman" w:hAnsi="Times New Roman"/>
          <w:sz w:val="18"/>
          <w:szCs w:val="18"/>
          <w:color w:val="auto"/>
        </w:rPr>
      </w:pPr>
    </w:p>
    <w:p>
      <w:pPr>
        <w:ind w:right="180" w:firstLine="845"/>
        <w:spacing w:after="0"/>
        <w:tabs>
          <w:tab w:leader="none" w:pos="109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and any Shares subject to the Restricted Stock Units, and the income from and value of same, are not part of normal or expected compensation for any purpose, including, without limitation to, calculating any severance, resignation, termination, redundancy, dismissal, end-of-service payments, bonuses, long-service awards, holiday pay, pension or retirement or welfare benefits or similar mandatory payments;</w:t>
      </w:r>
    </w:p>
    <w:p>
      <w:pPr>
        <w:spacing w:after="0" w:line="130" w:lineRule="exact"/>
        <w:rPr>
          <w:rFonts w:ascii="Times New Roman" w:cs="Times New Roman" w:eastAsia="Times New Roman" w:hAnsi="Times New Roman"/>
          <w:sz w:val="18"/>
          <w:szCs w:val="18"/>
          <w:color w:val="auto"/>
        </w:rPr>
      </w:pPr>
    </w:p>
    <w:p>
      <w:pPr>
        <w:ind w:left="1100" w:hanging="255"/>
        <w:spacing w:after="0"/>
        <w:tabs>
          <w:tab w:leader="none" w:pos="11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Shares underlying the Restricted Stock Units is unknown, indeterminable, and cannot be predicted with</w:t>
      </w:r>
    </w:p>
    <w:p>
      <w:pPr>
        <w:spacing w:after="0" w:line="1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certainty;</w:t>
      </w:r>
    </w:p>
    <w:p>
      <w:pPr>
        <w:spacing w:after="0" w:line="151" w:lineRule="exact"/>
        <w:rPr>
          <w:rFonts w:ascii="Times New Roman" w:cs="Times New Roman" w:eastAsia="Times New Roman" w:hAnsi="Times New Roman"/>
          <w:sz w:val="18"/>
          <w:szCs w:val="18"/>
          <w:color w:val="auto"/>
        </w:rPr>
      </w:pPr>
    </w:p>
    <w:p>
      <w:pPr>
        <w:ind w:right="20" w:firstLine="845"/>
        <w:spacing w:after="0" w:line="242" w:lineRule="auto"/>
        <w:tabs>
          <w:tab w:leader="none" w:pos="1093"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the Restricted Stock Units resulting from the termination of Participant’s status as a Service Provider (for any reason whatsoever, whether or not later found to be invalid or in breach of labor laws in the jurisdiction where the Participant is providing service or the terms of the Participant’s employment or other service agreement, if any);</w:t>
      </w:r>
    </w:p>
    <w:p>
      <w:pPr>
        <w:spacing w:after="0" w:line="156" w:lineRule="exact"/>
        <w:rPr>
          <w:rFonts w:ascii="Times New Roman" w:cs="Times New Roman" w:eastAsia="Times New Roman" w:hAnsi="Times New Roman"/>
          <w:sz w:val="18"/>
          <w:szCs w:val="18"/>
          <w:color w:val="auto"/>
        </w:rPr>
      </w:pPr>
    </w:p>
    <w:p>
      <w:pPr>
        <w:ind w:right="100" w:firstLine="845"/>
        <w:spacing w:after="0" w:line="242" w:lineRule="auto"/>
        <w:tabs>
          <w:tab w:leader="none" w:pos="1093"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Plan or by the Company in its discretion, the Restricted Stock Units and the benefits evidenced by this Award Agreement do not create any entitlement to have the Restricted Stock Units or any such benefits transferred to, or assumed by, another company nor to be exchanged, cashed out or substituted for, in connection with any corporate transaction affecting the Shares; and</w:t>
      </w:r>
    </w:p>
    <w:p>
      <w:pPr>
        <w:spacing w:after="0" w:line="156" w:lineRule="exact"/>
        <w:rPr>
          <w:rFonts w:ascii="Times New Roman" w:cs="Times New Roman" w:eastAsia="Times New Roman" w:hAnsi="Times New Roman"/>
          <w:sz w:val="18"/>
          <w:szCs w:val="18"/>
          <w:color w:val="auto"/>
        </w:rPr>
      </w:pPr>
    </w:p>
    <w:p>
      <w:pPr>
        <w:ind w:right="180" w:firstLine="845"/>
        <w:spacing w:after="0" w:line="236" w:lineRule="auto"/>
        <w:tabs>
          <w:tab w:leader="none" w:pos="1093"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the Service Recipient nor any other Subsidiary shall be liable for any foreign exchange rate fluctuation between Participant’s local currency and the U.S. dollar that may affect the value of the Restricted Stock Units or of any amounts due to Participant pursuant to the Restricted Stock or the subsequent sale of any Shares subject to the Restricted Stock Units.</w:t>
      </w:r>
    </w:p>
    <w:p>
      <w:pPr>
        <w:spacing w:after="0" w:line="158" w:lineRule="exact"/>
        <w:rPr>
          <w:rFonts w:ascii="Times New Roman" w:cs="Times New Roman" w:eastAsia="Times New Roman" w:hAnsi="Times New Roman"/>
          <w:sz w:val="18"/>
          <w:szCs w:val="18"/>
          <w:color w:val="auto"/>
        </w:rPr>
      </w:pPr>
    </w:p>
    <w:p>
      <w:pPr>
        <w:ind w:firstLine="326"/>
        <w:spacing w:after="0" w:line="236" w:lineRule="auto"/>
        <w:tabs>
          <w:tab w:leader="none" w:pos="50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Language</w:t>
      </w:r>
      <w:r>
        <w:rPr>
          <w:rFonts w:ascii="Times New Roman" w:cs="Times New Roman" w:eastAsia="Times New Roman" w:hAnsi="Times New Roman"/>
          <w:sz w:val="18"/>
          <w:szCs w:val="18"/>
          <w:color w:val="auto"/>
        </w:rPr>
        <w:t>. Participant acknowledges that he or she is sufficiently proficient in English or has consulted with an advisor who is sufficiently proficient in English, so as to allow Participant to understand the terms and conditions of this Award Agreement. If Participant has received this Award Agreement, or any other documents related to the Restricted Stock Units and/or the Plan translated into a language other than English and if the meaning of the translated version is different than the English version, the English version will control.</w:t>
      </w:r>
    </w:p>
    <w:p>
      <w:pPr>
        <w:spacing w:after="0" w:line="157" w:lineRule="exact"/>
        <w:rPr>
          <w:rFonts w:ascii="Times New Roman" w:cs="Times New Roman" w:eastAsia="Times New Roman" w:hAnsi="Times New Roman"/>
          <w:sz w:val="18"/>
          <w:szCs w:val="18"/>
          <w:color w:val="auto"/>
        </w:rPr>
      </w:pPr>
    </w:p>
    <w:p>
      <w:pPr>
        <w:ind w:right="40" w:firstLine="326"/>
        <w:spacing w:after="0" w:line="231" w:lineRule="auto"/>
        <w:tabs>
          <w:tab w:leader="none" w:pos="50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n Asset/Account, Exchan</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 Control and Tax Reportin</w:t>
      </w:r>
      <w:r>
        <w:rPr>
          <w:rFonts w:ascii="Times New Roman" w:cs="Times New Roman" w:eastAsia="Times New Roman" w:hAnsi="Times New Roman"/>
          <w:sz w:val="18"/>
          <w:szCs w:val="18"/>
          <w:color w:val="auto"/>
        </w:rPr>
        <w:t>g. Participant may be subject to foreign asset/account, exchange control, tax reporting or other requirements which may affect Participant’s ability acquire or hold Restricted Stock Units, Shares or cash received from participating in the Plan (including dividends and the proceeds arising from the sale of Shares) in a brokerage/bank account outside Participant’s country. The applicable laws of Participant’s country may require that he or she report such Restricted Stock Units, Shares, accounts, assets or transactions to the applicable authorities in such country and/or repatriate funds received in connection with the Plan to Participant’s country within a certain time period or according to certain procedures. Participant acknowledges that he or she is responsible for ensuring compliance with any applicable requirements and should consult his or her personal legal advisor to ensure compliance with Applicable Laws.</w:t>
      </w:r>
    </w:p>
    <w:p>
      <w:pPr>
        <w:sectPr>
          <w:pgSz w:w="11900" w:h="16838" w:orient="portrait"/>
          <w:cols w:equalWidth="0" w:num="1">
            <w:col w:w="11000"/>
          </w:cols>
          <w:pgMar w:left="520" w:top="1440" w:right="379" w:bottom="1440" w:gutter="0" w:footer="0" w:header="0"/>
        </w:sectPr>
      </w:pPr>
    </w:p>
    <w:bookmarkStart w:id="140" w:name="page141"/>
    <w:bookmarkEnd w:id="140"/>
    <w:p>
      <w:pPr>
        <w:spacing w:after="0" w:line="82" w:lineRule="exact"/>
        <w:rPr>
          <w:sz w:val="20"/>
          <w:szCs w:val="20"/>
          <w:color w:val="auto"/>
        </w:rPr>
      </w:pPr>
    </w:p>
    <w:p>
      <w:pPr>
        <w:ind w:left="42"/>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TERMS AND CONDITIONS FOR CERTAIN COUNTRIES</w:t>
      </w:r>
    </w:p>
    <w:p>
      <w:pPr>
        <w:spacing w:after="0" w:line="360" w:lineRule="exact"/>
        <w:rPr>
          <w:sz w:val="20"/>
          <w:szCs w:val="20"/>
          <w:color w:val="auto"/>
        </w:rPr>
      </w:pPr>
    </w:p>
    <w:p>
      <w:pPr>
        <w:ind w:left="42"/>
        <w:spacing w:after="0"/>
        <w:rPr>
          <w:sz w:val="20"/>
          <w:szCs w:val="20"/>
          <w:color w:val="auto"/>
        </w:rPr>
      </w:pPr>
      <w:r>
        <w:rPr>
          <w:rFonts w:ascii="Times New Roman" w:cs="Times New Roman" w:eastAsia="Times New Roman" w:hAnsi="Times New Roman"/>
          <w:sz w:val="18"/>
          <w:szCs w:val="18"/>
          <w:b w:val="1"/>
          <w:bCs w:val="1"/>
          <w:u w:val="single" w:color="auto"/>
          <w:color w:val="auto"/>
        </w:rPr>
        <w:t>KOREA</w:t>
      </w:r>
    </w:p>
    <w:p>
      <w:pPr>
        <w:spacing w:after="0" w:line="10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79" w:lineRule="exact"/>
        <w:rPr>
          <w:sz w:val="20"/>
          <w:szCs w:val="20"/>
          <w:color w:val="auto"/>
        </w:rPr>
      </w:pPr>
    </w:p>
    <w:p>
      <w:pPr>
        <w:jc w:val="both"/>
        <w:ind w:left="2" w:right="40"/>
        <w:spacing w:after="0" w:line="236" w:lineRule="auto"/>
        <w:rPr>
          <w:sz w:val="20"/>
          <w:szCs w:val="20"/>
          <w:color w:val="auto"/>
        </w:rPr>
      </w:pPr>
      <w:r>
        <w:rPr>
          <w:rFonts w:ascii="Times New Roman" w:cs="Times New Roman" w:eastAsia="Times New Roman" w:hAnsi="Times New Roman"/>
          <w:sz w:val="18"/>
          <w:szCs w:val="18"/>
          <w:u w:val="single" w:color="auto"/>
          <w:color w:val="auto"/>
        </w:rPr>
        <w:t>Forei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n Asset/Account Reportin</w:t>
      </w: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Korean residents must declare all foreign financial accounts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non-Korean bank accounts, brokerage accounts) to the Korean tax authorities and file a report with respect to such accounts if the monthly balance of such accounts exceeds KRW 500 million (or an equivalent amount in foreign currency) on any month-end during a calendar year. Participant should consult with his or her personal tax advisor to determine his or her personal reporting obligations.</w:t>
      </w:r>
    </w:p>
    <w:p>
      <w:pPr>
        <w:spacing w:after="0" w:line="25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u w:val="single" w:color="auto"/>
          <w:color w:val="auto"/>
        </w:rPr>
        <w:t>SINGAPORE</w:t>
      </w:r>
    </w:p>
    <w:p>
      <w:pPr>
        <w:spacing w:after="0" w:line="9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81" w:lineRule="exact"/>
        <w:rPr>
          <w:sz w:val="20"/>
          <w:szCs w:val="20"/>
          <w:color w:val="auto"/>
        </w:rPr>
      </w:pPr>
    </w:p>
    <w:p>
      <w:pPr>
        <w:ind w:left="2" w:right="200"/>
        <w:spacing w:after="0" w:line="252" w:lineRule="auto"/>
        <w:rPr>
          <w:sz w:val="20"/>
          <w:szCs w:val="20"/>
          <w:color w:val="auto"/>
        </w:rPr>
      </w:pPr>
      <w:r>
        <w:rPr>
          <w:rFonts w:ascii="Times New Roman" w:cs="Times New Roman" w:eastAsia="Times New Roman" w:hAnsi="Times New Roman"/>
          <w:sz w:val="17"/>
          <w:szCs w:val="17"/>
          <w:u w:val="single" w:color="auto"/>
          <w:color w:val="auto"/>
        </w:rPr>
        <w:t>Restriction on Sale of Shares</w:t>
      </w:r>
      <w:r>
        <w:rPr>
          <w:rFonts w:ascii="Times New Roman" w:cs="Times New Roman" w:eastAsia="Times New Roman" w:hAnsi="Times New Roman"/>
          <w:sz w:val="17"/>
          <w:szCs w:val="17"/>
          <w:color w:val="auto"/>
        </w:rPr>
        <w:t>. The Restricted Stock Units are subject to section 257 of the Securities and Futures Act (Chapter 289, 2006 Ed.) (“SFA”) and Participant will not be able to make any subsequent offer to sell or sale of the Shares in Singapore, unless such offer or sale is made (1) after six</w:t>
      </w:r>
    </w:p>
    <w:p>
      <w:pPr>
        <w:ind w:left="262" w:hanging="262"/>
        <w:spacing w:after="0" w:line="220" w:lineRule="auto"/>
        <w:tabs>
          <w:tab w:leader="none" w:pos="26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from the Date of Grant, (2) pursuant to the exemptions under Part XIII Division (1) Subdivision (4) (other than section 280) of the SFA or</w:t>
      </w:r>
    </w:p>
    <w:p>
      <w:pPr>
        <w:ind w:left="262" w:hanging="262"/>
        <w:spacing w:after="0"/>
        <w:tabs>
          <w:tab w:leader="none" w:pos="26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and in accordance with, the conditions of any other applicable exemptions under the SFA.</w:t>
      </w:r>
    </w:p>
    <w:p>
      <w:pPr>
        <w:spacing w:after="0" w:line="26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81" w:lineRule="exact"/>
        <w:rPr>
          <w:sz w:val="20"/>
          <w:szCs w:val="20"/>
          <w:color w:val="auto"/>
        </w:rPr>
      </w:pPr>
    </w:p>
    <w:p>
      <w:pPr>
        <w:jc w:val="both"/>
        <w:ind w:left="2" w:right="60"/>
        <w:spacing w:after="0" w:line="236" w:lineRule="auto"/>
        <w:rPr>
          <w:sz w:val="20"/>
          <w:szCs w:val="20"/>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The offer of the Plan, the grant of the Restricted Stock Units, and the issuance of the Shares subject to the Restricted Stock Units are being made pursuant to the “Qualifying Person” exemption under section 273(1)(f) of the SFA. The Plan has not been lodged or registered as a prospectus with the Monetary Authority of Singapore.</w:t>
      </w:r>
    </w:p>
    <w:p>
      <w:pPr>
        <w:spacing w:after="0" w:line="159" w:lineRule="exact"/>
        <w:rPr>
          <w:sz w:val="20"/>
          <w:szCs w:val="20"/>
          <w:color w:val="auto"/>
        </w:rPr>
      </w:pPr>
    </w:p>
    <w:p>
      <w:pPr>
        <w:ind w:left="2"/>
        <w:spacing w:after="0" w:line="231" w:lineRule="auto"/>
        <w:rPr>
          <w:sz w:val="20"/>
          <w:szCs w:val="20"/>
          <w:color w:val="auto"/>
        </w:rPr>
      </w:pPr>
      <w:r>
        <w:rPr>
          <w:rFonts w:ascii="Times New Roman" w:cs="Times New Roman" w:eastAsia="Times New Roman" w:hAnsi="Times New Roman"/>
          <w:sz w:val="18"/>
          <w:szCs w:val="18"/>
          <w:u w:val="single" w:color="auto"/>
          <w:color w:val="auto"/>
        </w:rPr>
        <w:t>Director Notification</w:t>
      </w:r>
      <w:r>
        <w:rPr>
          <w:rFonts w:ascii="Times New Roman" w:cs="Times New Roman" w:eastAsia="Times New Roman" w:hAnsi="Times New Roman"/>
          <w:sz w:val="18"/>
          <w:szCs w:val="18"/>
          <w:color w:val="auto"/>
        </w:rPr>
        <w:t>. Participant understands and acknowledges that if Participant is a director, associate director or shadow director of a Singapore Subsidiary, Participant is subject to certain notification requirements under the Singapore Companies Act, regardless of whether Participant is a Singapore resident or providing services in Singapore. Among these requirements is an obligation to notify the Singapore Subsidiary in writing when Participant receives an interest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Restricted Stock Units) in the Company. In addition, Participant must notify the Singapore Subsidiary when Participant sells Shares (including when Participant sells Shares acquired under the Plan). These notifications must be made within two days of acquiring or disposing of any interest in the Company. In addition, a notification must be made of Participant’s interests in the Company within two days of becoming a director, associate director or shadow director.</w:t>
      </w:r>
    </w:p>
    <w:p>
      <w:pPr>
        <w:sectPr>
          <w:pgSz w:w="11900" w:h="16838" w:orient="portrait"/>
          <w:cols w:equalWidth="0" w:num="1">
            <w:col w:w="11042"/>
          </w:cols>
          <w:pgMar w:left="458" w:top="1440" w:right="399" w:bottom="1440" w:gutter="0" w:footer="0" w:header="0"/>
        </w:sectPr>
      </w:pPr>
    </w:p>
    <w:bookmarkStart w:id="141" w:name="page142"/>
    <w:bookmarkEnd w:id="1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10.24</w:t>
      </w:r>
    </w:p>
    <w:p>
      <w:pPr>
        <w:spacing w:after="0" w:line="32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 TIME-VESTED RESTRICTED STOCK UNIT AWARD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defined herein, each term used in this Global Time-Vested Restricted Stock Unit Award Agreement, including the general terms and conditions for all non-U.S. Participants and the additional terms and conditions for certain countries, all as set forth in the appendix attached hereto (the “Appendix” and, together with the Global Time-Vested Restricted Stock Unit Award Agreement, the “Award Agreement”) and defined in the Amkor Technology, Inc. 2021 Equity Incentive Plan (the “Plan”) will have the same meaning as is given to such term in the Plan.</w:t>
      </w:r>
    </w:p>
    <w:p>
      <w:pPr>
        <w:spacing w:after="0" w:line="270" w:lineRule="exact"/>
        <w:rPr>
          <w:sz w:val="20"/>
          <w:szCs w:val="20"/>
          <w:color w:val="auto"/>
        </w:rPr>
      </w:pPr>
    </w:p>
    <w:p>
      <w:pPr>
        <w:ind w:left="640"/>
        <w:spacing w:after="0"/>
        <w:tabs>
          <w:tab w:leader="none" w:pos="3000" w:val="left"/>
        </w:tabs>
        <w:rPr>
          <w:sz w:val="20"/>
          <w:szCs w:val="20"/>
          <w:color w:val="auto"/>
        </w:rPr>
      </w:pPr>
      <w:r>
        <w:rPr>
          <w:rFonts w:ascii="Times New Roman" w:cs="Times New Roman" w:eastAsia="Times New Roman" w:hAnsi="Times New Roman"/>
          <w:sz w:val="18"/>
          <w:szCs w:val="18"/>
          <w:b w:val="1"/>
          <w:bCs w:val="1"/>
          <w:color w:val="auto"/>
        </w:rPr>
        <w:t>Participant Name:</w:t>
      </w:r>
      <w:r>
        <w:rPr>
          <w:sz w:val="20"/>
          <w:szCs w:val="20"/>
          <w:color w:val="auto"/>
        </w:rPr>
        <w:tab/>
      </w:r>
      <w:r>
        <w:rPr>
          <w:rFonts w:ascii="Times New Roman" w:cs="Times New Roman" w:eastAsia="Times New Roman" w:hAnsi="Times New Roman"/>
          <w:sz w:val="18"/>
          <w:szCs w:val="18"/>
          <w:color w:val="auto"/>
        </w:rPr>
        <w:t>%%FIRST_NAME_MIDDLE_NAME_LAST_NAME%-%</w:t>
      </w:r>
    </w:p>
    <w:p>
      <w:pPr>
        <w:spacing w:after="0" w:line="200" w:lineRule="exact"/>
        <w:rPr>
          <w:sz w:val="20"/>
          <w:szCs w:val="20"/>
          <w:color w:val="auto"/>
        </w:rPr>
      </w:pPr>
    </w:p>
    <w:p>
      <w:pPr>
        <w:spacing w:after="0" w:line="3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You have been granted the right to receive an Award of Time-Vested Restricted Stock Units, subject to the terms and conditions of the Plan and this Award Agreement, as follows:</w:t>
      </w:r>
    </w:p>
    <w:p>
      <w:pPr>
        <w:spacing w:after="0" w:line="175" w:lineRule="exact"/>
        <w:rPr>
          <w:sz w:val="20"/>
          <w:szCs w:val="20"/>
          <w:color w:val="auto"/>
        </w:rPr>
      </w:pPr>
    </w:p>
    <w:tbl>
      <w:tblPr>
        <w:tblLayout w:type="fixed"/>
        <w:tblInd w:w="640" w:type="dxa"/>
        <w:tblCellMar>
          <w:top w:w="0" w:type="dxa"/>
          <w:left w:w="0" w:type="dxa"/>
          <w:bottom w:w="0" w:type="dxa"/>
          <w:right w:w="0" w:type="dxa"/>
        </w:tblCellMar>
      </w:tblPr>
      <w:tr>
        <w:trPr>
          <w:trHeight w:val="261"/>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Grant Number:</w:t>
            </w:r>
          </w:p>
        </w:tc>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%%OPTION_NUMBER%-%</w:t>
            </w:r>
          </w:p>
        </w:tc>
        <w:tc>
          <w:tcPr>
            <w:tcW w:w="0" w:type="dxa"/>
            <w:vAlign w:val="bottom"/>
          </w:tcPr>
          <w:p>
            <w:pPr>
              <w:spacing w:after="0"/>
              <w:rPr>
                <w:sz w:val="1"/>
                <w:szCs w:val="1"/>
                <w:color w:val="auto"/>
              </w:rPr>
            </w:pPr>
          </w:p>
        </w:tc>
      </w:tr>
      <w:tr>
        <w:trPr>
          <w:trHeight w:val="310"/>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of Grant:</w:t>
            </w:r>
          </w:p>
        </w:tc>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%%OPTION_DATE,’Month DD, YYYY’%-%</w:t>
            </w:r>
          </w:p>
        </w:tc>
        <w:tc>
          <w:tcPr>
            <w:tcW w:w="0" w:type="dxa"/>
            <w:vAlign w:val="bottom"/>
          </w:tcPr>
          <w:p>
            <w:pPr>
              <w:spacing w:after="0"/>
              <w:rPr>
                <w:sz w:val="1"/>
                <w:szCs w:val="1"/>
                <w:color w:val="auto"/>
              </w:rPr>
            </w:pPr>
          </w:p>
        </w:tc>
      </w:tr>
      <w:tr>
        <w:trPr>
          <w:trHeight w:val="310"/>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Vesting Commencement Date:</w:t>
            </w:r>
          </w:p>
        </w:tc>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%%VEST_BASE_DATE,’Month DD, YYYY’%-%</w:t>
            </w:r>
          </w:p>
        </w:tc>
        <w:tc>
          <w:tcPr>
            <w:tcW w:w="0" w:type="dxa"/>
            <w:vAlign w:val="bottom"/>
          </w:tcPr>
          <w:p>
            <w:pPr>
              <w:spacing w:after="0"/>
              <w:rPr>
                <w:sz w:val="1"/>
                <w:szCs w:val="1"/>
                <w:color w:val="auto"/>
              </w:rPr>
            </w:pPr>
          </w:p>
        </w:tc>
      </w:tr>
      <w:tr>
        <w:trPr>
          <w:trHeight w:val="310"/>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 Restricted Stock Units Granted:</w:t>
            </w:r>
          </w:p>
        </w:tc>
        <w:tc>
          <w:tcPr>
            <w:tcW w:w="42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w w:val="98"/>
              </w:rPr>
              <w:t>%%TOTAL_SHARES_GRANTED,’999,999,999’%-%</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19"/>
                <w:szCs w:val="19"/>
                <w:color w:val="auto"/>
              </w:rPr>
            </w:pPr>
          </w:p>
        </w:tc>
        <w:tc>
          <w:tcPr>
            <w:tcW w:w="4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both"/>
        <w:ind w:firstLine="8"/>
        <w:spacing w:after="0" w:line="224" w:lineRule="auto"/>
        <w:tabs>
          <w:tab w:leader="none" w:pos="64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The Company hereby grants to the individual named above (“Participant”) under the Plan as a separate incentive and not in lieu of any salary or other compensation for Participant’s services, an Award of Restricted Stock Units, subject to all of the terms and conditions in this Award Agreement and the Plan, which is incorporated herein by reference. In the event of a conflict between the terms and conditions of the Plan and the terms and conditions of this Award Agreement, the terms and conditions of the Plan will prevail.</w:t>
      </w:r>
    </w:p>
    <w:p>
      <w:pPr>
        <w:spacing w:after="0" w:line="118" w:lineRule="exact"/>
        <w:rPr>
          <w:rFonts w:ascii="Times New Roman" w:cs="Times New Roman" w:eastAsia="Times New Roman" w:hAnsi="Times New Roman"/>
          <w:sz w:val="18"/>
          <w:szCs w:val="18"/>
          <w:color w:val="auto"/>
        </w:rPr>
      </w:pPr>
    </w:p>
    <w:p>
      <w:pPr>
        <w:jc w:val="both"/>
        <w:ind w:firstLine="8"/>
        <w:spacing w:after="0" w:line="220" w:lineRule="auto"/>
        <w:tabs>
          <w:tab w:leader="none" w:pos="64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 The Restricted Stock Units awarded by this Award Agreement will vest in accordance with the vesting provisions set forth in this Award Agreement. Unless otherwise provided in the vesting provisions set forth in this Award Agreement, Restricted Stock Units scheduled to vest on a certain date or upon the occurrence of a certain condition will not vest in Participant in accordance with any of the provisions of this Award Agreement, unless Participant has been continuously a Service Provider from the Date of Grant until the date such vesting is scheduled to occur. For the avoidance of doubt, unless otherwise set forth in Section 4 of this Award Agreement, employment or other service during only a portion of the vesting period until the respective vesting date shall not entitle Participant to vest in a pro rata portion of the Restricted Stock Units scheduled to vest on such date.</w:t>
      </w:r>
    </w:p>
    <w:p>
      <w:pPr>
        <w:spacing w:after="0" w:line="169" w:lineRule="exact"/>
        <w:rPr>
          <w:sz w:val="20"/>
          <w:szCs w:val="20"/>
          <w:color w:val="auto"/>
        </w:rPr>
      </w:pPr>
    </w:p>
    <w:tbl>
      <w:tblPr>
        <w:tblLayout w:type="fixed"/>
        <w:tblInd w:w="990" w:type="dxa"/>
        <w:tblCellMar>
          <w:top w:w="0" w:type="dxa"/>
          <w:left w:w="0" w:type="dxa"/>
          <w:bottom w:w="0" w:type="dxa"/>
          <w:right w:w="0" w:type="dxa"/>
        </w:tblCellMar>
      </w:tblPr>
      <w:tr>
        <w:trPr>
          <w:trHeight w:val="189"/>
        </w:trPr>
        <w:tc>
          <w:tcPr>
            <w:tcW w:w="3940" w:type="dxa"/>
            <w:vAlign w:val="bottom"/>
            <w:tcBorders>
              <w:top w:val="single" w:sz="8" w:color="auto"/>
              <w:left w:val="single" w:sz="8" w:color="auto"/>
              <w:right w:val="single" w:sz="8" w:color="auto"/>
            </w:tcBorders>
            <w:shd w:val="clear" w:color="auto" w:fill="D9D9D9"/>
          </w:tcPr>
          <w:p>
            <w:pPr>
              <w:jc w:val="center"/>
              <w:ind w:left="5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Vesting Date</w:t>
            </w:r>
          </w:p>
        </w:tc>
        <w:tc>
          <w:tcPr>
            <w:tcW w:w="3280" w:type="dxa"/>
            <w:vAlign w:val="bottom"/>
            <w:tcBorders>
              <w:top w:val="single" w:sz="8" w:color="auto"/>
              <w:right w:val="single" w:sz="8" w:color="auto"/>
            </w:tcBorders>
            <w:shd w:val="clear" w:color="auto" w:fill="D9D9D9"/>
          </w:tcPr>
          <w:p>
            <w:pPr>
              <w:ind w:left="1020"/>
              <w:spacing w:after="0" w:line="189" w:lineRule="exact"/>
              <w:rPr>
                <w:sz w:val="20"/>
                <w:szCs w:val="20"/>
                <w:color w:val="auto"/>
              </w:rPr>
            </w:pPr>
            <w:r>
              <w:rPr>
                <w:rFonts w:ascii="Times New Roman" w:cs="Times New Roman" w:eastAsia="Times New Roman" w:hAnsi="Times New Roman"/>
                <w:sz w:val="18"/>
                <w:szCs w:val="18"/>
                <w:b w:val="1"/>
                <w:bCs w:val="1"/>
                <w:color w:val="auto"/>
              </w:rPr>
              <w:t>Number of Time-Vested</w:t>
            </w:r>
          </w:p>
        </w:tc>
      </w:tr>
      <w:tr>
        <w:trPr>
          <w:trHeight w:val="241"/>
        </w:trPr>
        <w:tc>
          <w:tcPr>
            <w:tcW w:w="3940" w:type="dxa"/>
            <w:vAlign w:val="bottom"/>
            <w:tcBorders>
              <w:left w:val="single" w:sz="8" w:color="auto"/>
              <w:bottom w:val="single" w:sz="8" w:color="auto"/>
              <w:right w:val="single" w:sz="8" w:color="auto"/>
            </w:tcBorders>
            <w:shd w:val="clear" w:color="auto" w:fill="D9D9D9"/>
          </w:tcPr>
          <w:p>
            <w:pPr>
              <w:spacing w:after="0"/>
              <w:rPr>
                <w:sz w:val="20"/>
                <w:szCs w:val="20"/>
                <w:color w:val="auto"/>
              </w:rPr>
            </w:pPr>
          </w:p>
        </w:tc>
        <w:tc>
          <w:tcPr>
            <w:tcW w:w="32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Restricted Stock Units that Vest</w:t>
            </w:r>
          </w:p>
        </w:tc>
      </w:tr>
      <w:tr>
        <w:trPr>
          <w:trHeight w:val="171"/>
        </w:trPr>
        <w:tc>
          <w:tcPr>
            <w:tcW w:w="3940" w:type="dxa"/>
            <w:vAlign w:val="bottom"/>
            <w:tcBorders>
              <w:left w:val="single" w:sz="8" w:color="auto"/>
              <w:right w:val="single" w:sz="8" w:color="auto"/>
            </w:tcBorders>
          </w:tcPr>
          <w:p>
            <w:pPr>
              <w:jc w:val="center"/>
              <w:ind w:left="550"/>
              <w:spacing w:after="0" w:line="171" w:lineRule="exact"/>
              <w:rPr>
                <w:sz w:val="20"/>
                <w:szCs w:val="20"/>
                <w:color w:val="auto"/>
              </w:rPr>
            </w:pPr>
            <w:r>
              <w:rPr>
                <w:rFonts w:ascii="Times New Roman" w:cs="Times New Roman" w:eastAsia="Times New Roman" w:hAnsi="Times New Roman"/>
                <w:sz w:val="18"/>
                <w:szCs w:val="18"/>
                <w:b w:val="1"/>
                <w:bCs w:val="1"/>
                <w:color w:val="auto"/>
                <w:w w:val="98"/>
              </w:rPr>
              <w:t>[Insert Vesting Date(s)]</w:t>
            </w:r>
          </w:p>
        </w:tc>
        <w:tc>
          <w:tcPr>
            <w:tcW w:w="3280" w:type="dxa"/>
            <w:vAlign w:val="bottom"/>
            <w:tcBorders>
              <w:right w:val="single" w:sz="8" w:color="auto"/>
            </w:tcBorders>
          </w:tcPr>
          <w:p>
            <w:pPr>
              <w:ind w:left="1040"/>
              <w:spacing w:after="0" w:line="171" w:lineRule="exact"/>
              <w:rPr>
                <w:sz w:val="20"/>
                <w:szCs w:val="20"/>
                <w:color w:val="auto"/>
              </w:rPr>
            </w:pPr>
            <w:r>
              <w:rPr>
                <w:rFonts w:ascii="Times New Roman" w:cs="Times New Roman" w:eastAsia="Times New Roman" w:hAnsi="Times New Roman"/>
                <w:sz w:val="18"/>
                <w:szCs w:val="18"/>
                <w:b w:val="1"/>
                <w:bCs w:val="1"/>
                <w:color w:val="auto"/>
              </w:rPr>
              <w:t>Insert [__]% Vesting on</w:t>
            </w:r>
          </w:p>
        </w:tc>
      </w:tr>
      <w:tr>
        <w:trPr>
          <w:trHeight w:val="241"/>
        </w:trPr>
        <w:tc>
          <w:tcPr>
            <w:tcW w:w="3940" w:type="dxa"/>
            <w:vAlign w:val="bottom"/>
            <w:tcBorders>
              <w:left w:val="single" w:sz="8" w:color="auto"/>
              <w:bottom w:val="single" w:sz="8" w:color="auto"/>
              <w:right w:val="single" w:sz="8" w:color="auto"/>
            </w:tcBorders>
          </w:tcPr>
          <w:p>
            <w:pPr>
              <w:spacing w:after="0"/>
              <w:rPr>
                <w:sz w:val="20"/>
                <w:szCs w:val="20"/>
                <w:color w:val="auto"/>
              </w:rPr>
            </w:pPr>
          </w:p>
        </w:tc>
        <w:tc>
          <w:tcPr>
            <w:tcW w:w="3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applicable Vesting Date]</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hanging="652"/>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firstLine="656"/>
        <w:spacing w:after="0" w:line="220" w:lineRule="auto"/>
        <w:tabs>
          <w:tab w:leader="none" w:pos="1293"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7 hereof, promptly following each applicable vesting date (including any accelerated vesting date under Section 4), and in any event within forty-five (45) days thereof, the Company shall, in the Administrator’s sole discretion, either (i) pay to Participant an amount in cash equal to the Fair Market Value of the Shares represented by the RSUs that vested as of the most recent vesting date or (ii) (a) issue and deliver to the Participant the number of Shares equal to the number of vested Restricted Stock Units and (b) enter Participant’s name on the books of the Company as the stockholder of record with respect to the Shares delivered to Participant.</w:t>
      </w:r>
    </w:p>
    <w:p>
      <w:pPr>
        <w:spacing w:after="0" w:line="13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Status as a Service Provider.</w:t>
      </w:r>
    </w:p>
    <w:p>
      <w:pPr>
        <w:spacing w:after="0" w:line="144" w:lineRule="exact"/>
        <w:rPr>
          <w:rFonts w:ascii="Times New Roman" w:cs="Times New Roman" w:eastAsia="Times New Roman" w:hAnsi="Times New Roman"/>
          <w:sz w:val="18"/>
          <w:szCs w:val="18"/>
          <w:color w:val="auto"/>
        </w:rPr>
      </w:pPr>
    </w:p>
    <w:p>
      <w:pPr>
        <w:ind w:right="20" w:firstLine="656"/>
        <w:spacing w:after="0" w:line="250" w:lineRule="auto"/>
        <w:tabs>
          <w:tab w:leader="none" w:pos="1293"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Death or Disability</w:t>
      </w:r>
      <w:r>
        <w:rPr>
          <w:rFonts w:ascii="Times New Roman" w:cs="Times New Roman" w:eastAsia="Times New Roman" w:hAnsi="Times New Roman"/>
          <w:sz w:val="18"/>
          <w:szCs w:val="18"/>
          <w:color w:val="auto"/>
        </w:rPr>
        <w:t>. If Participant’s status as a Service Provider is terminated due to death or Disability before this Award is vested in full, this Award shall automatically and immediately vest in full.</w:t>
      </w:r>
    </w:p>
    <w:p>
      <w:pPr>
        <w:spacing w:after="0" w:line="108" w:lineRule="exact"/>
        <w:rPr>
          <w:rFonts w:ascii="Times New Roman" w:cs="Times New Roman" w:eastAsia="Times New Roman" w:hAnsi="Times New Roman"/>
          <w:sz w:val="18"/>
          <w:szCs w:val="18"/>
          <w:color w:val="auto"/>
        </w:rPr>
      </w:pPr>
    </w:p>
    <w:p>
      <w:pPr>
        <w:jc w:val="both"/>
        <w:ind w:firstLine="656"/>
        <w:spacing w:after="0" w:line="217" w:lineRule="auto"/>
        <w:tabs>
          <w:tab w:leader="none" w:pos="129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Retirement</w:t>
      </w:r>
      <w:r>
        <w:rPr>
          <w:rFonts w:ascii="Times New Roman" w:cs="Times New Roman" w:eastAsia="Times New Roman" w:hAnsi="Times New Roman"/>
          <w:sz w:val="18"/>
          <w:szCs w:val="18"/>
          <w:color w:val="auto"/>
        </w:rPr>
        <w:t>. If Participant’s status as a Service Provider is terminated due to Retirement (as defined herein) before this Award is vested in full, Participant shall become vested at the time of Retirement, with respect to that number of Restricted Stock Units that would next become vested under the Award multiplied by a fraction, the numerator of which is the number of days that have elapsed since the last vesting date and the denominator of which is 365. Any portion of this Award that is not vested following application of the preceding sentence shall terminate and automatically be cancelled as of the date of Participant’s Retirement. For purposes of this Award Agreement, “Retirement” shall mean Participant’s resignation from the Company (or the Subsidiary employing or retaining Participant) on or after the date on which the sum of (i) Participant’s age (rounded down to the nearest whole month) plus (ii) the number of years (rounded down to the nearest whole month) that Participant has been a Service Provider, equals or is greater than seventy-five (75).</w:t>
      </w:r>
    </w:p>
    <w:p>
      <w:pPr>
        <w:spacing w:after="0" w:line="13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foregoing, if the Company receives a legal opinion that there has been a legal judgment and/or legal development in Participant’s jurisdiction that likely would result in the favorable treatment that applies to the Award when Participant’s status as a Service Provider terminates as a result of Participant’s Retirement being deemed unlawful and/or discriminatory, the provisions of this Section 4(b) regarding the treatment of the Award when Participant’s status as a Service Provider terminates as a result of Participant’s Retirement will not be applicable to Participant and the remaining provisions of this Award Agreement will govern.</w:t>
      </w:r>
    </w:p>
    <w:p>
      <w:pPr>
        <w:spacing w:after="0" w:line="143" w:lineRule="exact"/>
        <w:rPr>
          <w:sz w:val="20"/>
          <w:szCs w:val="20"/>
          <w:color w:val="auto"/>
        </w:rPr>
      </w:pPr>
    </w:p>
    <w:p>
      <w:pPr>
        <w:jc w:val="both"/>
        <w:ind w:firstLine="656"/>
        <w:spacing w:after="0" w:line="210" w:lineRule="auto"/>
        <w:tabs>
          <w:tab w:leader="none" w:pos="1293"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Following Change in Control</w:t>
      </w:r>
      <w:r>
        <w:rPr>
          <w:rFonts w:ascii="Times New Roman" w:cs="Times New Roman" w:eastAsia="Times New Roman" w:hAnsi="Times New Roman"/>
          <w:sz w:val="18"/>
          <w:szCs w:val="18"/>
          <w:color w:val="auto"/>
        </w:rPr>
        <w:t>. If the Award is assumed by the successor corporation or an affiliate thereof in connection with the Change in Control and Participant’s status as a Service Provider is terminated by the Company (or the Subsidiary employing or retaining Participant) other than for Cause, or by Participant for Good Reason, within twenty-four (24) months following a Change in Control, this Award shall automatically and immediately vest in full. For purposes of this Award Agreement, “Good Reason” shall mean: (i) a material reduction in Participant’s authority, duties or responsibilities; (ii) a material reduction in Participant’s base salary or bonus opportunity (other than a general reduction in base salary that affects all similarly situated executives in substantially the same proportions); or (iii) any material breach by the Company of any material provision of this Agreement. However, Good Reason shall not be deemed to exist unless (x) Participant shall have given written notice to the Company specifying in reasonable detail the circumstances that Participant alleges constitute Good Reason within thirty (30) calendar days of learning of such act or omission and</w:t>
      </w:r>
    </w:p>
    <w:p>
      <w:pPr>
        <w:spacing w:after="0" w:line="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failed to cure any such circumstances within thirty (30) calendar days of receipt of such written notice.</w:t>
      </w:r>
    </w:p>
    <w:p>
      <w:pPr>
        <w:spacing w:after="0" w:line="138" w:lineRule="exact"/>
        <w:rPr>
          <w:sz w:val="20"/>
          <w:szCs w:val="20"/>
          <w:color w:val="auto"/>
        </w:rPr>
      </w:pPr>
    </w:p>
    <w:p>
      <w:pPr>
        <w:jc w:val="both"/>
        <w:ind w:firstLine="8"/>
        <w:spacing w:after="0" w:line="224" w:lineRule="auto"/>
        <w:tabs>
          <w:tab w:leader="none" w:pos="64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upon Termination of Status as a Service Provider</w:t>
      </w:r>
      <w:r>
        <w:rPr>
          <w:rFonts w:ascii="Times New Roman" w:cs="Times New Roman" w:eastAsia="Times New Roman" w:hAnsi="Times New Roman"/>
          <w:sz w:val="18"/>
          <w:szCs w:val="18"/>
          <w:color w:val="auto"/>
        </w:rPr>
        <w:t>. Notwithstanding any contrary provision of this Award Agreement, but subject to the vesting provisions set forth in this Award Agreement and Section 4 above, the balance of the Restricted Stock Units that have not vested at the time of Participant’s termination as a Service Provider for any reason will be forfeited (with no consideration due to Participant) and Participant will have no further rights thereunder.</w:t>
      </w:r>
    </w:p>
    <w:p>
      <w:pPr>
        <w:spacing w:after="0" w:line="118" w:lineRule="exact"/>
        <w:rPr>
          <w:rFonts w:ascii="Times New Roman" w:cs="Times New Roman" w:eastAsia="Times New Roman" w:hAnsi="Times New Roman"/>
          <w:sz w:val="18"/>
          <w:szCs w:val="18"/>
          <w:color w:val="auto"/>
        </w:rPr>
      </w:pPr>
    </w:p>
    <w:p>
      <w:pPr>
        <w:jc w:val="both"/>
        <w:ind w:firstLine="8"/>
        <w:spacing w:after="0" w:line="223" w:lineRule="auto"/>
        <w:tabs>
          <w:tab w:leader="none" w:pos="64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of Participant</w:t>
      </w:r>
      <w:r>
        <w:rPr>
          <w:rFonts w:ascii="Times New Roman" w:cs="Times New Roman" w:eastAsia="Times New Roman" w:hAnsi="Times New Roman"/>
          <w:sz w:val="18"/>
          <w:szCs w:val="18"/>
          <w:color w:val="auto"/>
        </w:rPr>
        <w:t>. Notwithstanding any provision of this Award Agreement to the contrary, any distribution or delivery to be made to Participant under this Award Agreement will, if Participant is then deceased, be made to the administrator or executor of Participant’s estate, Participant’s legal heirs or, provided such designation has been permitted by the Company and/or is valid under Applicable Laws, Participant’s designated beneficiary.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hanging="652"/>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Responsibility for Taxes</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jc w:val="both"/>
        <w:ind w:left="80" w:firstLine="657"/>
        <w:spacing w:after="0" w:line="253" w:lineRule="auto"/>
        <w:tabs>
          <w:tab w:leader="none" w:pos="1292"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and agrees that, regardless of any action taken by the Company or, if different, the Subsidiary to which Participant is providing services (the “Service Recipient”), the ultimate liability for all income tax, social insurance, payroll tax, fringe benefits tax, payment on account or other tax-related items related to Participant’s participation in the Plan and legally applicable to Participant (“Tax-Related Items”) is and remains Participant’s responsibility and may exceed the amount, if any, actually withheld by the Company or the Service Recipient. Participant further acknowledges that the Company and/or the Service Recipient: (i) make no representations or undertakings regarding the treatment of any Tax-Related Items in connection with any aspect of the Restricted Stock Units, including, but not limited to, the grant or vesting of the Restricted Stock Units, or the subsequent sale of Shares acquired at vesting and the receipt of any dividends; and (ii) do not commit to and are under no obligation to structure the terms of the grant or any aspect of the Restricted Stock Units to reduce or eliminate the Participant’s liability for Tax-Related Items or achieve any particular tax result. Further, if Participant is subject to Tax-Related Items in more than one jurisdiction, Participant acknowledges that the Company and/or the Service Recipient (or former service recipient, as applicable) may be required to withhold or account for Tax-Related Items in more than one jurisdiction.</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129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relevant taxable or tax withholding event, as applicable, Participant agrees to make adequate arrangements satisfactory to the Company and/or the Service Recipient to satisfy all Tax-Related Items. In this regard, Participant authorizes the Company and/or the Service Recipient, or their respective agents, at their discretion, to satisfy any applicable withholding obligations with regard to all Tax-Related Items by one or a combination of the following: (i) withholding from Participant’s salary, wages or other compensation payable to Participant by the Company and/or the Service Recipient; (ii) withholding from proceeds of the sale of the Shares subject to the Restricted Stock Units either through a voluntary sale or through a mandatory sale arranged by the Company (on Participant’s behalf pursuant to this authorization without further consent); (iii) withholding Shares subject to the Restricted Stock Units; or (iv) any method determined by the Administrator to be in compliance with Applicable Laws. Notwithstanding the foregoing, if Participant is subject to Section 16 of the Exchange Act at the time the withholding obligation for Tax-Related Items becomes due, the Administrator will satisfy any applicable withholding obligation by directing the Company to withhold Shares subject to the Restricted Stock Units (except in the case of U.S. Federal Insurance Contribution Act taxes or other Tax-Related Items which become payable in a year prior to the year in which the Shares are issued).</w:t>
      </w:r>
    </w:p>
    <w:p>
      <w:pPr>
        <w:spacing w:after="0" w:line="194" w:lineRule="exact"/>
        <w:rPr>
          <w:rFonts w:ascii="Times New Roman" w:cs="Times New Roman" w:eastAsia="Times New Roman" w:hAnsi="Times New Roman"/>
          <w:sz w:val="18"/>
          <w:szCs w:val="18"/>
          <w:color w:val="auto"/>
        </w:rPr>
      </w:pPr>
    </w:p>
    <w:p>
      <w:pPr>
        <w:jc w:val="both"/>
        <w:ind w:firstLine="656"/>
        <w:spacing w:after="0" w:line="255" w:lineRule="auto"/>
        <w:tabs>
          <w:tab w:leader="none" w:pos="1293"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and/or the Service Recipient may withhold or account for Tax-Related Items by considering statutory withholding amounts or other applicable withholding rates, including maximum rates applicable in Participant’s jurisdiction(s). In the event of over-withholding, Participant may receive a refund of any over-withheld amount in cash (with no entitlement to the equivalent in Shares), or if not refunded, Participant may seek a refund from local tax authorities. In the event of under-withholding, Participant may be required to pay any additional Tax-Related Items directly to the applicable tax authority or to the Company and/or the Service Recipient. If the obligation for Tax-Related Items is satisfied by withholding Shares, for tax purposes, Participant is deemed to have received the full number of Shares subject to the vested Restricted Stock Units, notwithstanding that a number of the Shares is held back solely for the purpose of paying the Tax-Related Items.</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agrees to pay to the Company or the Service Recipient any amount of Tax-Related Items that the Company or the Service Recipient may be required to withhold or account for as a result of Participant’s participation in the Plan that cannot be satisfied by the means previously described. The Company may refuse to issue or deliver the Shares or the proceeds of the sale of the Shares acquired upon vesting of the Award, if Participant fails to comply with his or her obligations in connection with the Tax-Related Items.</w:t>
      </w:r>
    </w:p>
    <w:p>
      <w:pPr>
        <w:spacing w:after="0" w:line="166" w:lineRule="exact"/>
        <w:rPr>
          <w:rFonts w:ascii="Times New Roman" w:cs="Times New Roman" w:eastAsia="Times New Roman" w:hAnsi="Times New Roman"/>
          <w:sz w:val="18"/>
          <w:szCs w:val="18"/>
          <w:color w:val="auto"/>
        </w:rPr>
      </w:pPr>
    </w:p>
    <w:p>
      <w:pPr>
        <w:jc w:val="both"/>
        <w:ind w:firstLine="8"/>
        <w:spacing w:after="0" w:line="224" w:lineRule="auto"/>
        <w:tabs>
          <w:tab w:leader="none" w:pos="64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Neither Participant nor any person claiming under or through Participant will have any of the rights or privileges of a stockholder of the Company in respect of any Shares deliverable hereunder unless and until the Restricted Stock Units have vested and are settled by the issuance of Shares in accordance with Section 3, the Share issuance is recorded on the records of the Company or its transfer agents or registrars, and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-5647690</wp:posOffset>
            </wp:positionV>
            <wp:extent cx="25400" cy="1289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4">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representing such Shares have been issued (if the Shares are certificated or evidence of book entry if the Shares are not certificated) and delivered to Participant. After such vesting, settlement, issuance, recordation and delivery, Participant will have all the rights of a stockholder of the Company with</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respect to such Shares for which such conditions are met, including voting and receipt of dividends and distributions on such Shares. Participant shall not be entitled to any Dividend Equivalents with respect to the Restricted Stock Units to reflect any dividends payable on Shares.</w:t>
      </w:r>
    </w:p>
    <w:p>
      <w:pPr>
        <w:spacing w:after="0" w:line="130" w:lineRule="exact"/>
        <w:rPr>
          <w:sz w:val="20"/>
          <w:szCs w:val="20"/>
          <w:color w:val="auto"/>
        </w:rPr>
      </w:pPr>
    </w:p>
    <w:p>
      <w:pPr>
        <w:jc w:val="both"/>
        <w:ind w:firstLine="8"/>
        <w:spacing w:after="0" w:line="214" w:lineRule="auto"/>
        <w:tabs>
          <w:tab w:leader="none" w:pos="64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 of Continued Service</w:t>
      </w:r>
      <w:r>
        <w:rPr>
          <w:rFonts w:ascii="Times New Roman" w:cs="Times New Roman" w:eastAsia="Times New Roman" w:hAnsi="Times New Roman"/>
          <w:sz w:val="18"/>
          <w:szCs w:val="18"/>
          <w:color w:val="auto"/>
        </w:rPr>
        <w:t>. PARTICIPANT ACKNOWLEDGES AND AGREES THAT THE VESTING OF THE RESTRICTED STOCK UNITS PURSUANT TO THE VESTING SCHEDULE HEREOF IS EARNED ONLY BY CONTINUING AS A SERVICE PROVIDER AND NOT THROUGH THE ACT OF BEING HIRED, BEING GRANTED THESE RESTRICTED STOCK UNITS OR ACQUIRING SHARES HEREUNDER. PARTICIPANT FURTHER ACKNOWLEDGES AND AGREES THAT THIS AWARD AGREEMENT, THE TRANSACTIONS CONTEMPLATED HEREUNDER AND THE VESTING AND SETTLEMENT SCHEDULE SET FORTH HEREIN DO NOT CONSTITUTE AN EXPRESS OR IMPLIED PROMISE OF CONTINUED ENGAGEMENT AS A SERVICE PROVIDER FOR THE VESTING PERIOD, FOR ANY PERIOD, OR AT ALL, AND WILL NOT INTERFERE IN ANY WAY WITH PARTICIPANT’S RIGHT OR THE RIGHT OF THE COMPANY OR THE SERVICE RECIPIENT, AS APPLICABLE. TO TERMINATE PARTICIPANT’S RELATIONSHIP AS A SERVICE PROVIDER AT ANY TIME, WITH OR WITHOUT CAUSE.</w:t>
      </w:r>
    </w:p>
    <w:p>
      <w:pPr>
        <w:spacing w:after="0" w:line="134" w:lineRule="exact"/>
        <w:rPr>
          <w:rFonts w:ascii="Times New Roman" w:cs="Times New Roman" w:eastAsia="Times New Roman" w:hAnsi="Times New Roman"/>
          <w:sz w:val="18"/>
          <w:szCs w:val="18"/>
          <w:color w:val="auto"/>
        </w:rPr>
      </w:pPr>
    </w:p>
    <w:p>
      <w:pPr>
        <w:jc w:val="both"/>
        <w:ind w:firstLine="8"/>
        <w:spacing w:after="0" w:line="220" w:lineRule="auto"/>
        <w:tabs>
          <w:tab w:leader="none" w:pos="63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Appendix. For Participants outside the United States, the Restricted Stock Units shall be subject to the general terms and conditions for all non-</w:t>
      </w:r>
      <w:r>
        <w:rPr>
          <w:rFonts w:ascii="Times New Roman" w:cs="Times New Roman" w:eastAsia="Times New Roman" w:hAnsi="Times New Roman"/>
          <w:sz w:val="18"/>
          <w:szCs w:val="18"/>
          <w:color w:val="auto"/>
          <w:highlight w:val="white"/>
        </w:rPr>
        <w:t>U.S. Participants and the additional terms and conditions for certain countries set forth in the Appendix attached hereto. Moreover, if Participant relocates from the U.S. to one of the countries included in the Appendix or if Participant relocates between countries included in the Appendix during the vesting period of the Restricted Stock Units, the general terms and conditions for non-U.S. Participants and the additional terms and conditions for such country shall apply to Participant, to the extent the Company determines that the application of such terms and conditions is necessary or advisable for legal or administrative reasons. The Appendix constitutes part of this Award Agreement.</w:t>
      </w:r>
    </w:p>
    <w:p>
      <w:pPr>
        <w:spacing w:after="0" w:line="117" w:lineRule="exact"/>
        <w:rPr>
          <w:rFonts w:ascii="Times New Roman" w:cs="Times New Roman" w:eastAsia="Times New Roman" w:hAnsi="Times New Roman"/>
          <w:sz w:val="18"/>
          <w:szCs w:val="18"/>
          <w:color w:val="auto"/>
        </w:rPr>
      </w:pPr>
    </w:p>
    <w:p>
      <w:pPr>
        <w:jc w:val="both"/>
        <w:ind w:firstLine="8"/>
        <w:spacing w:after="0" w:line="231" w:lineRule="auto"/>
        <w:tabs>
          <w:tab w:leader="none" w:pos="64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Advice Regarding Grant</w:t>
      </w:r>
      <w:r>
        <w:rPr>
          <w:rFonts w:ascii="Times New Roman" w:cs="Times New Roman" w:eastAsia="Times New Roman" w:hAnsi="Times New Roman"/>
          <w:sz w:val="18"/>
          <w:szCs w:val="18"/>
          <w:color w:val="auto"/>
          <w:highlight w:val="white"/>
        </w:rPr>
        <w:t>. The Company is not providing any tax, legal or financial advice, nor is the Company making any recommendations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regarding participation in the Plan, or Participant’s acquisition or sale of the underlying Shares. Participant acknowledges that he or she should consult with his or her own personal tax, legal and financial advisors regarding participation in the Plan before taking any action related to the Restricted Stock Units.</w:t>
      </w:r>
    </w:p>
    <w:p>
      <w:pPr>
        <w:spacing w:after="0" w:line="131" w:lineRule="exact"/>
        <w:rPr>
          <w:rFonts w:ascii="Times New Roman" w:cs="Times New Roman" w:eastAsia="Times New Roman" w:hAnsi="Times New Roman"/>
          <w:sz w:val="18"/>
          <w:szCs w:val="18"/>
          <w:color w:val="auto"/>
        </w:rPr>
      </w:pPr>
    </w:p>
    <w:p>
      <w:pPr>
        <w:jc w:val="both"/>
        <w:ind w:firstLine="8"/>
        <w:spacing w:after="0" w:line="226" w:lineRule="auto"/>
        <w:tabs>
          <w:tab w:leader="none" w:pos="64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for Notices</w:t>
      </w:r>
      <w:r>
        <w:rPr>
          <w:rFonts w:ascii="Times New Roman" w:cs="Times New Roman" w:eastAsia="Times New Roman" w:hAnsi="Times New Roman"/>
          <w:sz w:val="18"/>
          <w:szCs w:val="18"/>
          <w:color w:val="auto"/>
        </w:rPr>
        <w:t>. Any notice to be given to the Company under the terms of this Award Agreement will be addressed to the Company, in care of its General Counsel at Amkor Technology, Inc., 2045 East Innovation Circle, Tempe, AZ 85284, or at such other address as the Company may hereafter designate in writing.</w:t>
      </w:r>
    </w:p>
    <w:p>
      <w:pPr>
        <w:spacing w:after="0" w:line="130" w:lineRule="exact"/>
        <w:rPr>
          <w:rFonts w:ascii="Times New Roman" w:cs="Times New Roman" w:eastAsia="Times New Roman" w:hAnsi="Times New Roman"/>
          <w:sz w:val="18"/>
          <w:szCs w:val="18"/>
          <w:color w:val="auto"/>
        </w:rPr>
      </w:pPr>
    </w:p>
    <w:p>
      <w:pPr>
        <w:ind w:firstLine="8"/>
        <w:spacing w:after="0" w:line="237" w:lineRule="auto"/>
        <w:tabs>
          <w:tab w:leader="none" w:pos="64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 Participant acknowledges that a waiver by the Company of breach of any provision of this Award Agreement shall not operate or be construed as a waiver of any other provision of this Award Agreement, or of any subsequent breach by Participant or any other participants.</w:t>
      </w:r>
    </w:p>
    <w:p>
      <w:pPr>
        <w:spacing w:after="0" w:line="131" w:lineRule="exact"/>
        <w:rPr>
          <w:rFonts w:ascii="Times New Roman" w:cs="Times New Roman" w:eastAsia="Times New Roman" w:hAnsi="Times New Roman"/>
          <w:sz w:val="18"/>
          <w:szCs w:val="18"/>
          <w:color w:val="auto"/>
        </w:rPr>
      </w:pPr>
    </w:p>
    <w:p>
      <w:pPr>
        <w:jc w:val="both"/>
        <w:ind w:firstLine="8"/>
        <w:spacing w:after="0" w:line="220" w:lineRule="auto"/>
        <w:tabs>
          <w:tab w:leader="none" w:pos="64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is Not Transferable</w:t>
      </w:r>
      <w:r>
        <w:rPr>
          <w:rFonts w:ascii="Times New Roman" w:cs="Times New Roman" w:eastAsia="Times New Roman" w:hAnsi="Times New Roman"/>
          <w:sz w:val="18"/>
          <w:szCs w:val="18"/>
          <w:color w:val="auto"/>
        </w:rPr>
        <w:t>. Except to the limited extent provided in Section 6, the unvested Restricted Stock Units subject to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any unvested Restricted Stock Units subject to this grant, or any right or privilege conferred hereby, or upon any attempted sale under any execution, attachment or similar process, this grant and the rights and privileges conferred hereby immediately will become null and void.</w:t>
      </w:r>
    </w:p>
    <w:p>
      <w:pPr>
        <w:spacing w:after="0" w:line="131" w:lineRule="exact"/>
        <w:rPr>
          <w:rFonts w:ascii="Times New Roman" w:cs="Times New Roman" w:eastAsia="Times New Roman" w:hAnsi="Times New Roman"/>
          <w:sz w:val="18"/>
          <w:szCs w:val="18"/>
          <w:color w:val="auto"/>
        </w:rPr>
      </w:pPr>
    </w:p>
    <w:p>
      <w:pPr>
        <w:jc w:val="both"/>
        <w:ind w:firstLine="8"/>
        <w:spacing w:after="0" w:line="226" w:lineRule="auto"/>
        <w:tabs>
          <w:tab w:leader="none" w:pos="64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Agreement</w:t>
      </w:r>
      <w:r>
        <w:rPr>
          <w:rFonts w:ascii="Times New Roman" w:cs="Times New Roman" w:eastAsia="Times New Roman" w:hAnsi="Times New Roman"/>
          <w:sz w:val="18"/>
          <w:szCs w:val="18"/>
          <w:color w:val="auto"/>
        </w:rPr>
        <w:t>. Subject to the limitation on the transferability of this grant contained herein, this Award Agreement will be binding upon and inure to the benefit of the heirs, legatees, legal representatives, successors and assigns of the parties hereto (provided that neither the Restricted Stock Units nor this Award Agreement may be assigned by Participant).</w:t>
      </w:r>
    </w:p>
    <w:p>
      <w:pPr>
        <w:spacing w:after="0" w:line="130" w:lineRule="exact"/>
        <w:rPr>
          <w:rFonts w:ascii="Times New Roman" w:cs="Times New Roman" w:eastAsia="Times New Roman" w:hAnsi="Times New Roman"/>
          <w:sz w:val="18"/>
          <w:szCs w:val="18"/>
          <w:color w:val="auto"/>
        </w:rPr>
      </w:pPr>
    </w:p>
    <w:p>
      <w:pPr>
        <w:jc w:val="both"/>
        <w:ind w:firstLine="8"/>
        <w:spacing w:after="0" w:line="220" w:lineRule="auto"/>
        <w:tabs>
          <w:tab w:leader="none" w:pos="64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Conditions</w:t>
      </w:r>
      <w:r>
        <w:rPr>
          <w:rFonts w:ascii="Times New Roman" w:cs="Times New Roman" w:eastAsia="Times New Roman" w:hAnsi="Times New Roman"/>
          <w:sz w:val="18"/>
          <w:szCs w:val="18"/>
          <w:color w:val="auto"/>
        </w:rPr>
        <w:t>. The Company will not be required to issue any certificate or certificates (or evidence of book entry) for Shares hereunder prior to fulfillment of all the following conditions: (a) the admission of such Shares to listing on all stock exchanges on which such class of stock is then listed; (b) the completion of any registration or other qualification of such Shares under any Applicable Laws or under the rulings or regulations of the U.S. Securities and Exchange Commission or any other U.S. or non-U.S. governmental regulatory body, which the Administrator, in its absolute discretion, deems necessary or advisable; (c) the obtaining of any approval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clearance from any U.S. or non-U.S. governmental agency, which the Administrator, in its absolute discretion, determines to be necessary or advisable; and</w:t>
      </w:r>
    </w:p>
    <w:p>
      <w:pPr>
        <w:jc w:val="both"/>
        <w:ind w:firstLine="8"/>
        <w:spacing w:after="0" w:line="218" w:lineRule="auto"/>
        <w:tabs>
          <w:tab w:leader="none" w:pos="26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lapse of such reasonable period of time following the date of grant of the Restricted Stock Units as the Administrator may establish from time to time for reasons of administrative convenience. Participant understands that the Company is under no obligation to register or qualify the Shares subject to the Restricted Stock Units with any U.S. state or non-U.S. securities commission or to seek approval or clearance from any governmental authority for the issuance or sale of the Shares. Further, Participant agrees that the Company shall have unilateral authority to amend the Plan and this Award Agreement without Participant’s consent to the extent necessary to comply with Applicable Laws.</w:t>
      </w:r>
    </w:p>
    <w:p>
      <w:pPr>
        <w:spacing w:after="0" w:line="120" w:lineRule="exact"/>
        <w:rPr>
          <w:sz w:val="20"/>
          <w:szCs w:val="20"/>
          <w:color w:val="auto"/>
        </w:rPr>
      </w:pPr>
    </w:p>
    <w:p>
      <w:pPr>
        <w:jc w:val="both"/>
        <w:ind w:firstLine="8"/>
        <w:spacing w:after="0" w:line="220" w:lineRule="auto"/>
        <w:tabs>
          <w:tab w:leader="none" w:pos="64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Authority</w:t>
      </w:r>
      <w:r>
        <w:rPr>
          <w:rFonts w:ascii="Times New Roman" w:cs="Times New Roman" w:eastAsia="Times New Roman" w:hAnsi="Times New Roman"/>
          <w:sz w:val="18"/>
          <w:szCs w:val="18"/>
          <w:color w:val="auto"/>
        </w:rPr>
        <w:t>. The Administrator has the power to interpret the Plan and this Award Agreement and to adopt such rules for the administration, interpretation and application of the Plan and this Award Agreement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spacing w:after="0" w:line="130" w:lineRule="exact"/>
        <w:rPr>
          <w:rFonts w:ascii="Times New Roman" w:cs="Times New Roman" w:eastAsia="Times New Roman" w:hAnsi="Times New Roman"/>
          <w:sz w:val="18"/>
          <w:szCs w:val="18"/>
          <w:color w:val="auto"/>
        </w:rPr>
      </w:pPr>
    </w:p>
    <w:p>
      <w:pPr>
        <w:jc w:val="both"/>
        <w:ind w:firstLine="8"/>
        <w:spacing w:after="0" w:line="224" w:lineRule="auto"/>
        <w:tabs>
          <w:tab w:leader="none" w:pos="64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 and Acceptance</w:t>
      </w:r>
      <w:r>
        <w:rPr>
          <w:rFonts w:ascii="Times New Roman" w:cs="Times New Roman" w:eastAsia="Times New Roman" w:hAnsi="Times New Roman"/>
          <w:sz w:val="18"/>
          <w:szCs w:val="18"/>
          <w:color w:val="auto"/>
        </w:rPr>
        <w:t>. The Company may, in its sole discretion, decide to deliver any documents related to the Restricted Stock Units or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18" w:lineRule="exact"/>
        <w:rPr>
          <w:rFonts w:ascii="Times New Roman" w:cs="Times New Roman" w:eastAsia="Times New Roman" w:hAnsi="Times New Roman"/>
          <w:sz w:val="18"/>
          <w:szCs w:val="18"/>
          <w:color w:val="auto"/>
        </w:rPr>
      </w:pPr>
    </w:p>
    <w:p>
      <w:pPr>
        <w:ind w:firstLine="8"/>
        <w:spacing w:after="0" w:line="250" w:lineRule="auto"/>
        <w:tabs>
          <w:tab w:leader="none" w:pos="64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Captions provided herein are for convenience only and are not to serve as a basis for interpretation or construction of this Award Agreement.</w:t>
      </w:r>
    </w:p>
    <w:p>
      <w:pPr>
        <w:spacing w:after="0" w:line="108" w:lineRule="exact"/>
        <w:rPr>
          <w:rFonts w:ascii="Times New Roman" w:cs="Times New Roman" w:eastAsia="Times New Roman" w:hAnsi="Times New Roman"/>
          <w:sz w:val="18"/>
          <w:szCs w:val="18"/>
          <w:color w:val="auto"/>
        </w:rPr>
      </w:pPr>
    </w:p>
    <w:p>
      <w:pPr>
        <w:ind w:firstLine="8"/>
        <w:spacing w:after="0" w:line="250" w:lineRule="auto"/>
        <w:tabs>
          <w:tab w:leader="none" w:pos="64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Severable</w:t>
      </w:r>
      <w:r>
        <w:rPr>
          <w:rFonts w:ascii="Times New Roman" w:cs="Times New Roman" w:eastAsia="Times New Roman" w:hAnsi="Times New Roman"/>
          <w:sz w:val="18"/>
          <w:szCs w:val="18"/>
          <w:color w:val="auto"/>
        </w:rPr>
        <w:t>. In the event that any provision in this Award Agreement is held invalid or unenforceable, such provision will be severable from, and such invalidity or unenforceability will not be construed to have any effect on, the remaining provisions of this Award Agreement.</w:t>
      </w:r>
    </w:p>
    <w:p>
      <w:pPr>
        <w:spacing w:after="0" w:line="108" w:lineRule="exact"/>
        <w:rPr>
          <w:rFonts w:ascii="Times New Roman" w:cs="Times New Roman" w:eastAsia="Times New Roman" w:hAnsi="Times New Roman"/>
          <w:sz w:val="18"/>
          <w:szCs w:val="18"/>
          <w:color w:val="auto"/>
        </w:rPr>
      </w:pPr>
    </w:p>
    <w:p>
      <w:pPr>
        <w:jc w:val="both"/>
        <w:ind w:firstLine="8"/>
        <w:spacing w:after="0" w:line="224" w:lineRule="auto"/>
        <w:tabs>
          <w:tab w:leader="none" w:pos="64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Modifications to the Award Agreement</w:t>
      </w:r>
      <w:r>
        <w:rPr>
          <w:rFonts w:ascii="Times New Roman" w:cs="Times New Roman" w:eastAsia="Times New Roman" w:hAnsi="Times New Roman"/>
          <w:sz w:val="18"/>
          <w:szCs w:val="18"/>
          <w:color w:val="auto"/>
        </w:rPr>
        <w:t>. The Plan and this Award Agreement constitute the entire understanding of the parties on the subjects covered herein. Participant expressly warrants that he or she is not accepting this Award Agreement in reliance on any promises, representations, or inducements other than those contained herein. Except as otherwise provided herein or in the Plan, modifications to this Award Agreement can be made only in an express written contract executed by Participant and a duly authorized officer of the Company.</w:t>
      </w:r>
    </w:p>
    <w:p>
      <w:pPr>
        <w:spacing w:after="0" w:line="131" w:lineRule="exact"/>
        <w:rPr>
          <w:rFonts w:ascii="Times New Roman" w:cs="Times New Roman" w:eastAsia="Times New Roman" w:hAnsi="Times New Roman"/>
          <w:sz w:val="18"/>
          <w:szCs w:val="18"/>
          <w:color w:val="auto"/>
        </w:rPr>
      </w:pPr>
    </w:p>
    <w:p>
      <w:pPr>
        <w:jc w:val="both"/>
        <w:ind w:firstLine="8"/>
        <w:spacing w:after="0" w:line="215" w:lineRule="auto"/>
        <w:tabs>
          <w:tab w:leader="none" w:pos="64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Code Section 409A</w:t>
      </w:r>
      <w:r>
        <w:rPr>
          <w:rFonts w:ascii="Times New Roman" w:cs="Times New Roman" w:eastAsia="Times New Roman" w:hAnsi="Times New Roman"/>
          <w:sz w:val="18"/>
          <w:szCs w:val="18"/>
          <w:color w:val="auto"/>
        </w:rPr>
        <w:t>. The Award Agreement is intended to comply with, or be exempt from, Code Section 409A and all regulations, guidance, compliance programs and other interpretative authority thereunder, and shall be interpreted in a manner consistent therewith. Notwithstanding anything contained herein to the contrary, in the event the Award Agreement is subject to Code Section 409A, the Company may, in its sole discretion and without Participant’s prior consent, amend the Plan and/or the Award Agreement, adopt policies and procedures, or take any other actions as deemed appropriate by the Company to (i) exempt the Plan and/or the Award Agreement from the application of Code Section 409A, (ii) preserve the intended tax treatment of the Award Agreement or (iii) comply with the requirements of Code Section 409A. Notwithstanding anything contained herein to the contrary, in no event shall the Company or any Subsidiary have any liability or obligation to any Participant or any other person in the event that the Plan or the Award Agreement is not exempt from, or compliant with, Code Section 409A.</w:t>
      </w:r>
    </w:p>
    <w:p>
      <w:pPr>
        <w:spacing w:after="0" w:line="15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Furthermore, notwithstanding anything in this Agreement to the contrary, any Restricted Stock Units that become vested under this Agreement as of the date or at a time that is by reference to Participant’s termination as a Service Provider and that constitute an item of non-qualified deferred compensation subject to Code Section 409A shall not be settled unless Participant experiences a “separation from service” within the meaning of Code Section 409A (a “Separation from Service”); provided that if Participant is a “specified employee” within the meaning of Code Section 409A as of the date of the Separation from Service (as determined according to the methodology established by the Company as in effect on the date of Participant’s termination as a Service Provider), the Restricted Stock Units shall instead be settled on the first business day that is after the earlier of (i) the date that is six months following the date of the Separation from Service or (ii) the date of Participant’s death, to the extent such delayed payment is otherwise required in order to avoid a prohibited distribution under Section 409A(a)(2) of the Code, or any successor provision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8" w:firstLine="8"/>
        <w:spacing w:after="0" w:line="231" w:lineRule="auto"/>
        <w:tabs>
          <w:tab w:leader="none" w:pos="63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Plan</w:t>
      </w:r>
      <w:r>
        <w:rPr>
          <w:rFonts w:ascii="Times New Roman" w:cs="Times New Roman" w:eastAsia="Times New Roman" w:hAnsi="Times New Roman"/>
          <w:sz w:val="18"/>
          <w:szCs w:val="18"/>
          <w:color w:val="auto"/>
        </w:rPr>
        <w:t>. By accepting the Restricted Stock Units, Participant expressly warrants that he or she has received an Award of Restricted Stock Units under the Plan, and has received, read and understands the Plan. Participant understands that the Plan is discretionary in nature and may be amended, suspended or terminated by the Company at any time, to the extent permitted by the Plan.</w:t>
      </w:r>
    </w:p>
    <w:p>
      <w:pPr>
        <w:spacing w:after="0" w:line="117" w:lineRule="exact"/>
        <w:rPr>
          <w:rFonts w:ascii="Times New Roman" w:cs="Times New Roman" w:eastAsia="Times New Roman" w:hAnsi="Times New Roman"/>
          <w:sz w:val="18"/>
          <w:szCs w:val="18"/>
          <w:color w:val="auto"/>
        </w:rPr>
      </w:pPr>
    </w:p>
    <w:p>
      <w:pPr>
        <w:jc w:val="both"/>
        <w:ind w:left="-8" w:firstLine="8"/>
        <w:spacing w:after="0" w:line="224" w:lineRule="auto"/>
        <w:tabs>
          <w:tab w:leader="none" w:pos="63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Venue</w:t>
      </w:r>
      <w:r>
        <w:rPr>
          <w:rFonts w:ascii="Times New Roman" w:cs="Times New Roman" w:eastAsia="Times New Roman" w:hAnsi="Times New Roman"/>
          <w:sz w:val="18"/>
          <w:szCs w:val="18"/>
          <w:color w:val="auto"/>
        </w:rPr>
        <w:t>. This Award Agreement will be governed by the laws of the State of Delaware, without giving effect to the conflict of law principles thereof. For purposes of litigating any dispute that arises under this Award or this Award Agreement, the parties hereby submit to and consent to the exclusive jurisdiction of the State of Arizona, and agree that such litigation will be conducted solely in the courts of Maricopa County, Arizona, or the federal courts for the United States for the District of Arizona in Maricopa County, Arizona, and no other courts.</w:t>
      </w:r>
    </w:p>
    <w:p>
      <w:pPr>
        <w:spacing w:after="0" w:line="131" w:lineRule="exact"/>
        <w:rPr>
          <w:rFonts w:ascii="Times New Roman" w:cs="Times New Roman" w:eastAsia="Times New Roman" w:hAnsi="Times New Roman"/>
          <w:sz w:val="18"/>
          <w:szCs w:val="18"/>
          <w:color w:val="auto"/>
        </w:rPr>
      </w:pPr>
    </w:p>
    <w:p>
      <w:pPr>
        <w:jc w:val="both"/>
        <w:ind w:left="-8" w:firstLine="8"/>
        <w:spacing w:after="0" w:line="213" w:lineRule="auto"/>
        <w:tabs>
          <w:tab w:leader="none" w:pos="63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Insider Trading Restrictions/Market Abuse Laws. By accepting the Restricted Stock Units, Participant acknowledges that he or she is bound by all the terms and conditions of the Company’s insider trading policy as may be in effect from time to time. Participant further acknowledges that, depending on Participant’s or his or her broker’s country or the country in which the Shares are listed, he or she may be subject to insider trading restrictions and/or market abuse laws which may affect Participant’s ability to accept, acquire, sell or otherwise dispose of Shares, rights to Shares, or rights linked to the </w:t>
      </w:r>
      <w:r>
        <w:rPr>
          <w:rFonts w:ascii="Times New Roman" w:cs="Times New Roman" w:eastAsia="Times New Roman" w:hAnsi="Times New Roman"/>
          <w:sz w:val="18"/>
          <w:szCs w:val="18"/>
          <w:color w:val="auto"/>
          <w:highlight w:val="white"/>
        </w:rPr>
        <w:t xml:space="preserve">value of Shares during such times as Participant is considered to have “inside information” regarding the Company (as defined by the laws in the applicable </w:t>
      </w:r>
      <w:r>
        <w:rPr>
          <w:rFonts w:ascii="Times New Roman" w:cs="Times New Roman" w:eastAsia="Times New Roman" w:hAnsi="Times New Roman"/>
          <w:sz w:val="18"/>
          <w:szCs w:val="18"/>
          <w:color w:val="auto"/>
        </w:rPr>
        <w:t xml:space="preserve">jurisdictions). Local insider trading laws and regulations may prohibit the cancellation or amendment of orders Participant placed before Participant possessed inside information. Furthermore, Participant could be prohibited from (i) disclosing the inside information to any third party, which may include </w:t>
      </w:r>
      <w:r>
        <w:rPr>
          <w:rFonts w:ascii="Times New Roman" w:cs="Times New Roman" w:eastAsia="Times New Roman" w:hAnsi="Times New Roman"/>
          <w:sz w:val="18"/>
          <w:szCs w:val="18"/>
          <w:color w:val="auto"/>
          <w:highlight w:val="white"/>
        </w:rPr>
        <w:t>fellow employees and (ii) “tipping” third parties or causing them otherwise to buy or sell securities. Any restrictions under these laws or regulations are separate from and in addition to any restrictions that may be imposed under the Company’s insider trading policy as may be in effect from time to time. Participant acknowledges that it is Participant’s responsibility to comply with any applicable restrictions, and Participant should speak to his or her personal advisor on this matter.</w:t>
      </w:r>
    </w:p>
    <w:p>
      <w:pPr>
        <w:spacing w:after="0" w:line="139" w:lineRule="exact"/>
        <w:rPr>
          <w:rFonts w:ascii="Times New Roman" w:cs="Times New Roman" w:eastAsia="Times New Roman" w:hAnsi="Times New Roman"/>
          <w:sz w:val="18"/>
          <w:szCs w:val="18"/>
          <w:color w:val="auto"/>
        </w:rPr>
      </w:pPr>
    </w:p>
    <w:p>
      <w:pPr>
        <w:jc w:val="both"/>
        <w:ind w:left="-8" w:firstLine="8"/>
        <w:spacing w:after="0" w:line="220" w:lineRule="auto"/>
        <w:tabs>
          <w:tab w:leader="none" w:pos="63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Agreement. Participant’s acceptance of the Restricted Stock Units by signing below or by otherwise accepting the Restricted Stock Units following such procedures as established by the Company (including an online acceptance process) constitute Participant’s agreement to be bound by the terms and conditions of this Award Agreement and the Plan. The Company may refuse to allow Participant to vest in the Restricted Stock Units unless Participant has signed this Award Agreement or otherwise accepted the Restricted Stock Units following such procedures as established by the Company </w:t>
      </w:r>
      <w:r>
        <w:rPr>
          <w:rFonts w:ascii="Times New Roman" w:cs="Times New Roman" w:eastAsia="Times New Roman" w:hAnsi="Times New Roman"/>
          <w:sz w:val="18"/>
          <w:szCs w:val="18"/>
          <w:color w:val="auto"/>
          <w:highlight w:val="white"/>
        </w:rPr>
        <w:t>(including an online acceptance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-1850390</wp:posOffset>
            </wp:positionV>
            <wp:extent cx="7132320" cy="3600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5">
                      <a:extLst>
                        <a:ext uri="{28A0092B-C50C-407E-A947-70E740481C1C}"/>
                      </a:extLst>
                    </a:blip>
                    <a:srcRect/>
                    <a:stretch>
                      <a:fillRect/>
                    </a:stretch>
                  </pic:blipFill>
                  <pic:spPr bwMode="auto">
                    <a:xfrm>
                      <a:off x="0" y="0"/>
                      <a:ext cx="7132320" cy="3600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-1387475</wp:posOffset>
            </wp:positionV>
            <wp:extent cx="7132320" cy="2400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-478790</wp:posOffset>
            </wp:positionV>
            <wp:extent cx="7123430" cy="3600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7">
                      <a:extLst>
                        <a:ext uri="{28A0092B-C50C-407E-A947-70E740481C1C}"/>
                      </a:extLst>
                    </a:blip>
                    <a:srcRect/>
                    <a:stretch>
                      <a:fillRect/>
                    </a:stretch>
                  </pic:blipFill>
                  <pic:spPr bwMode="auto">
                    <a:xfrm>
                      <a:off x="0" y="0"/>
                      <a:ext cx="712343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2"/>
        <w:spacing w:after="0"/>
        <w:tabs>
          <w:tab w:leader="none" w:pos="6172" w:val="left"/>
        </w:tabs>
        <w:rPr>
          <w:sz w:val="20"/>
          <w:szCs w:val="20"/>
          <w:color w:val="auto"/>
        </w:rPr>
      </w:pPr>
      <w:r>
        <w:rPr>
          <w:rFonts w:ascii="Times New Roman" w:cs="Times New Roman" w:eastAsia="Times New Roman" w:hAnsi="Times New Roman"/>
          <w:sz w:val="18"/>
          <w:szCs w:val="18"/>
          <w:b w:val="1"/>
          <w:bCs w:val="1"/>
          <w:color w:val="auto"/>
        </w:rPr>
        <w:t>Participant</w:t>
      </w:r>
      <w:r>
        <w:rPr>
          <w:sz w:val="20"/>
          <w:szCs w:val="20"/>
          <w:color w:val="auto"/>
        </w:rPr>
        <w:tab/>
      </w:r>
      <w:r>
        <w:rPr>
          <w:rFonts w:ascii="Times New Roman" w:cs="Times New Roman" w:eastAsia="Times New Roman" w:hAnsi="Times New Roman"/>
          <w:sz w:val="18"/>
          <w:szCs w:val="18"/>
          <w:b w:val="1"/>
          <w:bCs w:val="1"/>
          <w:color w:val="auto"/>
        </w:rPr>
        <w:t>Amkor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208280</wp:posOffset>
            </wp:positionV>
            <wp:extent cx="1303020" cy="3257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8">
                      <a:extLst>
                        <a:ext uri="{28A0092B-C50C-407E-A947-70E740481C1C}"/>
                      </a:extLst>
                    </a:blip>
                    <a:srcRect/>
                    <a:stretch>
                      <a:fillRect/>
                    </a:stretch>
                  </pic:blipFill>
                  <pic:spPr bwMode="auto">
                    <a:xfrm>
                      <a:off x="0" y="0"/>
                      <a:ext cx="1303020" cy="32575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2"/>
        <w:spacing w:after="0"/>
        <w:rPr>
          <w:sz w:val="20"/>
          <w:szCs w:val="20"/>
          <w:color w:val="auto"/>
        </w:rPr>
      </w:pPr>
      <w:r>
        <w:rPr>
          <w:rFonts w:ascii="Times New Roman" w:cs="Times New Roman" w:eastAsia="Times New Roman" w:hAnsi="Times New Roman"/>
          <w:sz w:val="18"/>
          <w:szCs w:val="18"/>
          <w:color w:val="auto"/>
        </w:rPr>
        <w:t>%%FIRST_NAME_MIDDLE_NAME_LAST_NAME%-%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Rogers</w:t>
      </w:r>
    </w:p>
    <w:p>
      <w:pPr>
        <w:spacing w:after="0" w:line="40" w:lineRule="exact"/>
        <w:rPr>
          <w:sz w:val="20"/>
          <w:szCs w:val="20"/>
          <w:color w:val="auto"/>
        </w:rPr>
      </w:pPr>
    </w:p>
    <w:p>
      <w:pPr>
        <w:sectPr>
          <w:pgSz w:w="11900" w:h="16838" w:orient="portrait"/>
          <w:cols w:equalWidth="0" w:num="2">
            <w:col w:w="5432" w:space="720"/>
            <w:col w:w="5080"/>
          </w:cols>
          <w:pgMar w:left="328" w:top="1440" w:right="339" w:bottom="1440" w:gutter="0" w:footer="0" w:header="0"/>
          <w:type w:val="continuous"/>
        </w:sectPr>
      </w:pPr>
    </w:p>
    <w:p>
      <w:pPr>
        <w:ind w:left="6152"/>
        <w:spacing w:after="0"/>
        <w:rPr>
          <w:sz w:val="20"/>
          <w:szCs w:val="20"/>
          <w:color w:val="auto"/>
        </w:rPr>
      </w:pPr>
      <w:r>
        <w:rPr>
          <w:rFonts w:ascii="Times New Roman" w:cs="Times New Roman" w:eastAsia="Times New Roman" w:hAnsi="Times New Roman"/>
          <w:sz w:val="17"/>
          <w:szCs w:val="17"/>
          <w:color w:val="auto"/>
        </w:rPr>
        <w:t>EVP, General Counsel and Corporate Secretary</w:t>
      </w:r>
    </w:p>
    <w:p>
      <w:pPr>
        <w:spacing w:after="0" w:line="111" w:lineRule="exact"/>
        <w:rPr>
          <w:sz w:val="20"/>
          <w:szCs w:val="20"/>
          <w:color w:val="auto"/>
        </w:rPr>
      </w:pPr>
    </w:p>
    <w:p>
      <w:pPr>
        <w:ind w:left="72"/>
        <w:spacing w:after="0"/>
        <w:rPr>
          <w:sz w:val="20"/>
          <w:szCs w:val="20"/>
          <w:color w:val="auto"/>
        </w:rPr>
      </w:pPr>
      <w:r>
        <w:rPr>
          <w:rFonts w:ascii="Times New Roman" w:cs="Times New Roman" w:eastAsia="Times New Roman" w:hAnsi="Times New Roman"/>
          <w:sz w:val="18"/>
          <w:szCs w:val="18"/>
          <w:b w:val="1"/>
          <w:bCs w:val="1"/>
          <w:color w:val="auto"/>
        </w:rPr>
        <w:t>Address:</w:t>
      </w:r>
    </w:p>
    <w:p>
      <w:pPr>
        <w:sectPr>
          <w:pgSz w:w="11900" w:h="16838" w:orient="portrait"/>
          <w:cols w:equalWidth="0" w:num="1">
            <w:col w:w="11232"/>
          </w:cols>
          <w:pgMar w:left="328" w:top="1440" w:right="339" w:bottom="1440" w:gutter="0" w:footer="0" w:header="0"/>
          <w:type w:val="continuous"/>
        </w:sectPr>
      </w:pPr>
    </w:p>
    <w:p>
      <w:pPr>
        <w:spacing w:after="0" w:line="108" w:lineRule="exact"/>
        <w:rPr>
          <w:sz w:val="20"/>
          <w:szCs w:val="20"/>
          <w:color w:val="auto"/>
        </w:rPr>
      </w:pPr>
    </w:p>
    <w:p>
      <w:pPr>
        <w:ind w:left="72"/>
        <w:spacing w:after="0"/>
        <w:rPr>
          <w:sz w:val="20"/>
          <w:szCs w:val="20"/>
          <w:color w:val="auto"/>
        </w:rPr>
      </w:pPr>
      <w:r>
        <w:rPr>
          <w:rFonts w:ascii="Times New Roman" w:cs="Times New Roman" w:eastAsia="Times New Roman" w:hAnsi="Times New Roman"/>
          <w:sz w:val="17"/>
          <w:szCs w:val="17"/>
          <w:color w:val="auto"/>
        </w:rPr>
        <w:t>%%ADDRESS_LINE_1%-%</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%%OPTION_DATE,’Month DD, YYYY’%-%</w:t>
      </w:r>
    </w:p>
    <w:p>
      <w:pPr>
        <w:spacing w:after="0" w:line="115" w:lineRule="exact"/>
        <w:rPr>
          <w:sz w:val="20"/>
          <w:szCs w:val="20"/>
          <w:color w:val="auto"/>
        </w:rPr>
      </w:pPr>
    </w:p>
    <w:p>
      <w:pPr>
        <w:sectPr>
          <w:pgSz w:w="11900" w:h="16838" w:orient="portrait"/>
          <w:cols w:equalWidth="0" w:num="2">
            <w:col w:w="5432" w:space="720"/>
            <w:col w:w="5080"/>
          </w:cols>
          <w:pgMar w:left="328" w:top="1440" w:right="339" w:bottom="1440" w:gutter="0" w:footer="0" w:header="0"/>
          <w:type w:val="continuous"/>
        </w:sectPr>
      </w:pPr>
    </w:p>
    <w:p>
      <w:pPr>
        <w:ind w:left="72"/>
        <w:spacing w:after="0"/>
        <w:rPr>
          <w:sz w:val="20"/>
          <w:szCs w:val="20"/>
          <w:color w:val="auto"/>
        </w:rPr>
      </w:pPr>
      <w:r>
        <w:rPr>
          <w:rFonts w:ascii="Times New Roman" w:cs="Times New Roman" w:eastAsia="Times New Roman" w:hAnsi="Times New Roman"/>
          <w:sz w:val="17"/>
          <w:szCs w:val="17"/>
          <w:color w:val="auto"/>
        </w:rPr>
        <w:t>%%CITY_STATE_ZIPCODE%-%</w:t>
      </w:r>
    </w:p>
    <w:p>
      <w:pPr>
        <w:spacing w:after="0" w:line="115" w:lineRule="exact"/>
        <w:rPr>
          <w:sz w:val="20"/>
          <w:szCs w:val="20"/>
          <w:color w:val="auto"/>
        </w:rPr>
      </w:pPr>
    </w:p>
    <w:p>
      <w:pPr>
        <w:ind w:left="72"/>
        <w:spacing w:after="0"/>
        <w:rPr>
          <w:sz w:val="20"/>
          <w:szCs w:val="20"/>
          <w:color w:val="auto"/>
        </w:rPr>
      </w:pPr>
      <w:r>
        <w:rPr>
          <w:rFonts w:ascii="Times New Roman" w:cs="Times New Roman" w:eastAsia="Times New Roman" w:hAnsi="Times New Roman"/>
          <w:sz w:val="18"/>
          <w:szCs w:val="18"/>
          <w:color w:val="auto"/>
        </w:rPr>
        <w:t>%%COUNTRY%-%</w:t>
      </w:r>
    </w:p>
    <w:p>
      <w:pPr>
        <w:sectPr>
          <w:pgSz w:w="11900" w:h="16838" w:orient="portrait"/>
          <w:cols w:equalWidth="0" w:num="1">
            <w:col w:w="11232"/>
          </w:cols>
          <w:pgMar w:left="328"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32"/>
          </w:cols>
          <w:pgMar w:left="328" w:top="1440" w:right="339" w:bottom="1440" w:gutter="0" w:footer="0" w:header="0"/>
          <w:type w:val="continuous"/>
        </w:sectPr>
      </w:pPr>
    </w:p>
    <w:bookmarkStart w:id="147" w:name="page148"/>
    <w:bookmarkEnd w:id="147"/>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APPENDIX TO</w:t>
      </w:r>
    </w:p>
    <w:p>
      <w:pPr>
        <w:spacing w:after="0" w:line="5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 TIME-VESTED RESTRICTED STOCK UNIT AWARD AGREEMENT</w:t>
      </w:r>
    </w:p>
    <w:p>
      <w:pPr>
        <w:spacing w:after="0" w:line="31" w:lineRule="exact"/>
        <w:rPr>
          <w:sz w:val="20"/>
          <w:szCs w:val="20"/>
          <w:color w:val="auto"/>
        </w:rPr>
      </w:pPr>
    </w:p>
    <w:p>
      <w:pPr>
        <w:jc w:val="both"/>
        <w:ind w:right="20" w:firstLine="648"/>
        <w:spacing w:after="0" w:line="276" w:lineRule="auto"/>
        <w:rPr>
          <w:sz w:val="20"/>
          <w:szCs w:val="20"/>
          <w:color w:val="auto"/>
        </w:rPr>
      </w:pPr>
      <w:r>
        <w:rPr>
          <w:rFonts w:ascii="Times New Roman" w:cs="Times New Roman" w:eastAsia="Times New Roman" w:hAnsi="Times New Roman"/>
          <w:sz w:val="18"/>
          <w:szCs w:val="18"/>
          <w:color w:val="auto"/>
        </w:rPr>
        <w:t>Capitalized terms used but not defined in this Appendix shall have the same meanings assigned to them in the Plan and/or the Global Time-Vested Restricted Stock Unit Award Agreement.</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2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Appendix includes general terms and conditions for all non-U.S. Participants and additional terms and conditions that govern the Restricted Stock Units if Participant works and/or resides in one of the countries listed below. If Participant is a citizen or resident of a country other than the one in which Participant is currently working and/or residing (or is considered as such for local law purposes), or if Participant transfers employment and/or residency to a different country after the Restricted Stock Units are granted, the Company will, in its discretion, determine the extent to which the terms and conditions contained herein will apply to Participant.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7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Appendix also includes information regarding certain other issues of which Participant should be aware with respect to Participant’s participation in the Plan. The information is based on the securities, exchange control and other laws in effect in the respective countries as of March 2021. Such laws are often complex and change frequently. As a result, Participant should not rely on the information noted herein as the only source of information relating to the consequences of participation in the Plan because the information may be out-of-date at the time the Restricted Stock Units vest or Participant sells any Shares acquired under the Plan.</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the information contained herein is general in nature and may not apply to Participant’s particular situation. As a result, the Company is not in a position to assure Participant of any particular result. Accordingly, Participant should seek appropriate professional advice as to how the relevant laws in Participant’s country may apply to Participant’s individual situation.</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Participant is a citizen or resident of a country other than the one in which Participant is currently working and/or residing (or is considered as such for local law purposes), or if Participant transfers employment and/or residency to a different country after the Restricted Stock Units are granted, the information contained in this Appendix may not be applicable to Participant in the same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TERMS AND CONDITIONS APPLICABLE TO ALL NON-U.S. PARTICIPANTS</w:t>
      </w:r>
    </w:p>
    <w:p>
      <w:pPr>
        <w:spacing w:after="0" w:line="293" w:lineRule="exact"/>
        <w:rPr>
          <w:sz w:val="20"/>
          <w:szCs w:val="20"/>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u w:val="single" w:color="auto"/>
          <w:color w:val="auto"/>
        </w:rPr>
        <w:t>Data Privacy Information and Consent</w:t>
      </w:r>
      <w:r>
        <w:rPr>
          <w:rFonts w:ascii="Times New Roman" w:cs="Times New Roman" w:eastAsia="Times New Roman" w:hAnsi="Times New Roman"/>
          <w:sz w:val="18"/>
          <w:szCs w:val="18"/>
          <w:b w:val="1"/>
          <w:bCs w:val="1"/>
          <w:i w:val="1"/>
          <w:iCs w:val="1"/>
          <w:color w:val="auto"/>
        </w:rPr>
        <w:t>.</w:t>
      </w:r>
    </w:p>
    <w:p>
      <w:pPr>
        <w:spacing w:after="0" w:line="265" w:lineRule="exact"/>
        <w:rPr>
          <w:rFonts w:ascii="Times New Roman" w:cs="Times New Roman" w:eastAsia="Times New Roman" w:hAnsi="Times New Roman"/>
          <w:sz w:val="18"/>
          <w:szCs w:val="18"/>
          <w:i w:val="1"/>
          <w:iCs w:val="1"/>
          <w:color w:val="auto"/>
        </w:rPr>
      </w:pPr>
    </w:p>
    <w:p>
      <w:pPr>
        <w:jc w:val="both"/>
        <w:ind w:firstLine="980"/>
        <w:spacing w:after="0" w:line="259" w:lineRule="auto"/>
        <w:tabs>
          <w:tab w:leader="none" w:pos="1290" w:val="left"/>
        </w:tabs>
        <w:numPr>
          <w:ilvl w:val="2"/>
          <w:numId w:val="9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Data Collection and Usage</w:t>
      </w:r>
      <w:r>
        <w:rPr>
          <w:rFonts w:ascii="Times New Roman" w:cs="Times New Roman" w:eastAsia="Times New Roman" w:hAnsi="Times New Roman"/>
          <w:sz w:val="18"/>
          <w:szCs w:val="18"/>
          <w:b w:val="1"/>
          <w:bCs w:val="1"/>
          <w:i w:val="1"/>
          <w:iCs w:val="1"/>
          <w:color w:val="auto"/>
        </w:rPr>
        <w:t>. The Company and the Service Recipient collect, process and use certain personal information about Participant, including, but not limited to, Participant’s name, home address, telephone number, email address, date of birth, social insurance number, passport or other identification number, salary, nationality, job title, any shares or directorships held in the Company, details of all awards granted under the Plan or any other entitlement to shares awarded, canceled, exercised, vested, unvested or outstanding in Participant’s favor (“Data”), for purposes of implementing, administering and managing the Plan. The legal basis, where required, for the processing of Data is Participant’s consent.</w:t>
      </w:r>
    </w:p>
    <w:p>
      <w:pPr>
        <w:spacing w:after="0" w:line="206" w:lineRule="exact"/>
        <w:rPr>
          <w:rFonts w:ascii="Times New Roman" w:cs="Times New Roman" w:eastAsia="Times New Roman" w:hAnsi="Times New Roman"/>
          <w:sz w:val="18"/>
          <w:szCs w:val="18"/>
          <w:b w:val="1"/>
          <w:bCs w:val="1"/>
          <w:i w:val="1"/>
          <w:iCs w:val="1"/>
          <w:color w:val="auto"/>
        </w:rPr>
      </w:pPr>
    </w:p>
    <w:p>
      <w:pPr>
        <w:jc w:val="both"/>
        <w:ind w:firstLine="980"/>
        <w:spacing w:after="0" w:line="259" w:lineRule="auto"/>
        <w:tabs>
          <w:tab w:leader="none" w:pos="1290" w:val="left"/>
        </w:tabs>
        <w:numPr>
          <w:ilvl w:val="2"/>
          <w:numId w:val="9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Stock Plan Administration Service Providers</w:t>
      </w:r>
      <w:r>
        <w:rPr>
          <w:rFonts w:ascii="Times New Roman" w:cs="Times New Roman" w:eastAsia="Times New Roman" w:hAnsi="Times New Roman"/>
          <w:sz w:val="18"/>
          <w:szCs w:val="18"/>
          <w:b w:val="1"/>
          <w:bCs w:val="1"/>
          <w:i w:val="1"/>
          <w:iCs w:val="1"/>
          <w:color w:val="auto"/>
        </w:rPr>
        <w:t>. The Company transfers Data to E*TRADE Financial Corporate Services, Inc. and certain of its affiliates (“E*TRADE”), an independent service provider which is assisting the Company with the implementation, administration and management of the Plan. The Company may select a different service provider or additional service providers and share Data with such other provider serving in a similar manner. Participant may be asked to agree on separate terms and data processing practices with E*TRADE and such other service providers, with such agreement being a condition to the ability to participate in the Plan.</w:t>
      </w:r>
    </w:p>
    <w:p>
      <w:pPr>
        <w:spacing w:after="0" w:line="206" w:lineRule="exact"/>
        <w:rPr>
          <w:rFonts w:ascii="Times New Roman" w:cs="Times New Roman" w:eastAsia="Times New Roman" w:hAnsi="Times New Roman"/>
          <w:sz w:val="18"/>
          <w:szCs w:val="18"/>
          <w:b w:val="1"/>
          <w:bCs w:val="1"/>
          <w:i w:val="1"/>
          <w:iCs w:val="1"/>
          <w:color w:val="auto"/>
        </w:rPr>
      </w:pPr>
    </w:p>
    <w:p>
      <w:pPr>
        <w:jc w:val="both"/>
        <w:ind w:firstLine="885"/>
        <w:spacing w:after="0" w:line="268" w:lineRule="auto"/>
        <w:tabs>
          <w:tab w:leader="none" w:pos="1293" w:val="left"/>
        </w:tabs>
        <w:numPr>
          <w:ilvl w:val="1"/>
          <w:numId w:val="9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International Data Transfers</w:t>
      </w:r>
      <w:r>
        <w:rPr>
          <w:rFonts w:ascii="Times New Roman" w:cs="Times New Roman" w:eastAsia="Times New Roman" w:hAnsi="Times New Roman"/>
          <w:sz w:val="18"/>
          <w:szCs w:val="18"/>
          <w:b w:val="1"/>
          <w:bCs w:val="1"/>
          <w:i w:val="1"/>
          <w:iCs w:val="1"/>
          <w:color w:val="auto"/>
        </w:rPr>
        <w:t>. The Company and E*TRADE are based in the U.S., which means that it will be necessary for Data to be transferred to, and processed in, the U.S. Participant’s country or jurisdiction may have different data privacy laws and protections than the U.S. The Company’s legal basis for the transfer of Data, where required, is Participant’s consent.</w:t>
      </w:r>
    </w:p>
    <w:p>
      <w:pPr>
        <w:spacing w:after="0" w:line="197" w:lineRule="exact"/>
        <w:rPr>
          <w:rFonts w:ascii="Times New Roman" w:cs="Times New Roman" w:eastAsia="Times New Roman" w:hAnsi="Times New Roman"/>
          <w:sz w:val="18"/>
          <w:szCs w:val="18"/>
          <w:b w:val="1"/>
          <w:bCs w:val="1"/>
          <w:i w:val="1"/>
          <w:iCs w:val="1"/>
          <w:color w:val="auto"/>
        </w:rPr>
      </w:pPr>
    </w:p>
    <w:p>
      <w:pPr>
        <w:jc w:val="both"/>
        <w:ind w:firstLine="980"/>
        <w:spacing w:after="0" w:line="259" w:lineRule="auto"/>
        <w:tabs>
          <w:tab w:leader="none" w:pos="1290" w:val="left"/>
        </w:tabs>
        <w:numPr>
          <w:ilvl w:val="2"/>
          <w:numId w:val="9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Data Retention</w:t>
      </w:r>
      <w:r>
        <w:rPr>
          <w:rFonts w:ascii="Times New Roman" w:cs="Times New Roman" w:eastAsia="Times New Roman" w:hAnsi="Times New Roman"/>
          <w:sz w:val="18"/>
          <w:szCs w:val="18"/>
          <w:b w:val="1"/>
          <w:bCs w:val="1"/>
          <w:i w:val="1"/>
          <w:iCs w:val="1"/>
          <w:color w:val="auto"/>
        </w:rPr>
        <w:t>. The Company will hold and use Data only as long as is necessary to implement, administer and manage Participant’s participation in the Plan, or as required to comply with legal or regulatory obligations, including under tax, exchange control, labor and securities laws. This period may extend beyond the Participant’s period as a Service Provider. When the Company and/or the Service Recipient no longer need Data for any of the above purposes, they will cease processing it in this context and remove it from all of their systems used for such purposes to the fullest extent practicable.</w:t>
      </w:r>
    </w:p>
    <w:p>
      <w:pPr>
        <w:spacing w:after="0" w:line="206" w:lineRule="exact"/>
        <w:rPr>
          <w:rFonts w:ascii="Times New Roman" w:cs="Times New Roman" w:eastAsia="Times New Roman" w:hAnsi="Times New Roman"/>
          <w:sz w:val="18"/>
          <w:szCs w:val="18"/>
          <w:b w:val="1"/>
          <w:bCs w:val="1"/>
          <w:i w:val="1"/>
          <w:iCs w:val="1"/>
          <w:color w:val="auto"/>
        </w:rPr>
      </w:pPr>
    </w:p>
    <w:p>
      <w:pPr>
        <w:jc w:val="both"/>
        <w:ind w:firstLine="980"/>
        <w:spacing w:after="0" w:line="259" w:lineRule="auto"/>
        <w:tabs>
          <w:tab w:leader="none" w:pos="1293" w:val="left"/>
        </w:tabs>
        <w:numPr>
          <w:ilvl w:val="2"/>
          <w:numId w:val="9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Voluntariness and Consequences of Consent Denial or Withdrawal</w:t>
      </w:r>
      <w:r>
        <w:rPr>
          <w:rFonts w:ascii="Times New Roman" w:cs="Times New Roman" w:eastAsia="Times New Roman" w:hAnsi="Times New Roman"/>
          <w:sz w:val="18"/>
          <w:szCs w:val="18"/>
          <w:b w:val="1"/>
          <w:bCs w:val="1"/>
          <w:i w:val="1"/>
          <w:iCs w:val="1"/>
          <w:color w:val="auto"/>
        </w:rPr>
        <w:t>. Participation in the Plan is voluntary and Participant is providing the consents herein on a purely voluntary basis. If Participant does not consent, or if Participant later seeks to revoke his or her consent, Participant’s salary from or employment or service with the Service Recipient will not be affected; the only consequence of refusing or withdrawing consent is that the Company would not be able to grant the Restricted Stock Units or other equity awards to Participant under the Plan or administer or maintain such awards.</w:t>
      </w:r>
    </w:p>
    <w:p>
      <w:pPr>
        <w:spacing w:after="0" w:line="206" w:lineRule="exact"/>
        <w:rPr>
          <w:rFonts w:ascii="Times New Roman" w:cs="Times New Roman" w:eastAsia="Times New Roman" w:hAnsi="Times New Roman"/>
          <w:sz w:val="18"/>
          <w:szCs w:val="18"/>
          <w:b w:val="1"/>
          <w:bCs w:val="1"/>
          <w:i w:val="1"/>
          <w:iCs w:val="1"/>
          <w:color w:val="auto"/>
        </w:rPr>
      </w:pPr>
    </w:p>
    <w:p>
      <w:pPr>
        <w:jc w:val="both"/>
        <w:ind w:firstLine="980"/>
        <w:spacing w:after="0" w:line="259" w:lineRule="auto"/>
        <w:tabs>
          <w:tab w:leader="none" w:pos="1287" w:val="left"/>
        </w:tabs>
        <w:numPr>
          <w:ilvl w:val="2"/>
          <w:numId w:val="9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Data Subject Rights.</w:t>
      </w:r>
      <w:r>
        <w:rPr>
          <w:rFonts w:ascii="Times New Roman" w:cs="Times New Roman" w:eastAsia="Times New Roman" w:hAnsi="Times New Roman"/>
          <w:sz w:val="18"/>
          <w:szCs w:val="18"/>
          <w:b w:val="1"/>
          <w:bCs w:val="1"/>
          <w:i w:val="1"/>
          <w:iCs w:val="1"/>
          <w:color w:val="auto"/>
        </w:rPr>
        <w:t xml:space="preserve"> Participant may have a number of rights under data privacy laws in his or her jurisdiction. Depending on where Participant is based, such rights may include the right to (i) request access to or copies of Data the Company processes, (ii) rectify incorrect Data, (iii) delete Data, (iv) restrict the processing of Data, (v) restrict the portability of Data, (vi) lodge complaints with competent authorities in Participant’s jurisdiction, and/or (vii) receive a list with the names and addresses of any potential recipients of Data. To receive clarification regarding these rights or to exercise these rights, Participant can contact his or her local human resources representative.</w:t>
      </w:r>
    </w:p>
    <w:p>
      <w:pPr>
        <w:spacing w:after="0" w:line="206" w:lineRule="exact"/>
        <w:rPr>
          <w:sz w:val="20"/>
          <w:szCs w:val="20"/>
          <w:color w:val="auto"/>
        </w:rPr>
      </w:pPr>
    </w:p>
    <w:p>
      <w:pPr>
        <w:jc w:val="both"/>
        <w:ind w:firstLine="885"/>
        <w:spacing w:after="0" w:line="262" w:lineRule="auto"/>
        <w:tabs>
          <w:tab w:leader="none" w:pos="1290" w:val="left"/>
        </w:tabs>
        <w:numPr>
          <w:ilvl w:val="0"/>
          <w:numId w:val="9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Other Legal Basis and Additional Consent</w:t>
      </w:r>
      <w:r>
        <w:rPr>
          <w:rFonts w:ascii="Times New Roman" w:cs="Times New Roman" w:eastAsia="Times New Roman" w:hAnsi="Times New Roman"/>
          <w:sz w:val="18"/>
          <w:szCs w:val="18"/>
          <w:b w:val="1"/>
          <w:bCs w:val="1"/>
          <w:i w:val="1"/>
          <w:iCs w:val="1"/>
          <w:color w:val="auto"/>
        </w:rPr>
        <w:t>. Participant understands that the Company may rely on a different legal basis for the collection, processing or transfer of Data in the future and/or request Participant to provide another data privacy consent. If applicable, upon request of the Company or the Service Recipient, Participant will provide a separate executed data privacy agreement (or any other agreements or consents) that the Company and/or the Service Recipient may deem necessary to obtain from Participant for the purpose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27" w:right="339" w:bottom="1440" w:gutter="0" w:footer="0" w:header="0"/>
        </w:sectPr>
      </w:pPr>
    </w:p>
    <w:bookmarkStart w:id="149" w:name="page150"/>
    <w:bookmarkEnd w:id="149"/>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administering his or her participation in the Plan in compliance with the data privacy laws in Participant’s country, either now or in the future. Participant understands and agrees that Participant will not be able to participate in the Plan if Participant fails to provide any such agreement requested by the Company and/or the Service Recipient.</w:t>
      </w:r>
    </w:p>
    <w:p>
      <w:pPr>
        <w:spacing w:after="0" w:line="215" w:lineRule="exact"/>
        <w:rPr>
          <w:sz w:val="20"/>
          <w:szCs w:val="20"/>
          <w:color w:val="auto"/>
        </w:rPr>
      </w:pPr>
    </w:p>
    <w:p>
      <w:pPr>
        <w:ind w:left="660" w:hanging="328"/>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Grant</w:t>
      </w:r>
      <w:r>
        <w:rPr>
          <w:rFonts w:ascii="Times New Roman" w:cs="Times New Roman" w:eastAsia="Times New Roman" w:hAnsi="Times New Roman"/>
          <w:sz w:val="18"/>
          <w:szCs w:val="18"/>
          <w:color w:val="auto"/>
        </w:rPr>
        <w:t>. By accepting the Restricted Stock Units, Participant acknowledges, understands, and agrees that:</w:t>
      </w:r>
    </w:p>
    <w:p>
      <w:pPr>
        <w:spacing w:after="0" w:line="279" w:lineRule="exact"/>
        <w:rPr>
          <w:rFonts w:ascii="Times New Roman" w:cs="Times New Roman" w:eastAsia="Times New Roman" w:hAnsi="Times New Roman"/>
          <w:sz w:val="18"/>
          <w:szCs w:val="18"/>
          <w:color w:val="auto"/>
        </w:rPr>
      </w:pPr>
    </w:p>
    <w:p>
      <w:pPr>
        <w:ind w:firstLine="885"/>
        <w:spacing w:after="0" w:line="282" w:lineRule="auto"/>
        <w:tabs>
          <w:tab w:leader="none" w:pos="1293"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Restricted Stock Units is exceptional, voluntary and occasional and does not create any contractual or other right to receive future grants of restricted stock units, or benefits in lieu of restricted stock units, even if restricted stock units have been granted in the past;</w:t>
      </w:r>
    </w:p>
    <w:p>
      <w:pPr>
        <w:spacing w:after="0" w:line="188" w:lineRule="exact"/>
        <w:rPr>
          <w:rFonts w:ascii="Times New Roman" w:cs="Times New Roman" w:eastAsia="Times New Roman" w:hAnsi="Times New Roman"/>
          <w:sz w:val="18"/>
          <w:szCs w:val="18"/>
          <w:color w:val="auto"/>
        </w:rPr>
      </w:pPr>
    </w:p>
    <w:p>
      <w:pPr>
        <w:ind w:left="1300" w:hanging="415"/>
        <w:spacing w:after="0"/>
        <w:tabs>
          <w:tab w:leader="none" w:pos="13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restricted stock unit or other grants, if any, will be at the sole discretion of the Company;</w:t>
      </w:r>
    </w:p>
    <w:p>
      <w:pPr>
        <w:spacing w:after="0" w:line="252" w:lineRule="exact"/>
        <w:rPr>
          <w:rFonts w:ascii="Times New Roman" w:cs="Times New Roman" w:eastAsia="Times New Roman" w:hAnsi="Times New Roman"/>
          <w:sz w:val="18"/>
          <w:szCs w:val="18"/>
          <w:color w:val="auto"/>
        </w:rPr>
      </w:pPr>
    </w:p>
    <w:p>
      <w:pPr>
        <w:ind w:left="1300" w:hanging="415"/>
        <w:spacing w:after="0"/>
        <w:tabs>
          <w:tab w:leader="none" w:pos="13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is voluntarily participating in the Plan;</w:t>
      </w:r>
    </w:p>
    <w:p>
      <w:pPr>
        <w:spacing w:after="0" w:line="252" w:lineRule="exact"/>
        <w:rPr>
          <w:rFonts w:ascii="Times New Roman" w:cs="Times New Roman" w:eastAsia="Times New Roman" w:hAnsi="Times New Roman"/>
          <w:sz w:val="18"/>
          <w:szCs w:val="18"/>
          <w:color w:val="auto"/>
        </w:rPr>
      </w:pPr>
    </w:p>
    <w:p>
      <w:pPr>
        <w:ind w:firstLine="885"/>
        <w:spacing w:after="0" w:line="282" w:lineRule="auto"/>
        <w:tabs>
          <w:tab w:leader="none" w:pos="129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and any Shares subject to the Restricted Stock Units, and the income from and value of same, are not intended to replace any pension rights or compensation;</w:t>
      </w:r>
    </w:p>
    <w:p>
      <w:pPr>
        <w:spacing w:after="0" w:line="188" w:lineRule="exact"/>
        <w:rPr>
          <w:rFonts w:ascii="Times New Roman" w:cs="Times New Roman" w:eastAsia="Times New Roman" w:hAnsi="Times New Roman"/>
          <w:sz w:val="18"/>
          <w:szCs w:val="18"/>
          <w:color w:val="auto"/>
        </w:rPr>
      </w:pPr>
    </w:p>
    <w:p>
      <w:pPr>
        <w:jc w:val="both"/>
        <w:ind w:firstLine="885"/>
        <w:spacing w:after="0" w:line="266" w:lineRule="auto"/>
        <w:tabs>
          <w:tab w:leader="none" w:pos="1293"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agreed with the Company, the Restricted Stock Units and the Shares subject to the Restricted Stock Units, and the income from and value of same, are not granted as consideration for, or in connection with, the service Participant may provide as a director of a Subsidiary;</w:t>
      </w:r>
    </w:p>
    <w:p>
      <w:pPr>
        <w:spacing w:after="0" w:line="202" w:lineRule="exact"/>
        <w:rPr>
          <w:rFonts w:ascii="Times New Roman" w:cs="Times New Roman" w:eastAsia="Times New Roman" w:hAnsi="Times New Roman"/>
          <w:sz w:val="18"/>
          <w:szCs w:val="18"/>
          <w:color w:val="auto"/>
        </w:rPr>
      </w:pPr>
    </w:p>
    <w:p>
      <w:pPr>
        <w:jc w:val="both"/>
        <w:ind w:firstLine="885"/>
        <w:spacing w:after="0" w:line="266" w:lineRule="auto"/>
        <w:tabs>
          <w:tab w:leader="none" w:pos="1287"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and any Shares subject to the Restricted Stock Units, and the income from and value of same, are not part of normal or expected compensation for any purpose, including, without limitation to, calculating any severance, resignation, termination, redundancy, dismissal, end-of-service payments, bonuses, long-service awards, holiday pay, pension or retirement or welfare benefits or similar mandatory payments;</w:t>
      </w:r>
    </w:p>
    <w:p>
      <w:pPr>
        <w:spacing w:after="0" w:line="202" w:lineRule="exact"/>
        <w:rPr>
          <w:rFonts w:ascii="Times New Roman" w:cs="Times New Roman" w:eastAsia="Times New Roman" w:hAnsi="Times New Roman"/>
          <w:sz w:val="18"/>
          <w:szCs w:val="18"/>
          <w:color w:val="auto"/>
        </w:rPr>
      </w:pPr>
    </w:p>
    <w:p>
      <w:pPr>
        <w:ind w:left="1300" w:hanging="415"/>
        <w:spacing w:after="0"/>
        <w:tabs>
          <w:tab w:leader="none" w:pos="13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Shares underlying the Restricted Stock Units is unknown, indeterminable, and cannot be predicted with certainty;</w:t>
      </w:r>
    </w:p>
    <w:p>
      <w:pPr>
        <w:spacing w:after="0" w:line="252" w:lineRule="exact"/>
        <w:rPr>
          <w:rFonts w:ascii="Times New Roman" w:cs="Times New Roman" w:eastAsia="Times New Roman" w:hAnsi="Times New Roman"/>
          <w:sz w:val="18"/>
          <w:szCs w:val="18"/>
          <w:color w:val="auto"/>
        </w:rPr>
      </w:pPr>
    </w:p>
    <w:p>
      <w:pPr>
        <w:jc w:val="both"/>
        <w:ind w:firstLine="885"/>
        <w:spacing w:after="0" w:line="266" w:lineRule="auto"/>
        <w:tabs>
          <w:tab w:leader="none" w:pos="129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the Restricted Stock Units resulting from the termination of Participant’s status as a Service Provider (for any reason whatsoever, whether or not later found to be invalid or in breach of labor laws in the jurisdiction where the Participant is providing service or the terms of the Participant’s employment or other service agreement, if any);</w:t>
      </w:r>
    </w:p>
    <w:p>
      <w:pPr>
        <w:spacing w:after="0" w:line="202" w:lineRule="exact"/>
        <w:rPr>
          <w:rFonts w:ascii="Times New Roman" w:cs="Times New Roman" w:eastAsia="Times New Roman" w:hAnsi="Times New Roman"/>
          <w:sz w:val="18"/>
          <w:szCs w:val="18"/>
          <w:color w:val="auto"/>
        </w:rPr>
      </w:pPr>
    </w:p>
    <w:p>
      <w:pPr>
        <w:jc w:val="both"/>
        <w:ind w:firstLine="885"/>
        <w:spacing w:after="0" w:line="266" w:lineRule="auto"/>
        <w:tabs>
          <w:tab w:leader="none" w:pos="129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Plan or by the Company in its discretion, the Restricted Stock Units and the benefits evidenced by this Award Agreement do not create any entitlement to have the Restricted Stock Units or any such benefits transferred to, or assumed by, another company nor to be exchanged, cashed out or substituted for, in connection with any corporate transaction affecting the Shares; and</w:t>
      </w:r>
    </w:p>
    <w:p>
      <w:pPr>
        <w:spacing w:after="0" w:line="202" w:lineRule="exact"/>
        <w:rPr>
          <w:rFonts w:ascii="Times New Roman" w:cs="Times New Roman" w:eastAsia="Times New Roman" w:hAnsi="Times New Roman"/>
          <w:sz w:val="18"/>
          <w:szCs w:val="18"/>
          <w:color w:val="auto"/>
        </w:rPr>
      </w:pPr>
    </w:p>
    <w:p>
      <w:pPr>
        <w:jc w:val="both"/>
        <w:ind w:firstLine="885"/>
        <w:spacing w:after="0" w:line="266" w:lineRule="auto"/>
        <w:tabs>
          <w:tab w:leader="none" w:pos="129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the Service Recipient nor any other Subsidiary shall be liable for any foreign exchange rate fluctuation between Participant’s local currency and the U.S. dollar that may affect the value of the Restricted Stock Units or of any amounts due to Participant pursuant to the Restricted Stock or the subsequent sale of any Shares subject to the Restricted Stock Units.</w:t>
      </w:r>
    </w:p>
    <w:p>
      <w:pPr>
        <w:spacing w:after="0" w:line="202" w:lineRule="exact"/>
        <w:rPr>
          <w:rFonts w:ascii="Times New Roman" w:cs="Times New Roman" w:eastAsia="Times New Roman" w:hAnsi="Times New Roman"/>
          <w:sz w:val="18"/>
          <w:szCs w:val="18"/>
          <w:color w:val="auto"/>
        </w:rPr>
      </w:pPr>
    </w:p>
    <w:p>
      <w:pPr>
        <w:jc w:val="both"/>
        <w:ind w:firstLine="332"/>
        <w:spacing w:after="0" w:line="261" w:lineRule="auto"/>
        <w:tabs>
          <w:tab w:leader="none" w:pos="64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Language</w:t>
      </w:r>
      <w:r>
        <w:rPr>
          <w:rFonts w:ascii="Times New Roman" w:cs="Times New Roman" w:eastAsia="Times New Roman" w:hAnsi="Times New Roman"/>
          <w:sz w:val="18"/>
          <w:szCs w:val="18"/>
          <w:color w:val="auto"/>
        </w:rPr>
        <w:t>. Participant acknowledges that he or she is sufficiently proficient in English, or has consulted with an advisor who is sufficiently proficient in English, so as to allow Participant to understand the terms and conditions of this Award Agreement. If Participant has received this Award Agreement, or any other documents related to the Restricted Stock Units and/or the Plan translated into a language other than English and if the meaning of the translated version is different than the English version, the English version will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13" w:right="339" w:bottom="1440" w:gutter="0" w:footer="0" w:header="0"/>
        </w:sectPr>
      </w:pPr>
    </w:p>
    <w:bookmarkStart w:id="150" w:name="page151"/>
    <w:bookmarkEnd w:id="150"/>
    <w:p>
      <w:pPr>
        <w:jc w:val="both"/>
        <w:ind w:left="-20" w:firstLine="332"/>
        <w:spacing w:after="0" w:line="255" w:lineRule="auto"/>
        <w:tabs>
          <w:tab w:leader="none" w:pos="62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Asset/Account, Exchange Control and Tax Reporting</w:t>
      </w:r>
      <w:r>
        <w:rPr>
          <w:rFonts w:ascii="Times New Roman" w:cs="Times New Roman" w:eastAsia="Times New Roman" w:hAnsi="Times New Roman"/>
          <w:sz w:val="18"/>
          <w:szCs w:val="18"/>
          <w:color w:val="auto"/>
        </w:rPr>
        <w:t>. Participant may be subject to foreign asset/account, exchange control, tax reporting or other requirements which may affect Participant’s ability acquire or hold Restricted Stock Units, Shares or cash received from participating in the Plan (including dividends and the proceeds arising from the sale of Shares) in a brokerage/bank account outside Participant’s country. The applicable laws of Participant’s country may require that he or she report such Restricted Stock Units, Shares, accounts, assets or transactions to the applicable authorities in such country and/or repatriate funds received in connection with the Plan to Participant’s country within a certain time period or according to certain procedures. Participant acknowledges that he or she is responsible for ensuring compliance with any applicable requirements and should consult his or her personal legal advisor to ensure compliance with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40" w:top="1417"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TERMS AND CONDITIONS FOR CERTAIN COUNTRIES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KOREA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Korean residents must declare all foreign financial accounts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non-Korean bank accounts, brokerage accounts) to the Korean tax authorities and file a report with respect to such accounts if the monthly balance of such accounts exceeds KRW 500 million (or an equivalent amount in foreign currency) on any month-end during a calendar year. Participant should consult with his or her personal tax advisor to determine his or her personal reporting obligations.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SINGAPORE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2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u w:val="single" w:color="auto"/>
          <w:color w:val="auto"/>
        </w:rPr>
        <w:t>Restriction on Sale of Shares</w:t>
      </w:r>
      <w:r>
        <w:rPr>
          <w:rFonts w:ascii="Times New Roman" w:cs="Times New Roman" w:eastAsia="Times New Roman" w:hAnsi="Times New Roman"/>
          <w:sz w:val="18"/>
          <w:szCs w:val="18"/>
          <w:color w:val="auto"/>
        </w:rPr>
        <w:t>. The Restricted Stock Units are subject to section 257 of the Securities and Futures Act (Chapter 289, 2006 Ed.) (“SFA”) and Participant will not be able to make any subsequent offer to sell or sale of the Shares in Singapore, unless such offer or sale is made (1) after six (6) months from the Date of Grant, (2) pursuant to the exemptions under Part XIII Division (1) Subdivision (4) (other than section 280) of the SFA or (3) pursuant to, and in accordance with, the conditions of any other applicable exemptions under the SFA.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The offer of the Plan, the grant of the Restricted Stock Units, and the issuance of the Shares subject to the Restricted Stock Units are being made pursuant to the “Qualifying Person” exemption under section 273(1)(f) of the SFA. The Plan has not been lodged or registered as a prospectus with the Monetary Authority of Singapore.</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Director Notification</w:t>
      </w:r>
      <w:r>
        <w:rPr>
          <w:rFonts w:ascii="Times New Roman" w:cs="Times New Roman" w:eastAsia="Times New Roman" w:hAnsi="Times New Roman"/>
          <w:sz w:val="18"/>
          <w:szCs w:val="18"/>
          <w:color w:val="auto"/>
        </w:rPr>
        <w:t>. Participant understands and acknowledges that if Participant is a director, associate director or shadow director of a Singapore Subsidiary, Participant is subject to certain notification requirements under the Singapore Companies Act, regardless of whether Participant is a Singapore resident or providing services in Singapore. Among these requirements is an obligation to notify the Singapore Subsidiary in writing when Participant receives an interest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Restricted Stock Units) in the Company. In addition, Participant must notify the Singapore Subsidiary when Participant sells Shares (including when Participant sells Shares acquired under the Plan). These notifications must be made within two days of acquiring or disposing of any interest in the Company. In addition, a notification must be made of Participant’s interests in the Company within two days of becoming a director, associate director or shadow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27" w:right="339" w:bottom="1440" w:gutter="0" w:footer="0" w:header="0"/>
        </w:sectPr>
      </w:pPr>
    </w:p>
    <w:bookmarkStart w:id="152" w:name="page153"/>
    <w:bookmarkEnd w:id="1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10.25</w:t>
      </w:r>
    </w:p>
    <w:p>
      <w:pPr>
        <w:spacing w:after="0" w:line="32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 TIME-VESTED RESTRICTED STOCK UNIT AWARD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defined herein, each term used in this Global Time-Vested Restricted Stock Unit Award Agreement, including the general terms and conditions for all non-U.S. Participants and the additional terms and conditions for certain countries, all as set forth in the appendix attached hereto (the “Appendix” and, together with the Global Time-Vested Restricted Stock Unit Award Agreement, the “Award Agreement”) and defined in the Amkor Technology, Inc. 2021 Equity Incentive Plan (the “Plan”) will have the same meaning as is given to such term in the Plan.</w:t>
      </w:r>
    </w:p>
    <w:p>
      <w:pPr>
        <w:spacing w:after="0" w:line="270" w:lineRule="exact"/>
        <w:rPr>
          <w:sz w:val="20"/>
          <w:szCs w:val="20"/>
          <w:color w:val="auto"/>
        </w:rPr>
      </w:pPr>
    </w:p>
    <w:p>
      <w:pPr>
        <w:ind w:left="640"/>
        <w:spacing w:after="0"/>
        <w:tabs>
          <w:tab w:leader="none" w:pos="3000" w:val="left"/>
        </w:tabs>
        <w:rPr>
          <w:sz w:val="20"/>
          <w:szCs w:val="20"/>
          <w:color w:val="auto"/>
        </w:rPr>
      </w:pPr>
      <w:r>
        <w:rPr>
          <w:rFonts w:ascii="Times New Roman" w:cs="Times New Roman" w:eastAsia="Times New Roman" w:hAnsi="Times New Roman"/>
          <w:sz w:val="18"/>
          <w:szCs w:val="18"/>
          <w:b w:val="1"/>
          <w:bCs w:val="1"/>
          <w:color w:val="auto"/>
        </w:rPr>
        <w:t>Participant Name:</w:t>
      </w:r>
      <w:r>
        <w:rPr>
          <w:sz w:val="20"/>
          <w:szCs w:val="20"/>
          <w:color w:val="auto"/>
        </w:rPr>
        <w:tab/>
      </w:r>
      <w:r>
        <w:rPr>
          <w:rFonts w:ascii="Times New Roman" w:cs="Times New Roman" w:eastAsia="Times New Roman" w:hAnsi="Times New Roman"/>
          <w:sz w:val="16"/>
          <w:szCs w:val="16"/>
          <w:color w:val="auto"/>
        </w:rPr>
        <w:t>Guillaume Marie Jean Rutten</w:t>
      </w:r>
    </w:p>
    <w:p>
      <w:pPr>
        <w:spacing w:after="0" w:line="200" w:lineRule="exact"/>
        <w:rPr>
          <w:sz w:val="20"/>
          <w:szCs w:val="20"/>
          <w:color w:val="auto"/>
        </w:rPr>
      </w:pPr>
    </w:p>
    <w:p>
      <w:pPr>
        <w:spacing w:after="0" w:line="3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You have been granted the right to receive an Award of Time-Vested Restricted Stock Units, subject to the terms and conditions of the Plan and this Award Agreement, as follows:</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2751455</wp:posOffset>
            </wp:positionH>
            <wp:positionV relativeFrom="paragraph">
              <wp:posOffset>-31115</wp:posOffset>
            </wp:positionV>
            <wp:extent cx="20574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9">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2751455</wp:posOffset>
            </wp:positionH>
            <wp:positionV relativeFrom="paragraph">
              <wp:posOffset>-31115</wp:posOffset>
            </wp:positionV>
            <wp:extent cx="20574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0">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2751455</wp:posOffset>
            </wp:positionH>
            <wp:positionV relativeFrom="paragraph">
              <wp:posOffset>-31115</wp:posOffset>
            </wp:positionV>
            <wp:extent cx="20574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1">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Number of Restricted Stock Units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2751455</wp:posOffset>
            </wp:positionH>
            <wp:positionV relativeFrom="paragraph">
              <wp:posOffset>131445</wp:posOffset>
            </wp:positionV>
            <wp:extent cx="20574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2">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8"/>
        <w:spacing w:after="0" w:line="224" w:lineRule="auto"/>
        <w:tabs>
          <w:tab w:leader="none" w:pos="64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The Company hereby grants to the individual named above (“Participant”) under the Plan as a separate incentive and not in lieu of any salary or other compensation for Participant’s services, an Award of Restricted Stock Units, subject to all of the terms and conditions in this Award Agreement and the Plan, which is incorporated herein by reference. In the event of a conflict between the terms and conditions of the Plan and the terms and conditions of this Award Agreement, the terms and conditions of the Plan will prevail.</w:t>
      </w:r>
    </w:p>
    <w:p>
      <w:pPr>
        <w:spacing w:after="0" w:line="131" w:lineRule="exact"/>
        <w:rPr>
          <w:rFonts w:ascii="Times New Roman" w:cs="Times New Roman" w:eastAsia="Times New Roman" w:hAnsi="Times New Roman"/>
          <w:sz w:val="18"/>
          <w:szCs w:val="18"/>
          <w:color w:val="auto"/>
        </w:rPr>
      </w:pPr>
    </w:p>
    <w:p>
      <w:pPr>
        <w:jc w:val="both"/>
        <w:ind w:firstLine="8"/>
        <w:spacing w:after="0" w:line="217" w:lineRule="auto"/>
        <w:tabs>
          <w:tab w:leader="none" w:pos="64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 The Restricted Stock Units awarded by this Award Agreement will vest in accordance with the vesting provisions set forth in this Award Agreement. Unless otherwise provided in the vesting provisions set forth in this Award Agreement, Restricted Stock Units scheduled to vest on a certain date or upon the occurrence of a certain condition will not vest in Participant in accordance with any of the provisions of this Award Agreement, unless Participant has been continuously a Service Provider from the Date of Grant until the date such vesting is scheduled to occur. For the avoidance of doubt, unless otherwise set forth in Section 4 of this Award Agreement, employment or other service during only a portion of the vesting period until the respective vesting date shall not entitle Participant to vest in a pro rata portion of the Restricted Stock Units scheduled to vest on such date.</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990" w:type="dxa"/>
        <w:tblCellMar>
          <w:top w:w="0" w:type="dxa"/>
          <w:left w:w="0" w:type="dxa"/>
          <w:bottom w:w="0" w:type="dxa"/>
          <w:right w:w="0" w:type="dxa"/>
        </w:tblCellMar>
      </w:tblPr>
      <w:tr>
        <w:trPr>
          <w:trHeight w:val="189"/>
        </w:trPr>
        <w:tc>
          <w:tcPr>
            <w:tcW w:w="3940" w:type="dxa"/>
            <w:vAlign w:val="bottom"/>
            <w:tcBorders>
              <w:top w:val="single" w:sz="8" w:color="auto"/>
              <w:left w:val="single" w:sz="8" w:color="auto"/>
              <w:right w:val="single" w:sz="8" w:color="auto"/>
            </w:tcBorders>
            <w:vMerge w:val="restart"/>
            <w:shd w:val="clear" w:color="auto" w:fill="E7E6E6"/>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Vesting Date</w:t>
            </w:r>
          </w:p>
        </w:tc>
        <w:tc>
          <w:tcPr>
            <w:tcW w:w="3280" w:type="dxa"/>
            <w:vAlign w:val="bottom"/>
            <w:tcBorders>
              <w:top w:val="single" w:sz="8" w:color="auto"/>
              <w:right w:val="single" w:sz="8" w:color="auto"/>
            </w:tcBorders>
            <w:shd w:val="clear" w:color="auto" w:fill="E7E6E6"/>
          </w:tcPr>
          <w:p>
            <w:pPr>
              <w:jc w:val="center"/>
              <w:ind w:left="510"/>
              <w:spacing w:after="0" w:line="189" w:lineRule="exact"/>
              <w:rPr>
                <w:sz w:val="20"/>
                <w:szCs w:val="20"/>
                <w:color w:val="auto"/>
              </w:rPr>
            </w:pPr>
            <w:r>
              <w:rPr>
                <w:rFonts w:ascii="Times New Roman" w:cs="Times New Roman" w:eastAsia="Times New Roman" w:hAnsi="Times New Roman"/>
                <w:sz w:val="18"/>
                <w:szCs w:val="18"/>
                <w:b w:val="1"/>
                <w:bCs w:val="1"/>
                <w:color w:val="auto"/>
                <w:w w:val="98"/>
              </w:rPr>
              <w:t>Number of Time-Vested</w:t>
            </w:r>
          </w:p>
        </w:tc>
        <w:tc>
          <w:tcPr>
            <w:tcW w:w="0" w:type="dxa"/>
            <w:vAlign w:val="bottom"/>
          </w:tcPr>
          <w:p>
            <w:pPr>
              <w:spacing w:after="0"/>
              <w:rPr>
                <w:sz w:val="1"/>
                <w:szCs w:val="1"/>
                <w:color w:val="auto"/>
              </w:rPr>
            </w:pPr>
          </w:p>
        </w:tc>
      </w:tr>
      <w:tr>
        <w:trPr>
          <w:trHeight w:val="148"/>
        </w:trPr>
        <w:tc>
          <w:tcPr>
            <w:tcW w:w="3940" w:type="dxa"/>
            <w:vAlign w:val="bottom"/>
            <w:tcBorders>
              <w:left w:val="single" w:sz="8" w:color="auto"/>
              <w:right w:val="single" w:sz="8" w:color="auto"/>
            </w:tcBorders>
            <w:vMerge w:val="continue"/>
            <w:shd w:val="clear" w:color="auto" w:fill="E7E6E6"/>
          </w:tcPr>
          <w:p>
            <w:pPr>
              <w:spacing w:after="0"/>
              <w:rPr>
                <w:sz w:val="12"/>
                <w:szCs w:val="12"/>
                <w:color w:val="auto"/>
              </w:rPr>
            </w:pPr>
          </w:p>
        </w:tc>
        <w:tc>
          <w:tcPr>
            <w:tcW w:w="3280" w:type="dxa"/>
            <w:vAlign w:val="bottom"/>
            <w:tcBorders>
              <w:right w:val="single" w:sz="8" w:color="auto"/>
            </w:tcBorders>
            <w:vMerge w:val="restart"/>
            <w:shd w:val="clear" w:color="auto" w:fill="E7E6E6"/>
          </w:tcPr>
          <w:p>
            <w:pPr>
              <w:ind w:left="400"/>
              <w:spacing w:after="0"/>
              <w:rPr>
                <w:sz w:val="20"/>
                <w:szCs w:val="20"/>
                <w:color w:val="auto"/>
              </w:rPr>
            </w:pPr>
            <w:r>
              <w:rPr>
                <w:rFonts w:ascii="Times New Roman" w:cs="Times New Roman" w:eastAsia="Times New Roman" w:hAnsi="Times New Roman"/>
                <w:sz w:val="18"/>
                <w:szCs w:val="18"/>
                <w:b w:val="1"/>
                <w:bCs w:val="1"/>
                <w:color w:val="auto"/>
              </w:rPr>
              <w:t>Restricted Stock Units that Vest</w:t>
            </w:r>
          </w:p>
        </w:tc>
        <w:tc>
          <w:tcPr>
            <w:tcW w:w="0" w:type="dxa"/>
            <w:vAlign w:val="bottom"/>
          </w:tcPr>
          <w:p>
            <w:pPr>
              <w:spacing w:after="0"/>
              <w:rPr>
                <w:sz w:val="1"/>
                <w:szCs w:val="1"/>
                <w:color w:val="auto"/>
              </w:rPr>
            </w:pPr>
          </w:p>
        </w:tc>
      </w:tr>
      <w:tr>
        <w:trPr>
          <w:trHeight w:val="92"/>
        </w:trPr>
        <w:tc>
          <w:tcPr>
            <w:tcW w:w="3940" w:type="dxa"/>
            <w:vAlign w:val="bottom"/>
            <w:tcBorders>
              <w:left w:val="single" w:sz="8" w:color="auto"/>
              <w:bottom w:val="single" w:sz="8" w:color="auto"/>
              <w:right w:val="single" w:sz="8" w:color="auto"/>
            </w:tcBorders>
            <w:shd w:val="clear" w:color="auto" w:fill="E7E6E6"/>
          </w:tcPr>
          <w:p>
            <w:pPr>
              <w:spacing w:after="0"/>
              <w:rPr>
                <w:sz w:val="8"/>
                <w:szCs w:val="8"/>
                <w:color w:val="auto"/>
              </w:rPr>
            </w:pPr>
          </w:p>
        </w:tc>
        <w:tc>
          <w:tcPr>
            <w:tcW w:w="3280" w:type="dxa"/>
            <w:vAlign w:val="bottom"/>
            <w:tcBorders>
              <w:bottom w:val="single" w:sz="8" w:color="auto"/>
              <w:right w:val="single" w:sz="8" w:color="auto"/>
            </w:tcBorders>
            <w:vMerge w:val="continue"/>
            <w:shd w:val="clear" w:color="auto" w:fill="E7E6E6"/>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3940" w:type="dxa"/>
            <w:vAlign w:val="bottom"/>
            <w:tcBorders>
              <w:left w:val="single" w:sz="8" w:color="auto"/>
              <w:bottom w:val="single" w:sz="8" w:color="auto"/>
              <w:right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[insert]</w:t>
            </w:r>
          </w:p>
        </w:tc>
        <w:tc>
          <w:tcPr>
            <w:tcW w:w="3280" w:type="dxa"/>
            <w:vAlign w:val="bottom"/>
            <w:tcBorders>
              <w:bottom w:val="single" w:sz="8" w:color="auto"/>
              <w:right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660" w:hanging="652"/>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firstLine="656"/>
        <w:spacing w:after="0" w:line="220" w:lineRule="auto"/>
        <w:tabs>
          <w:tab w:leader="none" w:pos="1293"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7 hereof, promptly following each applicable vesting date (including any accelerated vesting date under Section 4), and in any event within forty-five (45) days thereof, the Company shall, in the Administrator’s sole discretion, either (i) pay to Participant an amount in cash equal to the Fair Market Value of the Shares represented by the RSUs that vested as of the most recent vesting date or (ii) (a) issue and deliver to the Participant the number of Shares equal to the number of vested Restricted Stock Units and (b) enter Participant’s name on the books of the Company as the stockholder of record with respect to the Shares delivered to Participant.</w:t>
      </w:r>
    </w:p>
    <w:p>
      <w:pPr>
        <w:spacing w:after="0" w:line="13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Status as a Service Provider.</w:t>
      </w:r>
    </w:p>
    <w:p>
      <w:pPr>
        <w:spacing w:after="0" w:line="144" w:lineRule="exact"/>
        <w:rPr>
          <w:rFonts w:ascii="Times New Roman" w:cs="Times New Roman" w:eastAsia="Times New Roman" w:hAnsi="Times New Roman"/>
          <w:sz w:val="18"/>
          <w:szCs w:val="18"/>
          <w:color w:val="auto"/>
        </w:rPr>
      </w:pPr>
    </w:p>
    <w:p>
      <w:pPr>
        <w:ind w:right="20" w:firstLine="656"/>
        <w:spacing w:after="0" w:line="250" w:lineRule="auto"/>
        <w:tabs>
          <w:tab w:leader="none" w:pos="1293"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Death or Disability</w:t>
      </w:r>
      <w:r>
        <w:rPr>
          <w:rFonts w:ascii="Times New Roman" w:cs="Times New Roman" w:eastAsia="Times New Roman" w:hAnsi="Times New Roman"/>
          <w:sz w:val="18"/>
          <w:szCs w:val="18"/>
          <w:color w:val="auto"/>
        </w:rPr>
        <w:t>. If Participant’s status as a Service Provider is terminated due to death or Disability before this Award is vested in full, this Award shall automatically and immediately vest in full.</w:t>
      </w:r>
    </w:p>
    <w:p>
      <w:pPr>
        <w:spacing w:after="0" w:line="108" w:lineRule="exact"/>
        <w:rPr>
          <w:rFonts w:ascii="Times New Roman" w:cs="Times New Roman" w:eastAsia="Times New Roman" w:hAnsi="Times New Roman"/>
          <w:sz w:val="18"/>
          <w:szCs w:val="18"/>
          <w:color w:val="auto"/>
        </w:rPr>
      </w:pPr>
    </w:p>
    <w:p>
      <w:pPr>
        <w:jc w:val="both"/>
        <w:ind w:firstLine="656"/>
        <w:spacing w:after="0" w:line="217" w:lineRule="auto"/>
        <w:tabs>
          <w:tab w:leader="none" w:pos="129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Retirement</w:t>
      </w:r>
      <w:r>
        <w:rPr>
          <w:rFonts w:ascii="Times New Roman" w:cs="Times New Roman" w:eastAsia="Times New Roman" w:hAnsi="Times New Roman"/>
          <w:sz w:val="18"/>
          <w:szCs w:val="18"/>
          <w:color w:val="auto"/>
        </w:rPr>
        <w:t>. If Participant’s status as a Service Provider is terminated due to Retirement (as defined herein) before this Award is vested in full, Participant shall become vested at the time of Retirement, with respect to that number of Restricted Stock Units that would next become vested under the Award multiplied by a fraction, the numerator of which is the number of days that have elapsed since the last vesting date and the denominator of which is 365. Any portion of this Award that is not vested following application of the preceding sentence shall terminate and automatically be cancelled as of the date of Participant’s Retirement. For purposes of this Award Agreement, “Retirement” shall mean Participant’s resignation from the Company (or the Subsidiary employing or retaining Participant) on or after the date on which the sum of (i) Participant’s age (rounded down to the nearest whole month) plus (ii) the number of years (rounded down to the nearest whole month) that Participant has been a Service Provider, equals or is greater than seventy-five (75).</w:t>
      </w:r>
    </w:p>
    <w:p>
      <w:pPr>
        <w:spacing w:after="0" w:line="13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foregoing, if the Company receives a legal opinion that there has been a legal judgment and/or legal development in Participant’s jurisdiction that likely would result in the favorable treatment that applies to the Award when Participant’s status as a Service Provider terminates as a result of Participant’s Retirement being deemed unlawful and/or discriminatory, the provisions of this Section 4(b) regarding the treatment of the Award when Participant’s status as a Service Provider terminates as a result of Participant’s Retirement will not be applicable to Participant and the remaining provisions of this Award Agreement will govern.</w:t>
      </w:r>
    </w:p>
    <w:p>
      <w:pPr>
        <w:spacing w:after="0" w:line="143" w:lineRule="exact"/>
        <w:rPr>
          <w:sz w:val="20"/>
          <w:szCs w:val="20"/>
          <w:color w:val="auto"/>
        </w:rPr>
      </w:pPr>
    </w:p>
    <w:p>
      <w:pPr>
        <w:ind w:firstLine="656"/>
        <w:spacing w:after="0" w:line="237" w:lineRule="auto"/>
        <w:tabs>
          <w:tab w:leader="none" w:pos="1293"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Without Cause</w:t>
      </w:r>
      <w:r>
        <w:rPr>
          <w:rFonts w:ascii="Times New Roman" w:cs="Times New Roman" w:eastAsia="Times New Roman" w:hAnsi="Times New Roman"/>
          <w:sz w:val="18"/>
          <w:szCs w:val="18"/>
          <w:color w:val="auto"/>
        </w:rPr>
        <w:t>. If Participant’s status as a Service Provider is terminated by the Company without Cause before this Award is vested in full, the Award shall automatically and immediately vest in full.</w:t>
      </w:r>
    </w:p>
    <w:p>
      <w:pPr>
        <w:spacing w:after="0" w:line="131" w:lineRule="exact"/>
        <w:rPr>
          <w:rFonts w:ascii="Times New Roman" w:cs="Times New Roman" w:eastAsia="Times New Roman" w:hAnsi="Times New Roman"/>
          <w:sz w:val="18"/>
          <w:szCs w:val="18"/>
          <w:color w:val="auto"/>
        </w:rPr>
      </w:pPr>
    </w:p>
    <w:p>
      <w:pPr>
        <w:jc w:val="both"/>
        <w:ind w:firstLine="656"/>
        <w:spacing w:after="0" w:line="210" w:lineRule="auto"/>
        <w:tabs>
          <w:tab w:leader="none" w:pos="129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Following Change in Control</w:t>
      </w:r>
      <w:r>
        <w:rPr>
          <w:rFonts w:ascii="Times New Roman" w:cs="Times New Roman" w:eastAsia="Times New Roman" w:hAnsi="Times New Roman"/>
          <w:sz w:val="18"/>
          <w:szCs w:val="18"/>
          <w:color w:val="auto"/>
        </w:rPr>
        <w:t>. If the Award is assumed by the successor corporation or an affiliate thereof in connection with the Change in Control and Participant’s status as a Service Provider is terminated by the Company (or the Subsidiary employing or retaining Participant) other than for Cause, or by Participant for Good Reason, within twenty-four (24) months following a Change in Control, this Award shall automatically and immediately vest in full. For purposes of this Award Agreement, “Good Reason” shall mean: (i) a material reduction in Participant’s authority, duties or responsibilities; (ii) a material reduction in Participant’s base salary or bonus opportunity (other than a general reduction in base salary that affects all similarly situated executives in substantially the same proportions); or (iii) any material breach by the Company of any material provision of this Agreement. However, Good Reason shall not be deemed to exist unless (x) Participant shall have given written notice to the Company specifying in reasonable detail the circumstances that Participant alleges constitute Good Reason within thirty (30) calendar days of learning of such act or omission and</w:t>
      </w:r>
    </w:p>
    <w:p>
      <w:pPr>
        <w:spacing w:after="0" w:line="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failed to cure any such circumstances within thirty (30) calendar days of receipt of such written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8"/>
        <w:spacing w:after="0" w:line="224" w:lineRule="auto"/>
        <w:tabs>
          <w:tab w:leader="none" w:pos="64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upon Termination of Status as a Service Provider</w:t>
      </w:r>
      <w:r>
        <w:rPr>
          <w:rFonts w:ascii="Times New Roman" w:cs="Times New Roman" w:eastAsia="Times New Roman" w:hAnsi="Times New Roman"/>
          <w:sz w:val="18"/>
          <w:szCs w:val="18"/>
          <w:color w:val="auto"/>
        </w:rPr>
        <w:t>. Notwithstanding any contrary provision of this Award Agreement, but subject to the vesting provisions set forth in this Award Agreement and Section 4 above, the balance of the Restricted Stock Units that have not vested at the time of Participant’s termination as a Service Provider for any reason will be forfeited (with no consideration due to Participant) and Participant will have no further rights thereunder.</w:t>
      </w:r>
    </w:p>
    <w:p>
      <w:pPr>
        <w:spacing w:after="0" w:line="131" w:lineRule="exact"/>
        <w:rPr>
          <w:rFonts w:ascii="Times New Roman" w:cs="Times New Roman" w:eastAsia="Times New Roman" w:hAnsi="Times New Roman"/>
          <w:sz w:val="18"/>
          <w:szCs w:val="18"/>
          <w:color w:val="auto"/>
        </w:rPr>
      </w:pPr>
    </w:p>
    <w:p>
      <w:pPr>
        <w:jc w:val="both"/>
        <w:ind w:firstLine="8"/>
        <w:spacing w:after="0" w:line="220" w:lineRule="auto"/>
        <w:tabs>
          <w:tab w:leader="none" w:pos="64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of Participant</w:t>
      </w:r>
      <w:r>
        <w:rPr>
          <w:rFonts w:ascii="Times New Roman" w:cs="Times New Roman" w:eastAsia="Times New Roman" w:hAnsi="Times New Roman"/>
          <w:sz w:val="18"/>
          <w:szCs w:val="18"/>
          <w:color w:val="auto"/>
        </w:rPr>
        <w:t>. Notwithstanding any provision of this Award Agreement to the contrary, any distribution or delivery to be made to Participant under this Award Agreement will, if Participant is then deceased, be made to the administrator or executor of Participant’s estate, Participant’s legal heirs or, provided such designation has been permitted by the Company and/or is valid under Applicable Laws, Participant’s designated beneficiary.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3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Responsibility for Taxes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80" w:firstLine="657"/>
        <w:spacing w:after="0" w:line="253" w:lineRule="auto"/>
        <w:tabs>
          <w:tab w:leader="none" w:pos="1292"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and agrees that, regardless of any action taken by the Company or, if different, the Subsidiary to which Participant is providing services (the “Service Recipient”), the ultimate liability for all income tax, social insurance, payroll tax, fringe benefits tax, payment on account or other tax-related items related to Participant’s participation in the Plan and legally applicable to Participant (“Tax-Related Items”) is and remains Participant’s responsibility and may exceed the amount, if any, actually withheld by the Company or the Service Recipient. Participant further acknowledges that the Company and/or the Service Recipient: (i) make no representations or undertakings regarding the treatment of any Tax-Related Items in connection with any aspect of the Restricted Stock Units, including, but not limited to, the grant or vesting of the Restricted Stock Units, or the subsequent sale of Shares acquired at vesting and the receipt of any dividends; and (ii) do not commit to and are under no obligation to structure the terms of the grant or any aspect of the Restricted Stock Units to reduce or eliminate the Participant’s liability for Tax-Related Items or achieve any particular tax result. Further, if Participant is subject to Tax-Related Items in more than one jurisdiction, Participant acknowledges that the Company and/or the Service Recipient (or former service recipient, as applicable) may be required to withhold or account for Tax-Related Items in more than one jurisdiction.</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129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relevant taxable or tax withholding event, as applicable, Participant agrees to make adequate arrangements satisfactory to the Company and/or the Service Recipient to satisfy all Tax-Related Items. In this regard, Participant authorizes the Company and/or the Service Recipient, or their respective agents, at their discretion, to satisfy any applicable withholding obligations with regard to all Tax-Related Items by one or a combination of the following: (i) withholding from Participant’s salary, wages or other compensation payable to Participant by the Company and/or the Service Recipient; (ii) withholding from proceeds of the sale of the Shares subject to the Restricted Stock Units either through a voluntary sale or through a mandatory sale arranged by the Company (on Participant’s behalf pursuant to this authorization without further consent); (iii) withholding Shares subject to the Restricted Stock Units; or (iv) any method determined by the Administrator to be in compliance with Applicable Laws. Notwithstanding the foregoing, if Participant is subject to Section 16 of the Exchange Act at the time the withholding obligation for Tax-Related Items becomes due, the Administrator will satisfy any applicable withholding obligation by directing the Company to withhold Shares subject to the Restricted Stock Units (except in the case of U.S. Federal Insurance Contribution Act taxes or other Tax-Related Items which become payable in a year prior to the year in which the Shares are issued).</w:t>
      </w:r>
    </w:p>
    <w:p>
      <w:pPr>
        <w:spacing w:after="0" w:line="194" w:lineRule="exact"/>
        <w:rPr>
          <w:rFonts w:ascii="Times New Roman" w:cs="Times New Roman" w:eastAsia="Times New Roman" w:hAnsi="Times New Roman"/>
          <w:sz w:val="18"/>
          <w:szCs w:val="18"/>
          <w:color w:val="auto"/>
        </w:rPr>
      </w:pPr>
    </w:p>
    <w:p>
      <w:pPr>
        <w:jc w:val="both"/>
        <w:ind w:firstLine="656"/>
        <w:spacing w:after="0" w:line="256" w:lineRule="auto"/>
        <w:tabs>
          <w:tab w:leader="none" w:pos="1293"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and/or the Service Recipient may withhold or account for Tax-Related Items by considering statutory withholding amounts or other applicable withholding rates, including maximum rates applicable in Participant’s jurisdiction(s). In the event of over-withholding, Participant may receive a refund of any over-withheld amount in cash (with no entitlement to the equivalent in Shares), or if not refunded, Participant may seek a refund from local tax authorities. In the event of under-withholding, Participant may be required to pay any additional Tax-Related Items directly to the applicable tax authority or to the Company and/or the Service Recipient. If the obligation for Tax-Related Items is satisfied by withholding Shares, for tax purposes, Participant is deemed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-4215130</wp:posOffset>
            </wp:positionV>
            <wp:extent cx="25400" cy="1289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3">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have received the full number of Shares subject to the vested Restricted Stock Units, notwithstanding that a number of the Shares is held back solely for the purpose of paying the Tax-Related Items.</w:t>
      </w:r>
    </w:p>
    <w:p>
      <w:pPr>
        <w:spacing w:after="0" w:line="162" w:lineRule="exact"/>
        <w:rPr>
          <w:sz w:val="20"/>
          <w:szCs w:val="20"/>
          <w:color w:val="auto"/>
        </w:rPr>
      </w:pPr>
    </w:p>
    <w:p>
      <w:pPr>
        <w:jc w:val="both"/>
        <w:ind w:firstLine="656"/>
        <w:spacing w:after="0" w:line="261" w:lineRule="auto"/>
        <w:tabs>
          <w:tab w:leader="none" w:pos="129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agrees to pay to the Company or the Service Recipient any amount of Tax-Related Items that the Company or the Service Recipient may be required to withhold or account for as a result of Participant’s participation in the Plan that cannot be satisfied by the means previously described. The Company may refuse to issue or deliver the Shares or the proceeds of the sale of the Shares acquired upon vesting of the Award, if Participant fails to comply with his or her obligations in connection with the Tax-Related Items.</w:t>
      </w:r>
    </w:p>
    <w:p>
      <w:pPr>
        <w:spacing w:after="0" w:line="166" w:lineRule="exact"/>
        <w:rPr>
          <w:rFonts w:ascii="Times New Roman" w:cs="Times New Roman" w:eastAsia="Times New Roman" w:hAnsi="Times New Roman"/>
          <w:sz w:val="18"/>
          <w:szCs w:val="18"/>
          <w:color w:val="auto"/>
        </w:rPr>
      </w:pPr>
    </w:p>
    <w:p>
      <w:pPr>
        <w:jc w:val="both"/>
        <w:ind w:firstLine="8"/>
        <w:spacing w:after="0" w:line="217" w:lineRule="auto"/>
        <w:tabs>
          <w:tab w:leader="none" w:pos="64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Neither Participant nor any person claiming under or through Participant will have any of the rights or privileges of a stockholder of the Company in respect of any Shares deliverable hereunder unless and until the Restricted Stock Units have vested and are settled by the issuance of Shares in accordance with Section 3, the Share issuance is recorded on the records of the Company or its transfer agents or registrars, and certificates representing such Shares have been issued (if the Shares are certificated or evidence of book entry if the Shares are not certificated) and delivered to Participant. After such vesting, settlement, issuance, recordation and delivery, Participant will have all the rights of a stockholder of the Company with respect to such Shares for which such conditions are met, including voting and receipt of dividends and distributions on such Shares. Participant shall not be entitled to any Dividend Equivalents with respect to the Restricted Stock Units to reflect any dividends payable on Shares.</w:t>
      </w:r>
    </w:p>
    <w:p>
      <w:pPr>
        <w:spacing w:after="0" w:line="134" w:lineRule="exact"/>
        <w:rPr>
          <w:rFonts w:ascii="Times New Roman" w:cs="Times New Roman" w:eastAsia="Times New Roman" w:hAnsi="Times New Roman"/>
          <w:sz w:val="18"/>
          <w:szCs w:val="18"/>
          <w:color w:val="auto"/>
        </w:rPr>
      </w:pPr>
    </w:p>
    <w:p>
      <w:pPr>
        <w:jc w:val="both"/>
        <w:ind w:firstLine="8"/>
        <w:spacing w:after="0" w:line="214" w:lineRule="auto"/>
        <w:tabs>
          <w:tab w:leader="none" w:pos="64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 of Continued Service</w:t>
      </w:r>
      <w:r>
        <w:rPr>
          <w:rFonts w:ascii="Times New Roman" w:cs="Times New Roman" w:eastAsia="Times New Roman" w:hAnsi="Times New Roman"/>
          <w:sz w:val="18"/>
          <w:szCs w:val="18"/>
          <w:color w:val="auto"/>
        </w:rPr>
        <w:t>. PARTICIPANT ACKNOWLEDGES AND AGREES THAT THE VESTING OF THE RESTRICTED STOCK UNITS PURSUANT TO THE VESTING SCHEDULE HEREOF IS EARNED ONLY BY CONTINUING AS A SERVICE PROVIDER AND NOT THROUGH THE ACT OF BEING HIRED, BEING GRANTED THESE RESTRICTED STOCK UNITS OR ACQUIRING SHARES HEREUNDER. PARTICIPANT FURTHER ACKNOWLEDGES AND AGREES THAT THIS AWARD AGREEMENT, THE TRANSACTIONS CONTEMPLATED HEREUNDER AND THE VESTING AND SETTLEMENT SCHEDULE SET FORTH HEREIN DO NOT CONSTITUTE AN EXPRESS OR IMPLIED PROMISE OF CONTINUED ENGAGEMENT AS A SERVICE PROVIDER FOR THE VESTING PERIOD, FOR ANY PERIOD, OR AT ALL, AND WILL NOT INTERFERE IN ANY WAY WITH PARTICIPANT’S RIGHT OR THE RIGHT OF THE COMPANY OR THE SERVICE RECIPIENT, AS APPLICABLE. TO TERMINATE PARTICIPANT’S RELATIONSHIP AS A SERVICE PROVIDER AT ANY TIME, WITH OR WITHOUT CAUSE.</w:t>
      </w:r>
    </w:p>
    <w:p>
      <w:pPr>
        <w:spacing w:after="0" w:line="134" w:lineRule="exact"/>
        <w:rPr>
          <w:rFonts w:ascii="Times New Roman" w:cs="Times New Roman" w:eastAsia="Times New Roman" w:hAnsi="Times New Roman"/>
          <w:sz w:val="18"/>
          <w:szCs w:val="18"/>
          <w:color w:val="auto"/>
        </w:rPr>
      </w:pPr>
    </w:p>
    <w:p>
      <w:pPr>
        <w:jc w:val="both"/>
        <w:ind w:firstLine="8"/>
        <w:spacing w:after="0" w:line="220" w:lineRule="auto"/>
        <w:tabs>
          <w:tab w:leader="none" w:pos="64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Appendix. </w:t>
      </w:r>
      <w:r>
        <w:rPr>
          <w:rFonts w:ascii="Times New Roman" w:cs="Times New Roman" w:eastAsia="Times New Roman" w:hAnsi="Times New Roman"/>
          <w:sz w:val="18"/>
          <w:szCs w:val="18"/>
          <w:color w:val="auto"/>
          <w:highlight w:val="white"/>
        </w:rPr>
        <w:t>For Participants outside the United States, the Restricted Stock Units shall be subject to the general terms and conditions for all non-U.S. Participants and the additional terms and conditions for certain countries set forth in the Appendix attached hereto. Moreover, if Participant relocates from the U.S. to one of the countries included in the Appendix or if Participant relocates between countries included in the Appendix during the vesting period of the Restricted Stock Units, the general terms and conditions for non-U.S. Participants and the additional terms and conditions for such country shall apply to Participant, to the extent the Company determines that the application of such terms and conditions is necessary or advisable for legal or administrative reasons. The Appendix constitutes part of this Award Agreement.</w:t>
      </w:r>
    </w:p>
    <w:p>
      <w:pPr>
        <w:spacing w:after="0" w:line="117" w:lineRule="exact"/>
        <w:rPr>
          <w:rFonts w:ascii="Times New Roman" w:cs="Times New Roman" w:eastAsia="Times New Roman" w:hAnsi="Times New Roman"/>
          <w:sz w:val="18"/>
          <w:szCs w:val="18"/>
          <w:color w:val="auto"/>
        </w:rPr>
      </w:pPr>
    </w:p>
    <w:p>
      <w:pPr>
        <w:jc w:val="both"/>
        <w:ind w:firstLine="8"/>
        <w:spacing w:after="0" w:line="231" w:lineRule="auto"/>
        <w:tabs>
          <w:tab w:leader="none" w:pos="63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Advice Regarding Grant</w:t>
      </w:r>
      <w:r>
        <w:rPr>
          <w:rFonts w:ascii="Times New Roman" w:cs="Times New Roman" w:eastAsia="Times New Roman" w:hAnsi="Times New Roman"/>
          <w:sz w:val="18"/>
          <w:szCs w:val="18"/>
          <w:color w:val="auto"/>
        </w:rPr>
        <w:t>. The Company is not providing any tax, legal or financial advice, nor is the Company making any recommendations regarding participation in the Plan, or Participant’s acquisition or sale of the underlying Shares. Participant acknowledges that he or she should consult with his or her own personal tax, legal and financial advisors regarding participation in the Plan before taking any action related to the Restricted Stock Units.</w:t>
      </w:r>
    </w:p>
    <w:p>
      <w:pPr>
        <w:spacing w:after="0" w:line="131" w:lineRule="exact"/>
        <w:rPr>
          <w:rFonts w:ascii="Times New Roman" w:cs="Times New Roman" w:eastAsia="Times New Roman" w:hAnsi="Times New Roman"/>
          <w:sz w:val="18"/>
          <w:szCs w:val="18"/>
          <w:color w:val="auto"/>
        </w:rPr>
      </w:pPr>
    </w:p>
    <w:p>
      <w:pPr>
        <w:jc w:val="both"/>
        <w:ind w:firstLine="8"/>
        <w:spacing w:after="0" w:line="226" w:lineRule="auto"/>
        <w:tabs>
          <w:tab w:leader="none" w:pos="64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for Notices</w:t>
      </w:r>
      <w:r>
        <w:rPr>
          <w:rFonts w:ascii="Times New Roman" w:cs="Times New Roman" w:eastAsia="Times New Roman" w:hAnsi="Times New Roman"/>
          <w:sz w:val="18"/>
          <w:szCs w:val="18"/>
          <w:color w:val="auto"/>
        </w:rPr>
        <w:t>. Any notice to be given to the Company under the terms of this Award Agreement will be addressed to the Company, in care of its General Counsel at Amkor Technology, Inc., 2045 East Innovation Circle, Tempe, AZ 85284, or at such other address as the Company may hereafter designate in writing.</w:t>
      </w:r>
    </w:p>
    <w:p>
      <w:pPr>
        <w:spacing w:after="0" w:line="130" w:lineRule="exact"/>
        <w:rPr>
          <w:rFonts w:ascii="Times New Roman" w:cs="Times New Roman" w:eastAsia="Times New Roman" w:hAnsi="Times New Roman"/>
          <w:sz w:val="18"/>
          <w:szCs w:val="18"/>
          <w:color w:val="auto"/>
        </w:rPr>
      </w:pPr>
    </w:p>
    <w:p>
      <w:pPr>
        <w:ind w:firstLine="8"/>
        <w:spacing w:after="0" w:line="237" w:lineRule="auto"/>
        <w:tabs>
          <w:tab w:leader="none" w:pos="64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 Participant acknowledges that a waiver by the Company of breach of any provision of this Award Agreement shall not operate or be construed as a waiver of any other provision of this Award Agreement, or of any subsequent breach by Participant or any other participants.</w:t>
      </w:r>
    </w:p>
    <w:p>
      <w:pPr>
        <w:spacing w:after="0" w:line="131" w:lineRule="exact"/>
        <w:rPr>
          <w:rFonts w:ascii="Times New Roman" w:cs="Times New Roman" w:eastAsia="Times New Roman" w:hAnsi="Times New Roman"/>
          <w:sz w:val="18"/>
          <w:szCs w:val="18"/>
          <w:color w:val="auto"/>
        </w:rPr>
      </w:pPr>
    </w:p>
    <w:p>
      <w:pPr>
        <w:jc w:val="both"/>
        <w:ind w:firstLine="8"/>
        <w:spacing w:after="0" w:line="224" w:lineRule="auto"/>
        <w:tabs>
          <w:tab w:leader="none" w:pos="64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is Not Transferable</w:t>
      </w:r>
      <w:r>
        <w:rPr>
          <w:rFonts w:ascii="Times New Roman" w:cs="Times New Roman" w:eastAsia="Times New Roman" w:hAnsi="Times New Roman"/>
          <w:sz w:val="18"/>
          <w:szCs w:val="18"/>
          <w:color w:val="auto"/>
        </w:rPr>
        <w:t>. Except to the limited extent provided in Section 6, the unvested Restricted Stock Units subject to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unvested Restricted Stock Units subject to this grant, or any right or privilege conferred hereby, or upon any attempted sale under any execution, attachment or similar process, this grant and the rights and privileges conferred hereby immediately will become null and void.</w:t>
      </w:r>
    </w:p>
    <w:p>
      <w:pPr>
        <w:spacing w:after="0" w:line="131" w:lineRule="exact"/>
        <w:rPr>
          <w:sz w:val="20"/>
          <w:szCs w:val="20"/>
          <w:color w:val="auto"/>
        </w:rPr>
      </w:pPr>
    </w:p>
    <w:p>
      <w:pPr>
        <w:jc w:val="both"/>
        <w:ind w:firstLine="8"/>
        <w:spacing w:after="0" w:line="231" w:lineRule="auto"/>
        <w:tabs>
          <w:tab w:leader="none" w:pos="64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Agreement</w:t>
      </w:r>
      <w:r>
        <w:rPr>
          <w:rFonts w:ascii="Times New Roman" w:cs="Times New Roman" w:eastAsia="Times New Roman" w:hAnsi="Times New Roman"/>
          <w:sz w:val="18"/>
          <w:szCs w:val="18"/>
          <w:color w:val="auto"/>
        </w:rPr>
        <w:t>. Subject to the limitation on the transferability of this grant contained herein, this Award Agreement will be binding upon and inure to the benefit of the heirs, legatees, legal representatives, successors and assigns of the parties hereto (provided that neither the Restricted Stock Units nor this Award Agreement may be assigned by Participant).</w:t>
      </w:r>
    </w:p>
    <w:p>
      <w:pPr>
        <w:spacing w:after="0" w:line="117" w:lineRule="exact"/>
        <w:rPr>
          <w:rFonts w:ascii="Times New Roman" w:cs="Times New Roman" w:eastAsia="Times New Roman" w:hAnsi="Times New Roman"/>
          <w:sz w:val="18"/>
          <w:szCs w:val="18"/>
          <w:color w:val="auto"/>
        </w:rPr>
      </w:pPr>
    </w:p>
    <w:p>
      <w:pPr>
        <w:jc w:val="both"/>
        <w:ind w:firstLine="8"/>
        <w:spacing w:after="0" w:line="215" w:lineRule="auto"/>
        <w:tabs>
          <w:tab w:leader="none" w:pos="64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Conditions</w:t>
      </w:r>
      <w:r>
        <w:rPr>
          <w:rFonts w:ascii="Times New Roman" w:cs="Times New Roman" w:eastAsia="Times New Roman" w:hAnsi="Times New Roman"/>
          <w:sz w:val="18"/>
          <w:szCs w:val="18"/>
          <w:color w:val="auto"/>
        </w:rPr>
        <w:t>. The Company will not be required to issue any certificate or certificates (or evidence of book entry) for Shares hereunder prior to fulfillment of all the following conditions: (a) the admission of such Shares to listing on all stock exchanges on which such class of stock is then listed; (b) the completion of any registration or other qualification of such Shares under any Applicable Laws or under the rulings or regulations of the U.S. Securities and Exchange Commission or any other U.S. or non-U.S. governmental regulatory body, which the Administrator, in its absolute discretion, deems necessary or advisable; (c) the obtaining of any approval or other clearance from any U.S. or non-U.S. governmental agency, which the Administrator, in its absolute discretion, determines to be necessary or advisable; and (d) the lapse of such reasonable period of time following the date of grant of the Restricted Stock Units as the Administrator may establish from time to time for reasons of administrative convenience. Participant understands that the Company is under no obligation to register or qualify the Shares subject to the Restricted Stock Units with any U.S. state or non-U.S. securities commission or to seek approval or clearance from any governmental authority for the issuance or sale of the Shares. Further, Participant agrees that the Company shall have unilateral authority to amend the Plan and this Award Agreement without Participant’s consent to the extent necessary to comply with Applicable Laws.</w:t>
      </w:r>
    </w:p>
    <w:p>
      <w:pPr>
        <w:spacing w:after="0" w:line="120" w:lineRule="exact"/>
        <w:rPr>
          <w:rFonts w:ascii="Times New Roman" w:cs="Times New Roman" w:eastAsia="Times New Roman" w:hAnsi="Times New Roman"/>
          <w:sz w:val="18"/>
          <w:szCs w:val="18"/>
          <w:color w:val="auto"/>
        </w:rPr>
      </w:pPr>
    </w:p>
    <w:p>
      <w:pPr>
        <w:jc w:val="both"/>
        <w:ind w:firstLine="8"/>
        <w:spacing w:after="0" w:line="220" w:lineRule="auto"/>
        <w:tabs>
          <w:tab w:leader="none" w:pos="64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Authority</w:t>
      </w:r>
      <w:r>
        <w:rPr>
          <w:rFonts w:ascii="Times New Roman" w:cs="Times New Roman" w:eastAsia="Times New Roman" w:hAnsi="Times New Roman"/>
          <w:sz w:val="18"/>
          <w:szCs w:val="18"/>
          <w:color w:val="auto"/>
        </w:rPr>
        <w:t>. The Administrator has the power to interpret the Plan and this Award Agreement and to adopt such rules for the administration, interpretation and application of the Plan and this Award Agreement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spacing w:after="0" w:line="130" w:lineRule="exact"/>
        <w:rPr>
          <w:rFonts w:ascii="Times New Roman" w:cs="Times New Roman" w:eastAsia="Times New Roman" w:hAnsi="Times New Roman"/>
          <w:sz w:val="18"/>
          <w:szCs w:val="18"/>
          <w:color w:val="auto"/>
        </w:rPr>
      </w:pPr>
    </w:p>
    <w:p>
      <w:pPr>
        <w:jc w:val="both"/>
        <w:ind w:firstLine="8"/>
        <w:spacing w:after="0" w:line="224" w:lineRule="auto"/>
        <w:tabs>
          <w:tab w:leader="none" w:pos="64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 and Acceptance</w:t>
      </w:r>
      <w:r>
        <w:rPr>
          <w:rFonts w:ascii="Times New Roman" w:cs="Times New Roman" w:eastAsia="Times New Roman" w:hAnsi="Times New Roman"/>
          <w:sz w:val="18"/>
          <w:szCs w:val="18"/>
          <w:color w:val="auto"/>
        </w:rPr>
        <w:t>. The Company may, in its sole discretion, decide to deliver any documents related to the Restricted Stock Units or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18" w:lineRule="exact"/>
        <w:rPr>
          <w:rFonts w:ascii="Times New Roman" w:cs="Times New Roman" w:eastAsia="Times New Roman" w:hAnsi="Times New Roman"/>
          <w:sz w:val="18"/>
          <w:szCs w:val="18"/>
          <w:color w:val="auto"/>
        </w:rPr>
      </w:pPr>
    </w:p>
    <w:p>
      <w:pPr>
        <w:ind w:firstLine="8"/>
        <w:spacing w:after="0" w:line="250" w:lineRule="auto"/>
        <w:tabs>
          <w:tab w:leader="none" w:pos="64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Captions provided herein are for convenience only and are not to serve as a basis for interpretation or construction of this Award Agreement.</w:t>
      </w:r>
    </w:p>
    <w:p>
      <w:pPr>
        <w:spacing w:after="0" w:line="108" w:lineRule="exact"/>
        <w:rPr>
          <w:rFonts w:ascii="Times New Roman" w:cs="Times New Roman" w:eastAsia="Times New Roman" w:hAnsi="Times New Roman"/>
          <w:sz w:val="18"/>
          <w:szCs w:val="18"/>
          <w:color w:val="auto"/>
        </w:rPr>
      </w:pPr>
    </w:p>
    <w:p>
      <w:pPr>
        <w:ind w:firstLine="8"/>
        <w:spacing w:after="0" w:line="237" w:lineRule="auto"/>
        <w:tabs>
          <w:tab w:leader="none" w:pos="64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Severable</w:t>
      </w:r>
      <w:r>
        <w:rPr>
          <w:rFonts w:ascii="Times New Roman" w:cs="Times New Roman" w:eastAsia="Times New Roman" w:hAnsi="Times New Roman"/>
          <w:sz w:val="18"/>
          <w:szCs w:val="18"/>
          <w:color w:val="auto"/>
        </w:rPr>
        <w:t>. In the event that any provision in this Award Agreement is held invalid or unenforceable, such provision will be severable from, and such invalidity or unenforceability will not be construed to have any effect on, the remaining provisions of this Award Agreement.</w:t>
      </w:r>
    </w:p>
    <w:p>
      <w:pPr>
        <w:spacing w:after="0" w:line="131" w:lineRule="exact"/>
        <w:rPr>
          <w:rFonts w:ascii="Times New Roman" w:cs="Times New Roman" w:eastAsia="Times New Roman" w:hAnsi="Times New Roman"/>
          <w:sz w:val="18"/>
          <w:szCs w:val="18"/>
          <w:color w:val="auto"/>
        </w:rPr>
      </w:pPr>
    </w:p>
    <w:p>
      <w:pPr>
        <w:jc w:val="both"/>
        <w:ind w:firstLine="8"/>
        <w:spacing w:after="0" w:line="224" w:lineRule="auto"/>
        <w:tabs>
          <w:tab w:leader="none" w:pos="64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Modifications to the Award Agreement</w:t>
      </w:r>
      <w:r>
        <w:rPr>
          <w:rFonts w:ascii="Times New Roman" w:cs="Times New Roman" w:eastAsia="Times New Roman" w:hAnsi="Times New Roman"/>
          <w:sz w:val="18"/>
          <w:szCs w:val="18"/>
          <w:color w:val="auto"/>
        </w:rPr>
        <w:t>. The Plan and this Award Agreement constitute the entire understanding of the parties on the subjects covered herein. Participant expressly warrants that he or she is not accepting this Award Agreement in reliance on any promises, representations, or inducements other than those contained herein. Except as otherwise provided herein or in the Plan, modifications to this Award Agreement can be made only in an express written contract executed by Participant and a duly authorized officer of the Company.</w:t>
      </w:r>
    </w:p>
    <w:p>
      <w:pPr>
        <w:spacing w:after="0" w:line="131" w:lineRule="exact"/>
        <w:rPr>
          <w:rFonts w:ascii="Times New Roman" w:cs="Times New Roman" w:eastAsia="Times New Roman" w:hAnsi="Times New Roman"/>
          <w:sz w:val="18"/>
          <w:szCs w:val="18"/>
          <w:color w:val="auto"/>
        </w:rPr>
      </w:pPr>
    </w:p>
    <w:p>
      <w:pPr>
        <w:jc w:val="both"/>
        <w:ind w:firstLine="8"/>
        <w:spacing w:after="0" w:line="215" w:lineRule="auto"/>
        <w:tabs>
          <w:tab w:leader="none" w:pos="64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Code Section 409A</w:t>
      </w:r>
      <w:r>
        <w:rPr>
          <w:rFonts w:ascii="Times New Roman" w:cs="Times New Roman" w:eastAsia="Times New Roman" w:hAnsi="Times New Roman"/>
          <w:sz w:val="18"/>
          <w:szCs w:val="18"/>
          <w:color w:val="auto"/>
        </w:rPr>
        <w:t>. The Award Agreement is intended to comply with, or be exempt from, Code Section 409A and all regulations, guidance, compliance programs and other interpretative authority thereunder, and shall be interpreted in a manner consistent therewith. Notwithstanding anything contained herein to the contrary, in the event the Award Agreement is subject to Code Section 409A, the Company may, in its sole discretion and without Participant’s prior consent, amend the Plan and/or the Award Agreement, adopt policies and procedures, or take any other actions as deemed appropriate by the Company to (i) exempt the Plan and/or the Award Agreement from the application of Code Section 409A, (ii) preserve the intended tax treatment of the Award Agreement or (iii) comply with the requirements of Code Section 409A. Notwithstanding anything contained herein to the contrary, in no event shall the Company or any Subsidiary have any liability or obligation to any Participant or any other person in the event that the Plan or the Award Agreement is not exempt from, or compliant with, Code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Furthermore, notwithstanding anything in this Agreement to the contrary, any Restricted Stock Units that become vested under this Agreement as of the date or at a time that is by reference to Participant’s termination as a Service Provider and that constitute an item of non-qualified deferred compensation subject to Code Section 409A shall not be settled unless Participant experiences a “separation from service” within the meaning of Code Section 409A (a “Separation from Service”); provided that if Participant is a “specified employee” within the meaning of Code Section 409A as of the date of the Separation from Service (as determined according to the methodology established by the Company as in effect on the date of Participant’s termination as a Service Provider), the Restricted Stock Units shall instead be settled on the first business day that is after the earlier of (i) the date that is six months following the date of the Separation from Service or (ii) the date of Participant’s death, to the extent such delayed payment is otherwise required in order to avoid a prohibited distribution under Section 409A(a)(2) of the Code, or any successor provision thereto.</w:t>
      </w:r>
    </w:p>
    <w:p>
      <w:pPr>
        <w:spacing w:after="0" w:line="138" w:lineRule="exact"/>
        <w:rPr>
          <w:sz w:val="20"/>
          <w:szCs w:val="20"/>
          <w:color w:val="auto"/>
        </w:rPr>
      </w:pPr>
    </w:p>
    <w:p>
      <w:pPr>
        <w:jc w:val="both"/>
        <w:ind w:firstLine="8"/>
        <w:spacing w:after="0" w:line="231" w:lineRule="auto"/>
        <w:tabs>
          <w:tab w:leader="none" w:pos="64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Plan</w:t>
      </w:r>
      <w:r>
        <w:rPr>
          <w:rFonts w:ascii="Times New Roman" w:cs="Times New Roman" w:eastAsia="Times New Roman" w:hAnsi="Times New Roman"/>
          <w:sz w:val="18"/>
          <w:szCs w:val="18"/>
          <w:color w:val="auto"/>
        </w:rPr>
        <w:t>. By accepting the Restricted Stock Units, Participant expressly warrants that he or she has received an Award of Restricted Stock Units under the Plan, and has received, read and understands the Plan. Participant understands that the Plan is discretionary in nature and may be amended, suspended or terminated by the Company at any time, to the extent permitted by the Plan.</w:t>
      </w:r>
    </w:p>
    <w:p>
      <w:pPr>
        <w:spacing w:after="0" w:line="131" w:lineRule="exact"/>
        <w:rPr>
          <w:rFonts w:ascii="Times New Roman" w:cs="Times New Roman" w:eastAsia="Times New Roman" w:hAnsi="Times New Roman"/>
          <w:sz w:val="18"/>
          <w:szCs w:val="18"/>
          <w:color w:val="auto"/>
        </w:rPr>
      </w:pPr>
    </w:p>
    <w:p>
      <w:pPr>
        <w:jc w:val="both"/>
        <w:ind w:firstLine="8"/>
        <w:spacing w:after="0" w:line="224" w:lineRule="auto"/>
        <w:tabs>
          <w:tab w:leader="none" w:pos="64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Venue</w:t>
      </w:r>
      <w:r>
        <w:rPr>
          <w:rFonts w:ascii="Times New Roman" w:cs="Times New Roman" w:eastAsia="Times New Roman" w:hAnsi="Times New Roman"/>
          <w:sz w:val="18"/>
          <w:szCs w:val="18"/>
          <w:color w:val="auto"/>
        </w:rPr>
        <w:t>. This Award Agreement will be governed by the laws of the State of Delaware, without giving effect to the conflict of law principles thereof. For purposes of litigating any dispute that arises under this Award or this Award Agreement, the parties hereby submit to and consent to the exclusive jurisdiction of the State of Arizona, and agree that such litigation will be conducted solely in the courts of Maricopa County, Arizona, or the federal courts for the United States for the District of Arizona in Maricopa County, Arizona, and no other courts.</w:t>
      </w:r>
    </w:p>
    <w:p>
      <w:pPr>
        <w:spacing w:after="0" w:line="118" w:lineRule="exact"/>
        <w:rPr>
          <w:rFonts w:ascii="Times New Roman" w:cs="Times New Roman" w:eastAsia="Times New Roman" w:hAnsi="Times New Roman"/>
          <w:sz w:val="18"/>
          <w:szCs w:val="18"/>
          <w:color w:val="auto"/>
        </w:rPr>
      </w:pPr>
    </w:p>
    <w:p>
      <w:pPr>
        <w:jc w:val="both"/>
        <w:ind w:firstLine="8"/>
        <w:spacing w:after="0" w:line="215" w:lineRule="auto"/>
        <w:tabs>
          <w:tab w:leader="none" w:pos="64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Insider Trading Restrictions/Market Abuse Laws</w:t>
      </w:r>
      <w:r>
        <w:rPr>
          <w:rFonts w:ascii="Times New Roman" w:cs="Times New Roman" w:eastAsia="Times New Roman" w:hAnsi="Times New Roman"/>
          <w:sz w:val="18"/>
          <w:szCs w:val="18"/>
          <w:color w:val="auto"/>
        </w:rPr>
        <w:t>. By accepting the Restricted Stock Units, Participant acknowledges that he or she is bound by all the terms and conditions of the Company’s insider trading policy as may be in effect from time to time. Participant further acknowledges that, depending on Participant’s or his or her broker’s country or the country in which the Shares are listed, he or she may be subject to insider trading restrictions and/or market abuse laws which may affect Participant’s ability to accept, acquire, sell or otherwise dispose of Shares, rights to Shares, or rights linked to the value of Shares during such times as Participant is considered to have “inside information” regarding the Company (as defined by the laws in the applicable jurisdictions). Local insider trading laws and regulations may prohibit the cancellation or amendment of orders Participant placed before Participant possessed inside information. Furthermore, Participant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the Company’s insider trading policy as may be in effect from time to time. Participant acknowledges that it is Participant’s responsibility to comply with any applicable restrictions, and Participant should speak to his or her personal advisor on this matter.</w:t>
      </w:r>
    </w:p>
    <w:p>
      <w:pPr>
        <w:spacing w:after="0" w:line="120" w:lineRule="exact"/>
        <w:rPr>
          <w:rFonts w:ascii="Times New Roman" w:cs="Times New Roman" w:eastAsia="Times New Roman" w:hAnsi="Times New Roman"/>
          <w:sz w:val="18"/>
          <w:szCs w:val="18"/>
          <w:color w:val="auto"/>
        </w:rPr>
      </w:pPr>
    </w:p>
    <w:p>
      <w:pPr>
        <w:jc w:val="both"/>
        <w:ind w:firstLine="8"/>
        <w:spacing w:after="0" w:line="223" w:lineRule="auto"/>
        <w:tabs>
          <w:tab w:leader="none" w:pos="64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Participant’s acceptance of the Restricted Stock Units by signing below or by otherwise accepting the Restricted Stock Units following such procedures as established by the Company (including an online acceptance process) constitute Participant’s agreement to be bound by the terms and conditions of this Award Agreement and the Plan. The Company may refuse to allow Participant to vest in the Restricted Stock Units unless Participant has signed this Award Agreement or otherwise accepted the Restricted Stock Units following such procedures as established by the Company (including an online acceptance process).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80"/>
        <w:spacing w:after="0"/>
        <w:tabs>
          <w:tab w:leader="none" w:pos="6180" w:val="left"/>
        </w:tabs>
        <w:rPr>
          <w:sz w:val="20"/>
          <w:szCs w:val="20"/>
          <w:color w:val="auto"/>
        </w:rPr>
      </w:pPr>
      <w:r>
        <w:rPr>
          <w:rFonts w:ascii="Times New Roman" w:cs="Times New Roman" w:eastAsia="Times New Roman" w:hAnsi="Times New Roman"/>
          <w:sz w:val="18"/>
          <w:szCs w:val="18"/>
          <w:b w:val="1"/>
          <w:bCs w:val="1"/>
          <w:color w:val="auto"/>
        </w:rPr>
        <w:t>Participant</w:t>
      </w:r>
      <w:r>
        <w:rPr>
          <w:sz w:val="20"/>
          <w:szCs w:val="20"/>
          <w:color w:val="auto"/>
        </w:rPr>
        <w:tab/>
      </w:r>
      <w:r>
        <w:rPr>
          <w:rFonts w:ascii="Times New Roman" w:cs="Times New Roman" w:eastAsia="Times New Roman" w:hAnsi="Times New Roman"/>
          <w:sz w:val="18"/>
          <w:szCs w:val="18"/>
          <w:b w:val="1"/>
          <w:bCs w:val="1"/>
          <w:color w:val="auto"/>
        </w:rPr>
        <w:t>Amkor Technology,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APPENDIX TO</w:t>
      </w:r>
    </w:p>
    <w:p>
      <w:pPr>
        <w:spacing w:after="0" w:line="5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 TIME-VESTED RESTRICTED STOCK UNIT AWARD AGREEMENT</w:t>
      </w:r>
    </w:p>
    <w:p>
      <w:pPr>
        <w:spacing w:after="0" w:line="31" w:lineRule="exact"/>
        <w:rPr>
          <w:sz w:val="20"/>
          <w:szCs w:val="20"/>
          <w:color w:val="auto"/>
        </w:rPr>
      </w:pPr>
    </w:p>
    <w:p>
      <w:pPr>
        <w:jc w:val="both"/>
        <w:ind w:right="20" w:firstLine="648"/>
        <w:spacing w:after="0" w:line="276" w:lineRule="auto"/>
        <w:rPr>
          <w:sz w:val="20"/>
          <w:szCs w:val="20"/>
          <w:color w:val="auto"/>
        </w:rPr>
      </w:pPr>
      <w:r>
        <w:rPr>
          <w:rFonts w:ascii="Times New Roman" w:cs="Times New Roman" w:eastAsia="Times New Roman" w:hAnsi="Times New Roman"/>
          <w:sz w:val="18"/>
          <w:szCs w:val="18"/>
          <w:color w:val="auto"/>
        </w:rPr>
        <w:t>Capitalized terms used but not defined in this Appendix shall have the same meanings assigned to them in the Plan and/or the Global Time-Vested Restricted Stock Unit Award Agreement.</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2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Appendix includes general terms and conditions for all non-U.S. Participants and additional terms and conditions that govern the Restricted Stock Units if Participant works and/or resides in one of the countries listed below. If Participant is a citizen or resident of a country other than the one in which Participant is currently working and/or residing (or is considered as such for local law purposes), or if Participant transfers employment and/or residency to a different country after the Restricted Stock Units are granted, the Company will, in its discretion, determine the extent to which the terms and conditions contained herein will apply to Participant.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7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Appendix also includes information regarding certain other issues of which Participant should be aware with respect to Participant’s participation in the Plan. The information is based on the securities, exchange control and other laws in effect in the respective countries as of March 2021. Such laws are often complex and change frequently. As a result, Participant should not rely on the information noted herein as the only source of information relating to the consequences of participation in the Plan because the information may be out-of-date at the time the Restricted Stock Units vest or Participant sells any Shares acquired under the Plan.</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the information contained herein is general in nature and may not apply to Participant’s particular situation. As a result, the Company is not in a position to assure Participant of any particular result. Accordingly, Participant should seek appropriate professional advice as to how the relevant laws in Participant’s country may apply to Participant’s individual situation.</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Participant is a citizen or resident of a country other than the one in which Participant is currently working and/or residing (or is considered as such for local law purposes), or if Participant transfers employment and/or residency to a different country after the Restricted Stock Units are granted, the information contained in this Appendix may not be applicable to Participant in the same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TERMS AND CONDITIONS APPLICABLE TO ALL NON-U.S. PARTICIPANTS</w:t>
      </w:r>
    </w:p>
    <w:p>
      <w:pPr>
        <w:spacing w:after="0" w:line="293" w:lineRule="exact"/>
        <w:rPr>
          <w:sz w:val="20"/>
          <w:szCs w:val="20"/>
          <w:color w:val="auto"/>
        </w:rPr>
      </w:pPr>
    </w:p>
    <w:p>
      <w:pPr>
        <w:ind w:left="660" w:hanging="328"/>
        <w:spacing w:after="0"/>
        <w:tabs>
          <w:tab w:leader="none" w:pos="660" w:val="left"/>
        </w:tabs>
        <w:numPr>
          <w:ilvl w:val="0"/>
          <w:numId w:val="10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u w:val="single" w:color="auto"/>
          <w:color w:val="auto"/>
        </w:rPr>
        <w:t>Data Privacy Information and Consent</w:t>
      </w:r>
      <w:r>
        <w:rPr>
          <w:rFonts w:ascii="Times New Roman" w:cs="Times New Roman" w:eastAsia="Times New Roman" w:hAnsi="Times New Roman"/>
          <w:sz w:val="18"/>
          <w:szCs w:val="18"/>
          <w:b w:val="1"/>
          <w:bCs w:val="1"/>
          <w:i w:val="1"/>
          <w:iCs w:val="1"/>
          <w:color w:val="auto"/>
        </w:rPr>
        <w:t>.</w:t>
      </w:r>
    </w:p>
    <w:p>
      <w:pPr>
        <w:spacing w:after="0" w:line="265" w:lineRule="exact"/>
        <w:rPr>
          <w:rFonts w:ascii="Times New Roman" w:cs="Times New Roman" w:eastAsia="Times New Roman" w:hAnsi="Times New Roman"/>
          <w:sz w:val="18"/>
          <w:szCs w:val="18"/>
          <w:i w:val="1"/>
          <w:iCs w:val="1"/>
          <w:color w:val="auto"/>
        </w:rPr>
      </w:pPr>
    </w:p>
    <w:p>
      <w:pPr>
        <w:jc w:val="both"/>
        <w:ind w:firstLine="980"/>
        <w:spacing w:after="0" w:line="259" w:lineRule="auto"/>
        <w:tabs>
          <w:tab w:leader="none" w:pos="1290" w:val="left"/>
        </w:tabs>
        <w:numPr>
          <w:ilvl w:val="2"/>
          <w:numId w:val="10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Data Collection and Usage</w:t>
      </w:r>
      <w:r>
        <w:rPr>
          <w:rFonts w:ascii="Times New Roman" w:cs="Times New Roman" w:eastAsia="Times New Roman" w:hAnsi="Times New Roman"/>
          <w:sz w:val="18"/>
          <w:szCs w:val="18"/>
          <w:b w:val="1"/>
          <w:bCs w:val="1"/>
          <w:i w:val="1"/>
          <w:iCs w:val="1"/>
          <w:color w:val="auto"/>
        </w:rPr>
        <w:t>. The Company and the Service Recipient collect, process and use certain personal information about Participant, including, but not limited to, Participant’s name, home address, telephone number, email address, date of birth, social insurance number, passport or other identification number, salary, nationality, job title, any shares or directorships held in the Company, details of all awards granted under the Plan or any other entitlement to shares awarded, canceled, exercised, vested, unvested or outstanding in Participant’s favor (“Data”), for purposes of implementing, administering and managing the Plan. The legal basis, where required, for the processing of Data is Participant’s consent.</w:t>
      </w:r>
    </w:p>
    <w:p>
      <w:pPr>
        <w:spacing w:after="0" w:line="206" w:lineRule="exact"/>
        <w:rPr>
          <w:rFonts w:ascii="Times New Roman" w:cs="Times New Roman" w:eastAsia="Times New Roman" w:hAnsi="Times New Roman"/>
          <w:sz w:val="18"/>
          <w:szCs w:val="18"/>
          <w:b w:val="1"/>
          <w:bCs w:val="1"/>
          <w:i w:val="1"/>
          <w:iCs w:val="1"/>
          <w:color w:val="auto"/>
        </w:rPr>
      </w:pPr>
    </w:p>
    <w:p>
      <w:pPr>
        <w:jc w:val="both"/>
        <w:ind w:firstLine="980"/>
        <w:spacing w:after="0" w:line="259" w:lineRule="auto"/>
        <w:tabs>
          <w:tab w:leader="none" w:pos="1290" w:val="left"/>
        </w:tabs>
        <w:numPr>
          <w:ilvl w:val="2"/>
          <w:numId w:val="10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Stock Plan Administration Service Providers</w:t>
      </w:r>
      <w:r>
        <w:rPr>
          <w:rFonts w:ascii="Times New Roman" w:cs="Times New Roman" w:eastAsia="Times New Roman" w:hAnsi="Times New Roman"/>
          <w:sz w:val="18"/>
          <w:szCs w:val="18"/>
          <w:b w:val="1"/>
          <w:bCs w:val="1"/>
          <w:i w:val="1"/>
          <w:iCs w:val="1"/>
          <w:color w:val="auto"/>
        </w:rPr>
        <w:t>. The Company transfers Data to E*TRADE Financial Corporate Services, Inc. and certain of its affiliates (“E*TRADE”), an independent service provider which is assisting the Company with the implementation, administration and management of the Plan. The Company may select a different service provider or additional service providers and share Data with such other provider serving in a similar manner. Participant may be asked to agree on separate terms and data processing practices with E*TRADE and such other service providers, with such agreement being a condition to the ability to participate in the Plan.</w:t>
      </w:r>
    </w:p>
    <w:p>
      <w:pPr>
        <w:spacing w:after="0" w:line="206" w:lineRule="exact"/>
        <w:rPr>
          <w:rFonts w:ascii="Times New Roman" w:cs="Times New Roman" w:eastAsia="Times New Roman" w:hAnsi="Times New Roman"/>
          <w:sz w:val="18"/>
          <w:szCs w:val="18"/>
          <w:b w:val="1"/>
          <w:bCs w:val="1"/>
          <w:i w:val="1"/>
          <w:iCs w:val="1"/>
          <w:color w:val="auto"/>
        </w:rPr>
      </w:pPr>
    </w:p>
    <w:p>
      <w:pPr>
        <w:jc w:val="both"/>
        <w:ind w:firstLine="885"/>
        <w:spacing w:after="0" w:line="268" w:lineRule="auto"/>
        <w:tabs>
          <w:tab w:leader="none" w:pos="1293" w:val="left"/>
        </w:tabs>
        <w:numPr>
          <w:ilvl w:val="1"/>
          <w:numId w:val="10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International Data Transfers</w:t>
      </w:r>
      <w:r>
        <w:rPr>
          <w:rFonts w:ascii="Times New Roman" w:cs="Times New Roman" w:eastAsia="Times New Roman" w:hAnsi="Times New Roman"/>
          <w:sz w:val="18"/>
          <w:szCs w:val="18"/>
          <w:b w:val="1"/>
          <w:bCs w:val="1"/>
          <w:i w:val="1"/>
          <w:iCs w:val="1"/>
          <w:color w:val="auto"/>
        </w:rPr>
        <w:t>. The Company and E*TRADE are based in the U.S., which means that it will be necessary for Data to be transferred to, and processed in, the U.S. Participant’s country or jurisdiction may have different data privacy laws and protections than the U.S. The Company’s legal basis for the transfer of Data, where required, is Participant’s consent.</w:t>
      </w:r>
    </w:p>
    <w:p>
      <w:pPr>
        <w:spacing w:after="0" w:line="197" w:lineRule="exact"/>
        <w:rPr>
          <w:rFonts w:ascii="Times New Roman" w:cs="Times New Roman" w:eastAsia="Times New Roman" w:hAnsi="Times New Roman"/>
          <w:sz w:val="18"/>
          <w:szCs w:val="18"/>
          <w:b w:val="1"/>
          <w:bCs w:val="1"/>
          <w:i w:val="1"/>
          <w:iCs w:val="1"/>
          <w:color w:val="auto"/>
        </w:rPr>
      </w:pPr>
    </w:p>
    <w:p>
      <w:pPr>
        <w:jc w:val="both"/>
        <w:ind w:firstLine="980"/>
        <w:spacing w:after="0" w:line="259" w:lineRule="auto"/>
        <w:tabs>
          <w:tab w:leader="none" w:pos="1290" w:val="left"/>
        </w:tabs>
        <w:numPr>
          <w:ilvl w:val="2"/>
          <w:numId w:val="10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Data Retention</w:t>
      </w:r>
      <w:r>
        <w:rPr>
          <w:rFonts w:ascii="Times New Roman" w:cs="Times New Roman" w:eastAsia="Times New Roman" w:hAnsi="Times New Roman"/>
          <w:sz w:val="18"/>
          <w:szCs w:val="18"/>
          <w:b w:val="1"/>
          <w:bCs w:val="1"/>
          <w:i w:val="1"/>
          <w:iCs w:val="1"/>
          <w:color w:val="auto"/>
        </w:rPr>
        <w:t>. The Company will hold and use Data only as long as is necessary to implement, administer and manage Participant’s participation in the Plan, or as required to comply with legal or regulatory obligations, including under tax, exchange control, labor and securities laws. This period may extend beyond the Participant’s period as a Service Provider. When the Company and/or the Service Recipient no longer need Data for any of the above purposes, they will cease processing it in this context and remove it from all of their systems used for such purposes to the fullest extent practicable.</w:t>
      </w:r>
    </w:p>
    <w:p>
      <w:pPr>
        <w:spacing w:after="0" w:line="206" w:lineRule="exact"/>
        <w:rPr>
          <w:rFonts w:ascii="Times New Roman" w:cs="Times New Roman" w:eastAsia="Times New Roman" w:hAnsi="Times New Roman"/>
          <w:sz w:val="18"/>
          <w:szCs w:val="18"/>
          <w:b w:val="1"/>
          <w:bCs w:val="1"/>
          <w:i w:val="1"/>
          <w:iCs w:val="1"/>
          <w:color w:val="auto"/>
        </w:rPr>
      </w:pPr>
    </w:p>
    <w:p>
      <w:pPr>
        <w:jc w:val="both"/>
        <w:ind w:firstLine="980"/>
        <w:spacing w:after="0" w:line="259" w:lineRule="auto"/>
        <w:tabs>
          <w:tab w:leader="none" w:pos="1293" w:val="left"/>
        </w:tabs>
        <w:numPr>
          <w:ilvl w:val="2"/>
          <w:numId w:val="10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Voluntariness and Consequences of Consent Denial or Withdrawal</w:t>
      </w:r>
      <w:r>
        <w:rPr>
          <w:rFonts w:ascii="Times New Roman" w:cs="Times New Roman" w:eastAsia="Times New Roman" w:hAnsi="Times New Roman"/>
          <w:sz w:val="18"/>
          <w:szCs w:val="18"/>
          <w:b w:val="1"/>
          <w:bCs w:val="1"/>
          <w:i w:val="1"/>
          <w:iCs w:val="1"/>
          <w:color w:val="auto"/>
        </w:rPr>
        <w:t>. Participation in the Plan is voluntary and Participant is providing the consents herein on a purely voluntary basis. If Participant does not consent, or if Participant later seeks to revoke his or her consent, Participant’s salary from or employment or service with the Service Recipient will not be affected; the only consequence of refusing or withdrawing consent is that the Company would not be able to grant the Restricted Stock Units or other equity awards to Participant under the Plan or administer or maintain such awards.</w:t>
      </w:r>
    </w:p>
    <w:p>
      <w:pPr>
        <w:spacing w:after="0" w:line="206" w:lineRule="exact"/>
        <w:rPr>
          <w:rFonts w:ascii="Times New Roman" w:cs="Times New Roman" w:eastAsia="Times New Roman" w:hAnsi="Times New Roman"/>
          <w:sz w:val="18"/>
          <w:szCs w:val="18"/>
          <w:b w:val="1"/>
          <w:bCs w:val="1"/>
          <w:i w:val="1"/>
          <w:iCs w:val="1"/>
          <w:color w:val="auto"/>
        </w:rPr>
      </w:pPr>
    </w:p>
    <w:p>
      <w:pPr>
        <w:jc w:val="both"/>
        <w:ind w:firstLine="980"/>
        <w:spacing w:after="0" w:line="259" w:lineRule="auto"/>
        <w:tabs>
          <w:tab w:leader="none" w:pos="1287" w:val="left"/>
        </w:tabs>
        <w:numPr>
          <w:ilvl w:val="2"/>
          <w:numId w:val="10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Data Subject Rights.</w:t>
      </w:r>
      <w:r>
        <w:rPr>
          <w:rFonts w:ascii="Times New Roman" w:cs="Times New Roman" w:eastAsia="Times New Roman" w:hAnsi="Times New Roman"/>
          <w:sz w:val="18"/>
          <w:szCs w:val="18"/>
          <w:b w:val="1"/>
          <w:bCs w:val="1"/>
          <w:i w:val="1"/>
          <w:iCs w:val="1"/>
          <w:color w:val="auto"/>
        </w:rPr>
        <w:t xml:space="preserve"> Participant may have a number of rights under data privacy laws in his or her jurisdiction. Depending on where Participant is based, such rights may include the right to (i) request access to or copies of Data the Company processes, (ii) rectify incorrect Data, (iii) delete Data, (iv) restrict the processing of Data, (v) restrict the portability of Data, (vi) lodge complaints with competent authorities in Participant’s jurisdiction, and/or (vii) receive a list with the names and addresses of any potential recipients of Data. To receive clarification regarding these rights or to exercise these rights, Participant can contact his or her local human resources representative.</w:t>
      </w:r>
    </w:p>
    <w:p>
      <w:pPr>
        <w:spacing w:after="0" w:line="206" w:lineRule="exact"/>
        <w:rPr>
          <w:sz w:val="20"/>
          <w:szCs w:val="20"/>
          <w:color w:val="auto"/>
        </w:rPr>
      </w:pPr>
    </w:p>
    <w:p>
      <w:pPr>
        <w:jc w:val="both"/>
        <w:ind w:firstLine="885"/>
        <w:spacing w:after="0" w:line="262" w:lineRule="auto"/>
        <w:tabs>
          <w:tab w:leader="none" w:pos="1290" w:val="left"/>
        </w:tabs>
        <w:numPr>
          <w:ilvl w:val="0"/>
          <w:numId w:val="10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Other Legal Basis and Additional Consent</w:t>
      </w:r>
      <w:r>
        <w:rPr>
          <w:rFonts w:ascii="Times New Roman" w:cs="Times New Roman" w:eastAsia="Times New Roman" w:hAnsi="Times New Roman"/>
          <w:sz w:val="18"/>
          <w:szCs w:val="18"/>
          <w:b w:val="1"/>
          <w:bCs w:val="1"/>
          <w:i w:val="1"/>
          <w:iCs w:val="1"/>
          <w:color w:val="auto"/>
        </w:rPr>
        <w:t>. Participant understands that the Company may rely on a different legal basis for the collection, processing or transfer of Data in the future and/or request Participant to provide another data privacy consent. If applicable, upon request of the Company or the Service Recipient, Participant will provide a separate executed data privacy agreement (or any other agreements or consents) that the Company and/or the Service Recipient may deem necessary to obtain from Participant for the purpose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27" w:right="339" w:bottom="1440" w:gutter="0" w:footer="0" w:header="0"/>
        </w:sectPr>
      </w:pPr>
    </w:p>
    <w:bookmarkStart w:id="160" w:name="page161"/>
    <w:bookmarkEnd w:id="16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administering his or her participation in the Plan in compliance with the data privacy laws in Participant’s country, either now or in the future. Participant understands and agrees that Participant will not be able to participate in the Plan if Participant fails to provide any such agreement requested by the Company and/or the Service Recipient.</w:t>
      </w:r>
    </w:p>
    <w:p>
      <w:pPr>
        <w:spacing w:after="0" w:line="215" w:lineRule="exact"/>
        <w:rPr>
          <w:sz w:val="20"/>
          <w:szCs w:val="20"/>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Grant</w:t>
      </w:r>
      <w:r>
        <w:rPr>
          <w:rFonts w:ascii="Times New Roman" w:cs="Times New Roman" w:eastAsia="Times New Roman" w:hAnsi="Times New Roman"/>
          <w:sz w:val="18"/>
          <w:szCs w:val="18"/>
          <w:color w:val="auto"/>
        </w:rPr>
        <w:t>. By accepting the Restricted Stock Units, Participant acknowledges, understands, and agrees that:</w:t>
      </w:r>
    </w:p>
    <w:p>
      <w:pPr>
        <w:spacing w:after="0" w:line="279" w:lineRule="exact"/>
        <w:rPr>
          <w:rFonts w:ascii="Times New Roman" w:cs="Times New Roman" w:eastAsia="Times New Roman" w:hAnsi="Times New Roman"/>
          <w:sz w:val="18"/>
          <w:szCs w:val="18"/>
          <w:color w:val="auto"/>
        </w:rPr>
      </w:pPr>
    </w:p>
    <w:p>
      <w:pPr>
        <w:ind w:firstLine="885"/>
        <w:spacing w:after="0" w:line="282" w:lineRule="auto"/>
        <w:tabs>
          <w:tab w:leader="none" w:pos="1293"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Restricted Stock Units is exceptional, voluntary and occasional and does not create any contractual or other right to receive future grants of restricted stock units, or benefits in lieu of restricted stock units, even if restricted stock units have been granted in the past;</w:t>
      </w:r>
    </w:p>
    <w:p>
      <w:pPr>
        <w:spacing w:after="0" w:line="188" w:lineRule="exact"/>
        <w:rPr>
          <w:rFonts w:ascii="Times New Roman" w:cs="Times New Roman" w:eastAsia="Times New Roman" w:hAnsi="Times New Roman"/>
          <w:sz w:val="18"/>
          <w:szCs w:val="18"/>
          <w:color w:val="auto"/>
        </w:rPr>
      </w:pPr>
    </w:p>
    <w:p>
      <w:pPr>
        <w:ind w:left="1300" w:hanging="415"/>
        <w:spacing w:after="0"/>
        <w:tabs>
          <w:tab w:leader="none" w:pos="13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restricted stock unit or other grants, if any, will be at the sole discretion of the Company;</w:t>
      </w:r>
    </w:p>
    <w:p>
      <w:pPr>
        <w:spacing w:after="0" w:line="252" w:lineRule="exact"/>
        <w:rPr>
          <w:rFonts w:ascii="Times New Roman" w:cs="Times New Roman" w:eastAsia="Times New Roman" w:hAnsi="Times New Roman"/>
          <w:sz w:val="18"/>
          <w:szCs w:val="18"/>
          <w:color w:val="auto"/>
        </w:rPr>
      </w:pPr>
    </w:p>
    <w:p>
      <w:pPr>
        <w:ind w:left="1300" w:hanging="415"/>
        <w:spacing w:after="0"/>
        <w:tabs>
          <w:tab w:leader="none" w:pos="13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is voluntarily participating in the Plan;</w:t>
      </w:r>
    </w:p>
    <w:p>
      <w:pPr>
        <w:spacing w:after="0" w:line="252" w:lineRule="exact"/>
        <w:rPr>
          <w:rFonts w:ascii="Times New Roman" w:cs="Times New Roman" w:eastAsia="Times New Roman" w:hAnsi="Times New Roman"/>
          <w:sz w:val="18"/>
          <w:szCs w:val="18"/>
          <w:color w:val="auto"/>
        </w:rPr>
      </w:pPr>
    </w:p>
    <w:p>
      <w:pPr>
        <w:ind w:firstLine="885"/>
        <w:spacing w:after="0" w:line="282" w:lineRule="auto"/>
        <w:tabs>
          <w:tab w:leader="none" w:pos="129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and any Shares subject to the Restricted Stock Units, and the income from and value of same, are not intended to replace any pension rights or compensation;</w:t>
      </w:r>
    </w:p>
    <w:p>
      <w:pPr>
        <w:spacing w:after="0" w:line="188" w:lineRule="exact"/>
        <w:rPr>
          <w:rFonts w:ascii="Times New Roman" w:cs="Times New Roman" w:eastAsia="Times New Roman" w:hAnsi="Times New Roman"/>
          <w:sz w:val="18"/>
          <w:szCs w:val="18"/>
          <w:color w:val="auto"/>
        </w:rPr>
      </w:pPr>
    </w:p>
    <w:p>
      <w:pPr>
        <w:jc w:val="both"/>
        <w:ind w:firstLine="885"/>
        <w:spacing w:after="0" w:line="266" w:lineRule="auto"/>
        <w:tabs>
          <w:tab w:leader="none" w:pos="1293"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agreed with the Company, the Restricted Stock Units and the Shares subject to the Restricted Stock Units, and the income from and value of same, are not granted as consideration for, or in connection with, the service Participant may provide as a director of a Subsidiary;</w:t>
      </w:r>
    </w:p>
    <w:p>
      <w:pPr>
        <w:spacing w:after="0" w:line="202" w:lineRule="exact"/>
        <w:rPr>
          <w:rFonts w:ascii="Times New Roman" w:cs="Times New Roman" w:eastAsia="Times New Roman" w:hAnsi="Times New Roman"/>
          <w:sz w:val="18"/>
          <w:szCs w:val="18"/>
          <w:color w:val="auto"/>
        </w:rPr>
      </w:pPr>
    </w:p>
    <w:p>
      <w:pPr>
        <w:jc w:val="both"/>
        <w:ind w:firstLine="885"/>
        <w:spacing w:after="0" w:line="266" w:lineRule="auto"/>
        <w:tabs>
          <w:tab w:leader="none" w:pos="1287"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and any Shares subject to the Restricted Stock Units, and the income from and value of same, are not part of normal or expected compensation for any purpose, including, without limitation to, calculating any severance, resignation, termination, redundancy, dismissal, end-of-service payments, bonuses, long-service awards, holiday pay, pension or retirement or welfare benefits or similar mandatory payments;</w:t>
      </w:r>
    </w:p>
    <w:p>
      <w:pPr>
        <w:spacing w:after="0" w:line="202" w:lineRule="exact"/>
        <w:rPr>
          <w:rFonts w:ascii="Times New Roman" w:cs="Times New Roman" w:eastAsia="Times New Roman" w:hAnsi="Times New Roman"/>
          <w:sz w:val="18"/>
          <w:szCs w:val="18"/>
          <w:color w:val="auto"/>
        </w:rPr>
      </w:pPr>
    </w:p>
    <w:p>
      <w:pPr>
        <w:ind w:left="1300" w:hanging="415"/>
        <w:spacing w:after="0"/>
        <w:tabs>
          <w:tab w:leader="none" w:pos="13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Shares underlying the Restricted Stock Units is unknown, indeterminable, and cannot be predicted with certainty;</w:t>
      </w:r>
    </w:p>
    <w:p>
      <w:pPr>
        <w:spacing w:after="0" w:line="252" w:lineRule="exact"/>
        <w:rPr>
          <w:rFonts w:ascii="Times New Roman" w:cs="Times New Roman" w:eastAsia="Times New Roman" w:hAnsi="Times New Roman"/>
          <w:sz w:val="18"/>
          <w:szCs w:val="18"/>
          <w:color w:val="auto"/>
        </w:rPr>
      </w:pPr>
    </w:p>
    <w:p>
      <w:pPr>
        <w:jc w:val="both"/>
        <w:ind w:firstLine="885"/>
        <w:spacing w:after="0" w:line="266" w:lineRule="auto"/>
        <w:tabs>
          <w:tab w:leader="none" w:pos="129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the Restricted Stock Units resulting from the termination of Participant’s status as a Service Provider (for any reason whatsoever, whether or not later found to be invalid or in breach of labor laws in the jurisdiction where the Participant is providing service or the terms of the Participant’s employment or other service agreement, if any);</w:t>
      </w:r>
    </w:p>
    <w:p>
      <w:pPr>
        <w:spacing w:after="0" w:line="202" w:lineRule="exact"/>
        <w:rPr>
          <w:rFonts w:ascii="Times New Roman" w:cs="Times New Roman" w:eastAsia="Times New Roman" w:hAnsi="Times New Roman"/>
          <w:sz w:val="18"/>
          <w:szCs w:val="18"/>
          <w:color w:val="auto"/>
        </w:rPr>
      </w:pPr>
    </w:p>
    <w:p>
      <w:pPr>
        <w:jc w:val="both"/>
        <w:ind w:firstLine="885"/>
        <w:spacing w:after="0" w:line="266" w:lineRule="auto"/>
        <w:tabs>
          <w:tab w:leader="none" w:pos="129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Plan or by the Company in its discretion, the Restricted Stock Units and the benefits evidenced by this Award Agreement do not create any entitlement to have the Restricted Stock Units or any such benefits transferred to, or assumed by, another company nor to be exchanged, cashed out or substituted for, in connection with any corporate transaction affecting the Shares; and</w:t>
      </w:r>
    </w:p>
    <w:p>
      <w:pPr>
        <w:spacing w:after="0" w:line="202" w:lineRule="exact"/>
        <w:rPr>
          <w:rFonts w:ascii="Times New Roman" w:cs="Times New Roman" w:eastAsia="Times New Roman" w:hAnsi="Times New Roman"/>
          <w:sz w:val="18"/>
          <w:szCs w:val="18"/>
          <w:color w:val="auto"/>
        </w:rPr>
      </w:pPr>
    </w:p>
    <w:p>
      <w:pPr>
        <w:jc w:val="both"/>
        <w:ind w:firstLine="885"/>
        <w:spacing w:after="0" w:line="266" w:lineRule="auto"/>
        <w:tabs>
          <w:tab w:leader="none" w:pos="129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the Service Recipient nor any other Subsidiary shall be liable for any foreign exchange rate fluctuation between Participant’s local currency and the U.S. dollar that may affect the value of the Restricted Stock Units or of any amounts due to Participant pursuant to the Restricted Stock or the subsequent sale of any Shares subject to the Restricted Stock Units.</w:t>
      </w:r>
    </w:p>
    <w:p>
      <w:pPr>
        <w:spacing w:after="0" w:line="202" w:lineRule="exact"/>
        <w:rPr>
          <w:rFonts w:ascii="Times New Roman" w:cs="Times New Roman" w:eastAsia="Times New Roman" w:hAnsi="Times New Roman"/>
          <w:sz w:val="18"/>
          <w:szCs w:val="18"/>
          <w:color w:val="auto"/>
        </w:rPr>
      </w:pPr>
    </w:p>
    <w:p>
      <w:pPr>
        <w:jc w:val="both"/>
        <w:ind w:firstLine="332"/>
        <w:spacing w:after="0" w:line="261" w:lineRule="auto"/>
        <w:tabs>
          <w:tab w:leader="none" w:pos="64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Language</w:t>
      </w:r>
      <w:r>
        <w:rPr>
          <w:rFonts w:ascii="Times New Roman" w:cs="Times New Roman" w:eastAsia="Times New Roman" w:hAnsi="Times New Roman"/>
          <w:sz w:val="18"/>
          <w:szCs w:val="18"/>
          <w:color w:val="auto"/>
        </w:rPr>
        <w:t>. Participant acknowledges that he or she is sufficiently proficient in English, or has consulted with an advisor who is sufficiently proficient in English, so as to allow Participant to understand the terms and conditions of this Award Agreement. If Participant has received this Award Agreement, or any other documents related to the Restricted Stock Units and/or the Plan translated into a language other than English and if the meaning of the translated version is different than the English version, the English version will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13" w:right="339" w:bottom="1440" w:gutter="0" w:footer="0" w:header="0"/>
        </w:sectPr>
      </w:pPr>
    </w:p>
    <w:bookmarkStart w:id="161" w:name="page162"/>
    <w:bookmarkEnd w:id="161"/>
    <w:p>
      <w:pPr>
        <w:jc w:val="both"/>
        <w:ind w:left="-20" w:firstLine="332"/>
        <w:spacing w:after="0" w:line="255" w:lineRule="auto"/>
        <w:tabs>
          <w:tab w:leader="none" w:pos="62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Asset/Account, Exchange Control and Tax Reporting</w:t>
      </w:r>
      <w:r>
        <w:rPr>
          <w:rFonts w:ascii="Times New Roman" w:cs="Times New Roman" w:eastAsia="Times New Roman" w:hAnsi="Times New Roman"/>
          <w:sz w:val="18"/>
          <w:szCs w:val="18"/>
          <w:color w:val="auto"/>
        </w:rPr>
        <w:t>. Participant may be subject to foreign asset/account, exchange control, tax reporting or other requirements which may affect Participant’s ability acquire or hold Restricted Stock Units, Shares or cash received from participating in the Plan (including dividends and the proceeds arising from the sale of Shares) in a brokerage/bank account outside Participant’s country. The applicable laws of Participant’s country may require that he or she report such Restricted Stock Units, Shares, accounts, assets or transactions to the applicable authorities in such country and/or repatriate funds received in connection with the Plan to Participant’s country within a certain time period or according to certain procedures. Participant acknowledges that he or she is responsible for ensuring compliance with any applicable requirements and should consult his or her personal legal advisor to ensure compliance with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40" w:top="1417"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TERMS AND CONDITIONS FOR CERTAIN COUNTRIES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KOREA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Korean residents must declare all foreign financial accounts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non-Korean bank accounts, brokerage accounts) to the Korean tax authorities and file a report with respect to such accounts if the monthly balance of such accounts exceeds KRW 500 million (or an equivalent amount in foreign currency) on any month-end during a calendar year. Participant should consult with his or her personal tax advisor to determine his or her personal reporting obligations.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SINGAPORE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2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u w:val="single" w:color="auto"/>
          <w:color w:val="auto"/>
        </w:rPr>
        <w:t>Restriction on Sale of Shares</w:t>
      </w:r>
      <w:r>
        <w:rPr>
          <w:rFonts w:ascii="Times New Roman" w:cs="Times New Roman" w:eastAsia="Times New Roman" w:hAnsi="Times New Roman"/>
          <w:sz w:val="18"/>
          <w:szCs w:val="18"/>
          <w:color w:val="auto"/>
        </w:rPr>
        <w:t>. The Restricted Stock Units are subject to section 257 of the Securities and Futures Act (Chapter 289, 2006 Ed.) (“SFA”) and Participant will not be able to make any subsequent offer to sell or sale of the Shares in Singapore, unless such offer or sale is made (1) after six (6) months from the Date of Grant, (2) pursuant to the exemptions under Part XIII Division (1) Subdivision (4) (other than section 280) of the SFA or (3) pursuant to, and in accordance with, the conditions of any other applicable exemptions under the SFA.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The offer of the Plan, the grant of the Restricted Stock Units, and the issuance of the Shares subject to the Restricted Stock Units are being made pursuant to the “Qualifying Person” exemption under section 273(1)(f) of the SFA. The Plan has not been lodged or registered as a prospectus with the Monetary Authority of Singapore.</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Director Notification</w:t>
      </w:r>
      <w:r>
        <w:rPr>
          <w:rFonts w:ascii="Times New Roman" w:cs="Times New Roman" w:eastAsia="Times New Roman" w:hAnsi="Times New Roman"/>
          <w:sz w:val="18"/>
          <w:szCs w:val="18"/>
          <w:color w:val="auto"/>
        </w:rPr>
        <w:t>. Participant understands and acknowledges that if Participant is a director, associate director or shadow director of a Singapore Subsidiary, Participant is subject to certain notification requirements under the Singapore Companies Act, regardless of whether Participant is a Singapore resident or providing services in Singapore. Among these requirements is an obligation to notify the Singapore Subsidiary in writing when Participant receives an interest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Restricted Stock Units) in the Company. In addition, Participant must notify the Singapore Subsidiary when Participant sells Shares (including when Participant sells Shares acquired under the Plan). These notifications must be made within two days of acquiring or disposing of any interest in the Company. In addition, a notification must be made of Participant’s interests in the Company within two days of becoming a director, associate director or shadow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27" w:right="339" w:bottom="1440" w:gutter="0" w:footer="0" w:header="0"/>
        </w:sectPr>
      </w:pPr>
    </w:p>
    <w:bookmarkStart w:id="163" w:name="page164"/>
    <w:bookmarkEnd w:id="1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10.26</w:t>
      </w:r>
    </w:p>
    <w:p>
      <w:pPr>
        <w:spacing w:after="0" w:line="32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 TIME-VESTED RESTRICTED STOCK UNIT AWARD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defined herein, each term used in this Global Time-Vested Restricted Stock Unit Award Agreement, including the general terms and conditions for all non-U.S. Participants and the additional terms and conditions for certain countries, all as set forth in the appendix attached hereto (the “Appendix” and, together with the Global Time-Vested Restricted Stock Unit Award Agreement, the “Award Agreement”) and defined in the Amkor Technology, Inc. 2021 Equity Incentive Plan (the “Plan”) will have the same meaning as is given to such term in the Plan.</w:t>
      </w:r>
    </w:p>
    <w:p>
      <w:pPr>
        <w:spacing w:after="0" w:line="270" w:lineRule="exact"/>
        <w:rPr>
          <w:sz w:val="20"/>
          <w:szCs w:val="20"/>
          <w:color w:val="auto"/>
        </w:rPr>
      </w:pPr>
    </w:p>
    <w:p>
      <w:pPr>
        <w:ind w:left="640"/>
        <w:spacing w:after="0"/>
        <w:tabs>
          <w:tab w:leader="none" w:pos="3000" w:val="left"/>
        </w:tabs>
        <w:rPr>
          <w:sz w:val="20"/>
          <w:szCs w:val="20"/>
          <w:color w:val="auto"/>
        </w:rPr>
      </w:pPr>
      <w:r>
        <w:rPr>
          <w:rFonts w:ascii="Times New Roman" w:cs="Times New Roman" w:eastAsia="Times New Roman" w:hAnsi="Times New Roman"/>
          <w:sz w:val="18"/>
          <w:szCs w:val="18"/>
          <w:b w:val="1"/>
          <w:bCs w:val="1"/>
          <w:color w:val="auto"/>
        </w:rPr>
        <w:t>Participant Name:</w:t>
      </w:r>
      <w:r>
        <w:rPr>
          <w:sz w:val="20"/>
          <w:szCs w:val="20"/>
          <w:color w:val="auto"/>
        </w:rPr>
        <w:tab/>
      </w:r>
      <w:r>
        <w:rPr>
          <w:rFonts w:ascii="Times New Roman" w:cs="Times New Roman" w:eastAsia="Times New Roman" w:hAnsi="Times New Roman"/>
          <w:sz w:val="16"/>
          <w:szCs w:val="16"/>
          <w:color w:val="auto"/>
        </w:rPr>
        <w:t>Guillaume Marie Jean Rutten</w:t>
      </w:r>
    </w:p>
    <w:p>
      <w:pPr>
        <w:spacing w:after="0" w:line="200" w:lineRule="exact"/>
        <w:rPr>
          <w:sz w:val="20"/>
          <w:szCs w:val="20"/>
          <w:color w:val="auto"/>
        </w:rPr>
      </w:pPr>
    </w:p>
    <w:p>
      <w:pPr>
        <w:spacing w:after="0" w:line="3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You have been granted the right to receive an Award of Time-Vested Restricted Stock Units, subject to the terms and conditions of the Plan and this Award Agreement, as follows:</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2751455</wp:posOffset>
            </wp:positionH>
            <wp:positionV relativeFrom="paragraph">
              <wp:posOffset>-31115</wp:posOffset>
            </wp:positionV>
            <wp:extent cx="20574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4">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2751455</wp:posOffset>
            </wp:positionH>
            <wp:positionV relativeFrom="paragraph">
              <wp:posOffset>-31115</wp:posOffset>
            </wp:positionV>
            <wp:extent cx="20574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5">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2751455</wp:posOffset>
            </wp:positionH>
            <wp:positionV relativeFrom="paragraph">
              <wp:posOffset>-31115</wp:posOffset>
            </wp:positionV>
            <wp:extent cx="20574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6">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Number of Restricted Stock Units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2751455</wp:posOffset>
            </wp:positionH>
            <wp:positionV relativeFrom="paragraph">
              <wp:posOffset>131445</wp:posOffset>
            </wp:positionV>
            <wp:extent cx="20574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7">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firstLine="8"/>
        <w:spacing w:after="0" w:line="224" w:lineRule="auto"/>
        <w:tabs>
          <w:tab w:leader="none" w:pos="64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The Company hereby grants to the individual named above (“Participant”) under the Plan as a separate incentive and not in lieu of any salary or other compensation for Participant’s services, an Award of Restricted Stock Units, subject to all of the terms and conditions in this Award Agreement and the Plan, which is incorporated herein by reference. In the event of a conflict between the terms and conditions of the Plan and the terms and conditions of this Award Agreement, the terms and conditions of the Plan will prevail.</w:t>
      </w:r>
    </w:p>
    <w:p>
      <w:pPr>
        <w:spacing w:after="0" w:line="118" w:lineRule="exact"/>
        <w:rPr>
          <w:rFonts w:ascii="Times New Roman" w:cs="Times New Roman" w:eastAsia="Times New Roman" w:hAnsi="Times New Roman"/>
          <w:sz w:val="18"/>
          <w:szCs w:val="18"/>
          <w:color w:val="auto"/>
        </w:rPr>
      </w:pPr>
    </w:p>
    <w:p>
      <w:pPr>
        <w:jc w:val="both"/>
        <w:ind w:firstLine="8"/>
        <w:spacing w:after="0" w:line="220" w:lineRule="auto"/>
        <w:tabs>
          <w:tab w:leader="none" w:pos="64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 The Restricted Stock Units awarded by this Award Agreement will vest in accordance with the vesting provisions set forth in this Award Agreement. Unless otherwise provided in the vesting provisions set forth in this Award Agreement, Restricted Stock Units scheduled to vest on a certain date or upon the occurrence of a certain condition will not vest in Participant in accordance with any of the provisions of this Award Agreement, unless Participant has been continuously a Service Provider from the Date of Grant until the date such vesting is scheduled to occur. For the avoidance of doubt, unless otherwise set forth in Section 4 of this Award Agreement, employment or other service during only a portion of the vesting period until the respective vesting date shall not entitle Participant to vest in a pro rata portion of the Restricted Stock Units scheduled to vest on such date.</w:t>
      </w:r>
    </w:p>
    <w:p>
      <w:pPr>
        <w:spacing w:after="0" w:line="169" w:lineRule="exact"/>
        <w:rPr>
          <w:sz w:val="20"/>
          <w:szCs w:val="20"/>
          <w:color w:val="auto"/>
        </w:rPr>
      </w:pPr>
    </w:p>
    <w:tbl>
      <w:tblPr>
        <w:tblLayout w:type="fixed"/>
        <w:tblInd w:w="990" w:type="dxa"/>
        <w:tblCellMar>
          <w:top w:w="0" w:type="dxa"/>
          <w:left w:w="0" w:type="dxa"/>
          <w:bottom w:w="0" w:type="dxa"/>
          <w:right w:w="0" w:type="dxa"/>
        </w:tblCellMar>
      </w:tblPr>
      <w:tr>
        <w:trPr>
          <w:trHeight w:val="189"/>
        </w:trPr>
        <w:tc>
          <w:tcPr>
            <w:tcW w:w="3940" w:type="dxa"/>
            <w:vAlign w:val="bottom"/>
            <w:tcBorders>
              <w:top w:val="single" w:sz="8" w:color="auto"/>
              <w:left w:val="single" w:sz="8" w:color="auto"/>
              <w:right w:val="single" w:sz="8" w:color="auto"/>
            </w:tcBorders>
            <w:shd w:val="clear" w:color="auto" w:fill="D9D9D9"/>
          </w:tcPr>
          <w:p>
            <w:pPr>
              <w:jc w:val="center"/>
              <w:ind w:left="5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Vesting Date</w:t>
            </w:r>
          </w:p>
        </w:tc>
        <w:tc>
          <w:tcPr>
            <w:tcW w:w="3280" w:type="dxa"/>
            <w:vAlign w:val="bottom"/>
            <w:tcBorders>
              <w:top w:val="single" w:sz="8" w:color="auto"/>
              <w:right w:val="single" w:sz="8" w:color="auto"/>
            </w:tcBorders>
            <w:shd w:val="clear" w:color="auto" w:fill="D9D9D9"/>
          </w:tcPr>
          <w:p>
            <w:pPr>
              <w:jc w:val="center"/>
              <w:ind w:left="510"/>
              <w:spacing w:after="0" w:line="189" w:lineRule="exact"/>
              <w:rPr>
                <w:sz w:val="20"/>
                <w:szCs w:val="20"/>
                <w:color w:val="auto"/>
              </w:rPr>
            </w:pPr>
            <w:r>
              <w:rPr>
                <w:rFonts w:ascii="Times New Roman" w:cs="Times New Roman" w:eastAsia="Times New Roman" w:hAnsi="Times New Roman"/>
                <w:sz w:val="18"/>
                <w:szCs w:val="18"/>
                <w:b w:val="1"/>
                <w:bCs w:val="1"/>
                <w:color w:val="auto"/>
                <w:w w:val="98"/>
              </w:rPr>
              <w:t>Number of Time-Vested</w:t>
            </w:r>
          </w:p>
        </w:tc>
      </w:tr>
      <w:tr>
        <w:trPr>
          <w:trHeight w:val="241"/>
        </w:trPr>
        <w:tc>
          <w:tcPr>
            <w:tcW w:w="3940" w:type="dxa"/>
            <w:vAlign w:val="bottom"/>
            <w:tcBorders>
              <w:left w:val="single" w:sz="8" w:color="auto"/>
              <w:bottom w:val="single" w:sz="8" w:color="auto"/>
              <w:right w:val="single" w:sz="8" w:color="auto"/>
            </w:tcBorders>
            <w:shd w:val="clear" w:color="auto" w:fill="D9D9D9"/>
          </w:tcPr>
          <w:p>
            <w:pPr>
              <w:spacing w:after="0"/>
              <w:rPr>
                <w:sz w:val="20"/>
                <w:szCs w:val="20"/>
                <w:color w:val="auto"/>
              </w:rPr>
            </w:pPr>
          </w:p>
        </w:tc>
        <w:tc>
          <w:tcPr>
            <w:tcW w:w="3280" w:type="dxa"/>
            <w:vAlign w:val="bottom"/>
            <w:tcBorders>
              <w:bottom w:val="single" w:sz="8" w:color="auto"/>
              <w:right w:val="single" w:sz="8" w:color="auto"/>
            </w:tcBorders>
            <w:shd w:val="clear" w:color="auto" w:fill="D9D9D9"/>
          </w:tcPr>
          <w:p>
            <w:pPr>
              <w:ind w:left="400"/>
              <w:spacing w:after="0"/>
              <w:rPr>
                <w:sz w:val="20"/>
                <w:szCs w:val="20"/>
                <w:color w:val="auto"/>
              </w:rPr>
            </w:pPr>
            <w:r>
              <w:rPr>
                <w:rFonts w:ascii="Times New Roman" w:cs="Times New Roman" w:eastAsia="Times New Roman" w:hAnsi="Times New Roman"/>
                <w:sz w:val="18"/>
                <w:szCs w:val="18"/>
                <w:b w:val="1"/>
                <w:bCs w:val="1"/>
                <w:color w:val="auto"/>
              </w:rPr>
              <w:t>Restricted Stock Units that Vest</w:t>
            </w:r>
          </w:p>
        </w:tc>
      </w:tr>
      <w:tr>
        <w:trPr>
          <w:trHeight w:val="225"/>
        </w:trPr>
        <w:tc>
          <w:tcPr>
            <w:tcW w:w="3940" w:type="dxa"/>
            <w:vAlign w:val="bottom"/>
            <w:tcBorders>
              <w:left w:val="single" w:sz="8" w:color="auto"/>
              <w:bottom w:val="single" w:sz="8" w:color="auto"/>
              <w:right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[insert]</w:t>
            </w:r>
          </w:p>
        </w:tc>
        <w:tc>
          <w:tcPr>
            <w:tcW w:w="3280" w:type="dxa"/>
            <w:vAlign w:val="bottom"/>
            <w:tcBorders>
              <w:bottom w:val="single" w:sz="8" w:color="auto"/>
              <w:right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40%</w:t>
            </w:r>
          </w:p>
        </w:tc>
      </w:tr>
    </w:tbl>
    <w:p>
      <w:pPr>
        <w:sectPr>
          <w:pgSz w:w="11900" w:h="16838" w:orient="portrait"/>
          <w:cols w:equalWidth="0" w:num="1">
            <w:col w:w="11240"/>
          </w:cols>
          <w:pgMar w:left="320" w:top="1440" w:right="339" w:bottom="1440" w:gutter="0" w:footer="0" w:header="0"/>
        </w:sectPr>
      </w:pPr>
    </w:p>
    <w:bookmarkStart w:id="164" w:name="page165"/>
    <w:bookmarkEnd w:id="164"/>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990" w:type="dxa"/>
        <w:tblCellMar>
          <w:top w:w="0" w:type="dxa"/>
          <w:left w:w="0" w:type="dxa"/>
          <w:bottom w:w="0" w:type="dxa"/>
          <w:right w:w="0" w:type="dxa"/>
        </w:tblCellMar>
      </w:tblPr>
      <w:tr>
        <w:trPr>
          <w:trHeight w:val="243"/>
        </w:trPr>
        <w:tc>
          <w:tcPr>
            <w:tcW w:w="3940" w:type="dxa"/>
            <w:vAlign w:val="bottom"/>
            <w:tcBorders>
              <w:top w:val="single" w:sz="8" w:color="auto"/>
              <w:left w:val="single" w:sz="8" w:color="auto"/>
              <w:bottom w:val="single" w:sz="8" w:color="auto"/>
              <w:right w:val="single" w:sz="8" w:color="auto"/>
            </w:tcBorders>
          </w:tcPr>
          <w:p>
            <w:pPr>
              <w:ind w:left="2020"/>
              <w:spacing w:after="0"/>
              <w:rPr>
                <w:sz w:val="20"/>
                <w:szCs w:val="20"/>
                <w:color w:val="auto"/>
              </w:rPr>
            </w:pPr>
            <w:r>
              <w:rPr>
                <w:rFonts w:ascii="Times New Roman" w:cs="Times New Roman" w:eastAsia="Times New Roman" w:hAnsi="Times New Roman"/>
                <w:sz w:val="18"/>
                <w:szCs w:val="18"/>
                <w:b w:val="1"/>
                <w:bCs w:val="1"/>
                <w:color w:val="auto"/>
              </w:rPr>
              <w:t>[insert]</w:t>
            </w:r>
          </w:p>
        </w:tc>
        <w:tc>
          <w:tcPr>
            <w:tcW w:w="3280" w:type="dxa"/>
            <w:vAlign w:val="bottom"/>
            <w:tcBorders>
              <w:top w:val="single" w:sz="8" w:color="auto"/>
              <w:bottom w:val="single" w:sz="8" w:color="auto"/>
              <w:right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40%</w:t>
            </w:r>
          </w:p>
        </w:tc>
      </w:tr>
      <w:tr>
        <w:trPr>
          <w:trHeight w:val="223"/>
        </w:trPr>
        <w:tc>
          <w:tcPr>
            <w:tcW w:w="3940" w:type="dxa"/>
            <w:vAlign w:val="bottom"/>
            <w:tcBorders>
              <w:left w:val="single" w:sz="8" w:color="auto"/>
              <w:bottom w:val="single" w:sz="8" w:color="auto"/>
              <w:right w:val="single" w:sz="8" w:color="auto"/>
            </w:tcBorders>
          </w:tcPr>
          <w:p>
            <w:pPr>
              <w:ind w:left="2020"/>
              <w:spacing w:after="0"/>
              <w:rPr>
                <w:sz w:val="20"/>
                <w:szCs w:val="20"/>
                <w:color w:val="auto"/>
              </w:rPr>
            </w:pPr>
            <w:r>
              <w:rPr>
                <w:rFonts w:ascii="Times New Roman" w:cs="Times New Roman" w:eastAsia="Times New Roman" w:hAnsi="Times New Roman"/>
                <w:sz w:val="18"/>
                <w:szCs w:val="18"/>
                <w:b w:val="1"/>
                <w:bCs w:val="1"/>
                <w:color w:val="auto"/>
              </w:rPr>
              <w:t>[insert]</w:t>
            </w:r>
          </w:p>
        </w:tc>
        <w:tc>
          <w:tcPr>
            <w:tcW w:w="3280" w:type="dxa"/>
            <w:vAlign w:val="bottom"/>
            <w:tcBorders>
              <w:bottom w:val="single" w:sz="8" w:color="auto"/>
              <w:right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20%</w:t>
            </w:r>
          </w:p>
        </w:tc>
      </w:tr>
    </w:tbl>
    <w:p>
      <w:pPr>
        <w:spacing w:after="0" w:line="200" w:lineRule="exact"/>
        <w:rPr>
          <w:sz w:val="20"/>
          <w:szCs w:val="20"/>
          <w:color w:val="auto"/>
        </w:rPr>
      </w:pPr>
    </w:p>
    <w:p>
      <w:pPr>
        <w:spacing w:after="0" w:line="281" w:lineRule="exact"/>
        <w:rPr>
          <w:sz w:val="20"/>
          <w:szCs w:val="20"/>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firstLine="656"/>
        <w:spacing w:after="0" w:line="220" w:lineRule="auto"/>
        <w:tabs>
          <w:tab w:leader="none" w:pos="1293"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7 hereof, promptly following each applicable vesting date (including any accelerated vesting date under Section 4), and in any event within forty-five (45) days thereof, the Company shall, in the Administrator’s sole discretion, either (i) pay to Participant an amount in cash equal to the Fair Market Value of the Shares represented by the RSUs that vested as of the most recent vesting date or (ii) (a) issue and deliver to the Participant the number of Shares equal to the number of vested Restricted Stock Units and (b) enter Participant’s name on the books of the Company as the stockholder of record with respect to the Shares delivered to Participant.</w:t>
      </w:r>
    </w:p>
    <w:p>
      <w:pPr>
        <w:spacing w:after="0" w:line="13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Status as a Service Provider.</w:t>
      </w:r>
    </w:p>
    <w:p>
      <w:pPr>
        <w:spacing w:after="0" w:line="144" w:lineRule="exact"/>
        <w:rPr>
          <w:rFonts w:ascii="Times New Roman" w:cs="Times New Roman" w:eastAsia="Times New Roman" w:hAnsi="Times New Roman"/>
          <w:sz w:val="18"/>
          <w:szCs w:val="18"/>
          <w:color w:val="auto"/>
        </w:rPr>
      </w:pPr>
    </w:p>
    <w:p>
      <w:pPr>
        <w:ind w:right="20" w:firstLine="656"/>
        <w:spacing w:after="0" w:line="250" w:lineRule="auto"/>
        <w:tabs>
          <w:tab w:leader="none" w:pos="1293"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Death or Disability</w:t>
      </w:r>
      <w:r>
        <w:rPr>
          <w:rFonts w:ascii="Times New Roman" w:cs="Times New Roman" w:eastAsia="Times New Roman" w:hAnsi="Times New Roman"/>
          <w:sz w:val="18"/>
          <w:szCs w:val="18"/>
          <w:color w:val="auto"/>
        </w:rPr>
        <w:t>. If Participant’s status as a Service Provider is terminated due to death or Disability before this Award is vested in full, this Award shall automatically and immediately vest in full.</w:t>
      </w:r>
    </w:p>
    <w:p>
      <w:pPr>
        <w:spacing w:after="0" w:line="108" w:lineRule="exact"/>
        <w:rPr>
          <w:rFonts w:ascii="Times New Roman" w:cs="Times New Roman" w:eastAsia="Times New Roman" w:hAnsi="Times New Roman"/>
          <w:sz w:val="18"/>
          <w:szCs w:val="18"/>
          <w:color w:val="auto"/>
        </w:rPr>
      </w:pPr>
    </w:p>
    <w:p>
      <w:pPr>
        <w:jc w:val="both"/>
        <w:ind w:firstLine="656"/>
        <w:spacing w:after="0" w:line="217" w:lineRule="auto"/>
        <w:tabs>
          <w:tab w:leader="none" w:pos="129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Retirement</w:t>
      </w:r>
      <w:r>
        <w:rPr>
          <w:rFonts w:ascii="Times New Roman" w:cs="Times New Roman" w:eastAsia="Times New Roman" w:hAnsi="Times New Roman"/>
          <w:sz w:val="18"/>
          <w:szCs w:val="18"/>
          <w:color w:val="auto"/>
        </w:rPr>
        <w:t>. If Participant’s status as a Service Provider is terminated due to Retirement (as defined herein) before this Award is vested in full, Participant shall become vested at the time of Retirement, with respect to that number of Restricted Stock Units that would next become vested under the Award on the next Vesting Date multiplied by a fraction, the numerator of which is the number of days that have elapsed since the last vesting date and the denominator of which is 365. Any portion of this Award that is not vested following application of the preceding sentence shall terminate and automatically be cancelled as of the date of Participant’s Retirement. For purposes of this Award Agreement, “Retirement” shall mean Participant’s resignation from the Company (or the Subsidiary employing or retaining Participant) on or after the date on which the sum of (i) Participant’s age (rounded down to the nearest whole month) plus (ii) the number of years (rounded down to the nearest whole month) that Participant has been a Service Provider, equals or is greater than seventy-five (75).</w:t>
      </w:r>
    </w:p>
    <w:p>
      <w:pPr>
        <w:spacing w:after="0" w:line="13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foregoing, if the Company receives a legal opinion that there has been a legal judgment and/or legal development in Participant’s jurisdiction that likely would result in the favorable treatment that applies to the Award when Participant’s status as a Service Provider terminates as a result of Participant’s Retirement being deemed unlawful and/or discriminatory, the provisions of this Section 4(b) regarding the treatment of the Award when Participant’s status as a Service Provider terminates as a result of Participant’s Retirement will not be applicable to Participant and the remaining provisions of this Award Agreement will govern.</w:t>
      </w:r>
    </w:p>
    <w:p>
      <w:pPr>
        <w:spacing w:after="0" w:line="143" w:lineRule="exact"/>
        <w:rPr>
          <w:sz w:val="20"/>
          <w:szCs w:val="20"/>
          <w:color w:val="auto"/>
        </w:rPr>
      </w:pPr>
    </w:p>
    <w:p>
      <w:pPr>
        <w:jc w:val="both"/>
        <w:ind w:firstLine="656"/>
        <w:spacing w:after="0" w:line="215" w:lineRule="auto"/>
        <w:tabs>
          <w:tab w:leader="none" w:pos="129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Without Cause</w:t>
      </w:r>
      <w:r>
        <w:rPr>
          <w:rFonts w:ascii="Times New Roman" w:cs="Times New Roman" w:eastAsia="Times New Roman" w:hAnsi="Times New Roman"/>
          <w:sz w:val="18"/>
          <w:szCs w:val="18"/>
          <w:color w:val="auto"/>
        </w:rPr>
        <w:t>. If Participant’s status as a Service Provider is terminated by the Company without Cause before this Award is vested in full, Participant shall become vested at the time of such termination, with respect to that number of Restricted Stock Units that are scheduled to vest on the next vesting date subsequent to the date of termination multiplied by a fraction, the numerator of which is the number of fiscal quarters that have elapsed (inclusive of the current fiscal quarter) since (a) the most recent previous vesting date or (b) if fewer than twelve (12) months have passed since the Grant Date, the Grant Date, and the denominator of which is four. Following application of the preceding sentence, the balance of the Restricted Stock Units that have not vested at the time of Participant’s termination as a Service Provider without Cause will be forfeited (with no consideration due to Participant) and automatically transferred to and reacquired by the Company at no cost to the Company upon the date of such termination and Participant will have no further rights thereunder.</w:t>
      </w:r>
    </w:p>
    <w:p>
      <w:pPr>
        <w:spacing w:after="0" w:line="123" w:lineRule="exact"/>
        <w:rPr>
          <w:rFonts w:ascii="Times New Roman" w:cs="Times New Roman" w:eastAsia="Times New Roman" w:hAnsi="Times New Roman"/>
          <w:sz w:val="18"/>
          <w:szCs w:val="18"/>
          <w:color w:val="auto"/>
        </w:rPr>
      </w:pPr>
    </w:p>
    <w:p>
      <w:pPr>
        <w:jc w:val="both"/>
        <w:ind w:firstLine="656"/>
        <w:spacing w:after="0" w:line="220" w:lineRule="auto"/>
        <w:tabs>
          <w:tab w:leader="none" w:pos="129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Following Change in Control</w:t>
      </w:r>
      <w:r>
        <w:rPr>
          <w:rFonts w:ascii="Times New Roman" w:cs="Times New Roman" w:eastAsia="Times New Roman" w:hAnsi="Times New Roman"/>
          <w:sz w:val="18"/>
          <w:szCs w:val="18"/>
          <w:color w:val="auto"/>
        </w:rPr>
        <w:t>. If the Award is assumed by the successor corporation or an affiliate thereof in connection with the Change in Control and Participant’s status as a Service Provider is terminated by the Company (or the Subsidiary employing or retaining Participant) other than for Cause, or by Participant for Good Reason, within twenty-four (24) months following a Change in Control, this Award shall automatically and immediately vest in full. For purposes of this Award Agreement, “Good Reason” shall mean: (i) a material reduction in Participant’s authority, duties or responsibilities; (ii) a material reduction in Participant’s base salary or bonus opportunity (other than a general reduction in base salary that affects all similarly situated executives in substantially the same proportions); or (iii) any material breach by the Company of any material provision of this</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Agreement. However, Good Reason shall not be deemed to exist unless (x) Participant shall have given written notice to the Company specifying in reasonable detail the circumstances that Participant alleges constitute Good Reason within thirty (30) calendar days of learning of such act or omission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 the Company has failed to cure any such circumstances within thirty (30) calendar days of receipt of such written notice.</w:t>
      </w:r>
    </w:p>
    <w:p>
      <w:pPr>
        <w:spacing w:after="0" w:line="124" w:lineRule="exact"/>
        <w:rPr>
          <w:sz w:val="20"/>
          <w:szCs w:val="20"/>
          <w:color w:val="auto"/>
        </w:rPr>
      </w:pPr>
    </w:p>
    <w:p>
      <w:pPr>
        <w:jc w:val="both"/>
        <w:ind w:firstLine="8"/>
        <w:spacing w:after="0" w:line="224" w:lineRule="auto"/>
        <w:tabs>
          <w:tab w:leader="none" w:pos="64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upon Termination of Status as a Service Provider</w:t>
      </w:r>
      <w:r>
        <w:rPr>
          <w:rFonts w:ascii="Times New Roman" w:cs="Times New Roman" w:eastAsia="Times New Roman" w:hAnsi="Times New Roman"/>
          <w:sz w:val="18"/>
          <w:szCs w:val="18"/>
          <w:color w:val="auto"/>
        </w:rPr>
        <w:t>. Notwithstanding any contrary provision of this Award Agreement, but subject to the vesting provisions set forth in this Award Agreement and Section 4 above, the balance of the Restricted Stock Units that have not vested at the time of Participant’s termination as a Service Provider for any reason will be forfeited (with no consideration due to Participant) and Participant will have no further rights thereunder.</w:t>
      </w:r>
    </w:p>
    <w:p>
      <w:pPr>
        <w:spacing w:after="0" w:line="131" w:lineRule="exact"/>
        <w:rPr>
          <w:rFonts w:ascii="Times New Roman" w:cs="Times New Roman" w:eastAsia="Times New Roman" w:hAnsi="Times New Roman"/>
          <w:sz w:val="18"/>
          <w:szCs w:val="18"/>
          <w:color w:val="auto"/>
        </w:rPr>
      </w:pPr>
    </w:p>
    <w:p>
      <w:pPr>
        <w:jc w:val="both"/>
        <w:ind w:firstLine="8"/>
        <w:spacing w:after="0" w:line="220" w:lineRule="auto"/>
        <w:tabs>
          <w:tab w:leader="none" w:pos="64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of Participant</w:t>
      </w:r>
      <w:r>
        <w:rPr>
          <w:rFonts w:ascii="Times New Roman" w:cs="Times New Roman" w:eastAsia="Times New Roman" w:hAnsi="Times New Roman"/>
          <w:sz w:val="18"/>
          <w:szCs w:val="18"/>
          <w:color w:val="auto"/>
        </w:rPr>
        <w:t>. Notwithstanding any provision of this Award Agreement to the contrary, any distribution or delivery to be made to Participant under this Award Agreement will, if Participant is then deceased, be made to the administrator or executor of Participant’s estate, Participant’s legal heirs or, provided such designation has been permitted by the Company and/or is valid under Applicable Laws, Participant’s designated beneficiary.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3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Responsibility for Taxes</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jc w:val="both"/>
        <w:ind w:left="80" w:firstLine="657"/>
        <w:spacing w:after="0" w:line="253" w:lineRule="auto"/>
        <w:tabs>
          <w:tab w:leader="none" w:pos="1292"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and agrees that, regardless of any action taken by the Company or, if different, the Subsidiary to which Participant is providing services (the “Service Recipient”), the ultimate liability for all income tax, social insurance, payroll tax, fringe benefits tax, payment on account or other tax-related items related to Participant’s participation in the Plan and legally applicable to Participant (“Tax-Related Items”) is and remains Participant’s responsibility and may exceed the amount, if any, actually withheld by the Company or the Service Recipient. Participant further acknowledges that the Company and/or the Service Recipient: (i) make no representations or undertakings regarding the treatment of any Tax-Related Items in connection with any aspect of the Restricted Stock Units, including, but not limited to, the grant or vesting of the Restricted Stock Units, or the subsequent sale of Shares acquired at vesting and the receipt of any dividends; and (ii) do not commit to and are under no obligation to structure the terms of the grant or any aspect of the Restricted Stock Units to reduce or eliminate the Participant’s liability for Tax-Related Items or achieve any particular tax result. Further, if Participant is subject to Tax-Related Items in more than one jurisdiction, Participant acknowledges that the Company and/or the Service Recipient (or former service recipient, as applicable) may be required to withhold or account for Tax-Related Items in more than one jurisdiction.</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129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relevant taxable or tax withholding event, as applicable, Participant agrees to make adequate arrangements satisfactory to the Company and/or the Service Recipient to satisfy all Tax-Related Items. In this regard, Participant authorizes the Company and/or the Service Recipient, or their respective agents, at their discretion, to satisfy any applicable withholding obligations with regard to all Tax-Related Items by one or a combination of the following: (i) withholding from Participant’s salary, wages or other compensation payable to Participant by the Company and/or the Service Recipient; (ii) withholding from proceeds of the sale of the Shares subject to the Restricted Stock Units either through a voluntary sale or through a mandatory sale arranged by the Company (on Participant’s behalf pursuant to this authorization without further consent); (iii) withholding Shares subject to the Restricted Stock Units; or (iv) any method determined by the Administrator to be in compliance with Applicable Laws. Notwithstanding the foregoing, if Participant is subject to Section 16 of the Exchange Act at the time the withholding obligation for Tax-Related Items becomes due, the Administrator will satisfy any applicable withholding obligation by directing the Company to withhold Shares subject to the Restricted Stock Units (except in the case of U.S. Federal Insurance Contribution Act taxes or other Tax-Related Items which become payable in a year prior to the year in which the Shares are issued).</w:t>
      </w:r>
    </w:p>
    <w:p>
      <w:pPr>
        <w:spacing w:after="0" w:line="194"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293"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and/or the Service Recipient may withhold or account for Tax-Related Items by considering statutory withholding amounts or other applicable withholding rates, including maximum rates applicable in Participant’s jurisdiction(s). In the event of over-withholding, Participant may receive a refund of any</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over-withheld amount in cash (with no entitlement to the equivalent in Shares), or if not refunded, Participant may seek a refund from local tax authorities. In the event of under-withholding, Participant may be required to pay any additional Tax-Related Items directly to the applicable tax authority or to the Company and/or the Service Recipient. If the obligation for Tax-Related Items is satisfied by withholding Shares, for tax purposes, Participant is deemed to have received the full number of Shares subject to the vested Restricted Stock Units, notwithstanding that a number of the Shares is held back solely for the purpose of paying the Tax-Related Items.</w:t>
      </w:r>
    </w:p>
    <w:p>
      <w:pPr>
        <w:spacing w:after="0" w:line="183" w:lineRule="exact"/>
        <w:rPr>
          <w:sz w:val="20"/>
          <w:szCs w:val="20"/>
          <w:color w:val="auto"/>
        </w:rPr>
      </w:pPr>
    </w:p>
    <w:p>
      <w:pPr>
        <w:jc w:val="both"/>
        <w:ind w:firstLine="656"/>
        <w:spacing w:after="0" w:line="261" w:lineRule="auto"/>
        <w:tabs>
          <w:tab w:leader="none" w:pos="129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agrees to pay to the Company or the Service Recipient any amount of Tax-Related Items that the Company or the Service Recipient may be required to withhold or account for as a result of Participant’s participation in the Plan that cannot be satisfied by the means previously described. The Company may refuse to issue or deliver the Shares or the proceeds of the sale of the Shares acquired upon vesting of the Award, if Participant fails to comply with his or her obligations in connection with the Tax-Related Items.</w:t>
      </w:r>
    </w:p>
    <w:p>
      <w:pPr>
        <w:spacing w:after="0" w:line="166" w:lineRule="exact"/>
        <w:rPr>
          <w:rFonts w:ascii="Times New Roman" w:cs="Times New Roman" w:eastAsia="Times New Roman" w:hAnsi="Times New Roman"/>
          <w:sz w:val="18"/>
          <w:szCs w:val="18"/>
          <w:color w:val="auto"/>
        </w:rPr>
      </w:pPr>
    </w:p>
    <w:p>
      <w:pPr>
        <w:jc w:val="both"/>
        <w:ind w:firstLine="8"/>
        <w:spacing w:after="0" w:line="217" w:lineRule="auto"/>
        <w:tabs>
          <w:tab w:leader="none" w:pos="64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Neither Participant nor any person claiming under or through Participant will have any of the rights or privileges of a stockholder of the Company in respect of any Shares deliverable hereunder unless and until the Restricted Stock Units have vested and are settled by the issuance of Shares in accordance with Section 3, the Share issuance is recorded on the records of the Company or its transfer agents or registrars, and certificates representing such Shares have been issued (if the Shares are certificated or evidence of book entry if the Shares are not certificated) and delivered to Participant. After such vesting, settlement, issuance, recordation and delivery, Participant will have all the rights of a stockholder of the Company with respect to such Shares for which such conditions are met, including voting and receipt of dividends and distributions on such Shares. Participant shall not be entitled to any Dividend Equivalents with respect to the Restricted Stock Units to reflect any dividends payable on Shares.</w:t>
      </w:r>
    </w:p>
    <w:p>
      <w:pPr>
        <w:spacing w:after="0" w:line="134" w:lineRule="exact"/>
        <w:rPr>
          <w:rFonts w:ascii="Times New Roman" w:cs="Times New Roman" w:eastAsia="Times New Roman" w:hAnsi="Times New Roman"/>
          <w:sz w:val="18"/>
          <w:szCs w:val="18"/>
          <w:color w:val="auto"/>
        </w:rPr>
      </w:pPr>
    </w:p>
    <w:p>
      <w:pPr>
        <w:jc w:val="both"/>
        <w:ind w:firstLine="8"/>
        <w:spacing w:after="0" w:line="214" w:lineRule="auto"/>
        <w:tabs>
          <w:tab w:leader="none" w:pos="64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 of Continued Service</w:t>
      </w:r>
      <w:r>
        <w:rPr>
          <w:rFonts w:ascii="Times New Roman" w:cs="Times New Roman" w:eastAsia="Times New Roman" w:hAnsi="Times New Roman"/>
          <w:sz w:val="18"/>
          <w:szCs w:val="18"/>
          <w:color w:val="auto"/>
        </w:rPr>
        <w:t>. PARTICIPANT ACKNOWLEDGES AND AGREES THAT THE VESTING OF THE RESTRICTED STOCK UNITS PURSUANT TO THE VESTING SCHEDULE HEREOF IS EARNED ONLY BY CONTINUING AS A SERVICE PROVIDER AND NOT THROUGH THE ACT OF BEING HIRED, BEING GRANTED THESE RESTRICTED STOCK UNITS OR ACQUIRING SHARES HEREUNDER. PARTICIPANT FURTHER ACKNOWLEDGES AND AGREES THAT THIS AWARD AGREEMENT, THE TRANSACTIONS CONTEMPLATED HEREUNDER AND THE VESTING AND SETTLEMENT SCHEDULE SET FORTH HEREIN DO NOT CONSTITUTE AN EXPRESS OR IMPLIED PROMISE OF CONTINUED ENGAGEMENT AS A SERVICE PROVIDER FOR THE VESTING PERIOD, FOR ANY PERIOD, OR AT ALL, AND WILL NOT INTERFERE IN ANY WAY WITH PARTICIPANT’S RIGHT OR THE RIGHT OF THE COMPANY OR THE SERVICE RECIPIENT, AS APPLICABLE. TO TERMINATE PARTICIPANT’S RELATIONSHIP AS A SERVICE PROVIDER AT ANY TIME, WITH OR WITHOUT CAUSE.</w:t>
      </w:r>
    </w:p>
    <w:p>
      <w:pPr>
        <w:spacing w:after="0" w:line="134" w:lineRule="exact"/>
        <w:rPr>
          <w:rFonts w:ascii="Times New Roman" w:cs="Times New Roman" w:eastAsia="Times New Roman" w:hAnsi="Times New Roman"/>
          <w:sz w:val="18"/>
          <w:szCs w:val="18"/>
          <w:color w:val="auto"/>
        </w:rPr>
      </w:pPr>
    </w:p>
    <w:p>
      <w:pPr>
        <w:jc w:val="both"/>
        <w:ind w:firstLine="8"/>
        <w:spacing w:after="0" w:line="220" w:lineRule="auto"/>
        <w:tabs>
          <w:tab w:leader="none" w:pos="64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Appendix</w:t>
      </w:r>
      <w:r>
        <w:rPr>
          <w:rFonts w:ascii="Times New Roman" w:cs="Times New Roman" w:eastAsia="Times New Roman" w:hAnsi="Times New Roman"/>
          <w:sz w:val="18"/>
          <w:szCs w:val="18"/>
          <w:color w:val="auto"/>
        </w:rPr>
        <w:t>. For Participants outside the United States, the Restricted Stock Units shall be subject to the general terms and conditions for all non-U.S. Participants and the additional terms and conditions for certain countries set forth in the Appendix attached hereto. Moreover, if Participant relocates from the U.S. to one of the countries included in the Appendix or if Participant relocates between countries included in the Appendix during the vesting period of the Restricted Stock Units, the general terms and conditions for non-U.S. Participants and the additional terms and conditions for such country shall apply to Participant, to the extent the Company determines that the application of such terms and conditions is necessary or advisable for legal or administrative reasons. The Appendix constitutes part of this Award Agreement.</w:t>
      </w:r>
    </w:p>
    <w:p>
      <w:pPr>
        <w:spacing w:after="0" w:line="117" w:lineRule="exact"/>
        <w:rPr>
          <w:rFonts w:ascii="Times New Roman" w:cs="Times New Roman" w:eastAsia="Times New Roman" w:hAnsi="Times New Roman"/>
          <w:sz w:val="18"/>
          <w:szCs w:val="18"/>
          <w:color w:val="auto"/>
        </w:rPr>
      </w:pPr>
    </w:p>
    <w:p>
      <w:pPr>
        <w:jc w:val="both"/>
        <w:ind w:firstLine="8"/>
        <w:spacing w:after="0" w:line="231" w:lineRule="auto"/>
        <w:tabs>
          <w:tab w:leader="none" w:pos="63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Advice Regarding Grant</w:t>
      </w:r>
      <w:r>
        <w:rPr>
          <w:rFonts w:ascii="Times New Roman" w:cs="Times New Roman" w:eastAsia="Times New Roman" w:hAnsi="Times New Roman"/>
          <w:sz w:val="18"/>
          <w:szCs w:val="18"/>
          <w:color w:val="auto"/>
        </w:rPr>
        <w:t>. The Company is not providing any tax, legal or financial advice, nor is the Company making any recommendations regarding participation in the Plan, or Participant’s acquisition or sale of the underlying Shares. Participant acknowledges that he or she should consult with his or her own personal tax, legal and financial advisors regarding participation in the Plan before taking any action related to the Restricted Stock Units.</w:t>
      </w:r>
    </w:p>
    <w:p>
      <w:pPr>
        <w:spacing w:after="0" w:line="131" w:lineRule="exact"/>
        <w:rPr>
          <w:rFonts w:ascii="Times New Roman" w:cs="Times New Roman" w:eastAsia="Times New Roman" w:hAnsi="Times New Roman"/>
          <w:sz w:val="18"/>
          <w:szCs w:val="18"/>
          <w:color w:val="auto"/>
        </w:rPr>
      </w:pPr>
    </w:p>
    <w:p>
      <w:pPr>
        <w:jc w:val="both"/>
        <w:ind w:firstLine="8"/>
        <w:spacing w:after="0" w:line="226" w:lineRule="auto"/>
        <w:tabs>
          <w:tab w:leader="none" w:pos="64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for Notices</w:t>
      </w:r>
      <w:r>
        <w:rPr>
          <w:rFonts w:ascii="Times New Roman" w:cs="Times New Roman" w:eastAsia="Times New Roman" w:hAnsi="Times New Roman"/>
          <w:sz w:val="18"/>
          <w:szCs w:val="18"/>
          <w:color w:val="auto"/>
        </w:rPr>
        <w:t>. Any notice to be given to the Company under the terms of this Award Agreement will be addressed to the Company, in care of its General Counsel at Amkor Technology, Inc., 2045 East Innovation Circle, Tempe, AZ 85284, or at such other address as the Company may hereafter designate in writing.</w:t>
      </w:r>
    </w:p>
    <w:p>
      <w:pPr>
        <w:spacing w:after="0" w:line="130" w:lineRule="exact"/>
        <w:rPr>
          <w:rFonts w:ascii="Times New Roman" w:cs="Times New Roman" w:eastAsia="Times New Roman" w:hAnsi="Times New Roman"/>
          <w:sz w:val="18"/>
          <w:szCs w:val="18"/>
          <w:color w:val="auto"/>
        </w:rPr>
      </w:pPr>
    </w:p>
    <w:p>
      <w:pPr>
        <w:ind w:firstLine="8"/>
        <w:spacing w:after="0" w:line="237" w:lineRule="auto"/>
        <w:tabs>
          <w:tab w:leader="none" w:pos="64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 Participant acknowledges that a waiver by the Company of breach of any provision of this Award Agreement shall not operate or be construed as a waiver of any other provision of this Award Agreement, or of any subsequent breach by Participant or any other participants.</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8" w:firstLine="8"/>
        <w:spacing w:after="0" w:line="220" w:lineRule="auto"/>
        <w:tabs>
          <w:tab w:leader="none" w:pos="63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is Not Transferable</w:t>
      </w:r>
      <w:r>
        <w:rPr>
          <w:rFonts w:ascii="Times New Roman" w:cs="Times New Roman" w:eastAsia="Times New Roman" w:hAnsi="Times New Roman"/>
          <w:sz w:val="18"/>
          <w:szCs w:val="18"/>
          <w:color w:val="auto"/>
        </w:rPr>
        <w:t>. Except to the limited extent provided in Section 6, the unvested Restricted Stock Units subject to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any unvested Restricted Stock Units subject to this grant, or any right or privilege conferred hereby, or upon any attempted sale under any execution, attachment or similar process, this grant and the rights and privileges conferred hereby immediately will become null and void.</w:t>
      </w:r>
    </w:p>
    <w:p>
      <w:pPr>
        <w:spacing w:after="0" w:line="131" w:lineRule="exact"/>
        <w:rPr>
          <w:rFonts w:ascii="Times New Roman" w:cs="Times New Roman" w:eastAsia="Times New Roman" w:hAnsi="Times New Roman"/>
          <w:sz w:val="18"/>
          <w:szCs w:val="18"/>
          <w:color w:val="auto"/>
        </w:rPr>
      </w:pPr>
    </w:p>
    <w:p>
      <w:pPr>
        <w:jc w:val="both"/>
        <w:ind w:left="-8" w:firstLine="8"/>
        <w:spacing w:after="0" w:line="231" w:lineRule="auto"/>
        <w:tabs>
          <w:tab w:leader="none" w:pos="63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Agreement</w:t>
      </w:r>
      <w:r>
        <w:rPr>
          <w:rFonts w:ascii="Times New Roman" w:cs="Times New Roman" w:eastAsia="Times New Roman" w:hAnsi="Times New Roman"/>
          <w:sz w:val="18"/>
          <w:szCs w:val="18"/>
          <w:color w:val="auto"/>
        </w:rPr>
        <w:t>. Subject to the limitation on the transferability of this grant contained herein, this Award Agreement will be binding upon and inure to the benefit of the heirs, legatees, legal representatives, successors and assigns of the parties hereto (provided that neither the Restricted Stock Units nor this Award Agreement may be assigned by Participant).</w:t>
      </w:r>
    </w:p>
    <w:p>
      <w:pPr>
        <w:spacing w:after="0" w:line="117" w:lineRule="exact"/>
        <w:rPr>
          <w:rFonts w:ascii="Times New Roman" w:cs="Times New Roman" w:eastAsia="Times New Roman" w:hAnsi="Times New Roman"/>
          <w:sz w:val="18"/>
          <w:szCs w:val="18"/>
          <w:color w:val="auto"/>
        </w:rPr>
      </w:pPr>
    </w:p>
    <w:p>
      <w:pPr>
        <w:jc w:val="both"/>
        <w:ind w:left="-8" w:firstLine="8"/>
        <w:spacing w:after="0" w:line="215" w:lineRule="auto"/>
        <w:tabs>
          <w:tab w:leader="none" w:pos="63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Conditions</w:t>
      </w:r>
      <w:r>
        <w:rPr>
          <w:rFonts w:ascii="Times New Roman" w:cs="Times New Roman" w:eastAsia="Times New Roman" w:hAnsi="Times New Roman"/>
          <w:sz w:val="18"/>
          <w:szCs w:val="18"/>
          <w:color w:val="auto"/>
        </w:rPr>
        <w:t>. The Company will not be required to issue any certificate or certificates (or evidence of book entry) for Shares hereunder prior to fulfillment of all the following conditions: (a) the admission of such Shares to listing on all stock exchanges on which such class of stock is then listed; (b) the completion of any registration or other qualification of such Shares under any Applicable Laws or under the rulings or regulations of the U.S. Securities and Exchange Commission or any other U.S. or non-U.S. governmental regulatory body, which the Administrator, in its absolute discretion, deems necessary or advisable; (c) the obtaining of any approval or other clearance from any U.S. or non-U.S. governmental agency, which the Administrator, in its absolute discretion, determines to be necessary or advisable; and (d) the lapse of such reasonable period of time following the date of grant of the Restricted Stock Units as the Administrator may establish from time to time for reasons of administrative convenience. Participant understands that the Company is under no obligation to register or qualify the Shares subject to the Restricted Stock Units with any U.S. state or non-U.S. securities commission or to seek approval or clearance from any governmental authority for the issuance or sale of the Shares. Further, Participant agrees that the Company shall have unilateral authority to amend the Plan and this Award Agreement without Participant’s consent to the extent necessary to comply with Applicable Laws.</w:t>
      </w:r>
    </w:p>
    <w:p>
      <w:pPr>
        <w:spacing w:after="0" w:line="120" w:lineRule="exact"/>
        <w:rPr>
          <w:rFonts w:ascii="Times New Roman" w:cs="Times New Roman" w:eastAsia="Times New Roman" w:hAnsi="Times New Roman"/>
          <w:sz w:val="18"/>
          <w:szCs w:val="18"/>
          <w:color w:val="auto"/>
        </w:rPr>
      </w:pPr>
    </w:p>
    <w:p>
      <w:pPr>
        <w:jc w:val="both"/>
        <w:ind w:left="-8" w:firstLine="8"/>
        <w:spacing w:after="0" w:line="220" w:lineRule="auto"/>
        <w:tabs>
          <w:tab w:leader="none" w:pos="63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Authority</w:t>
      </w:r>
      <w:r>
        <w:rPr>
          <w:rFonts w:ascii="Times New Roman" w:cs="Times New Roman" w:eastAsia="Times New Roman" w:hAnsi="Times New Roman"/>
          <w:sz w:val="18"/>
          <w:szCs w:val="18"/>
          <w:color w:val="auto"/>
        </w:rPr>
        <w:t>. The Administrator has the power to interpret the Plan and this Award Agreement and to adopt such rules for the administration, interpretation and application of the Plan and this Award Agreement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spacing w:after="0" w:line="130" w:lineRule="exact"/>
        <w:rPr>
          <w:rFonts w:ascii="Times New Roman" w:cs="Times New Roman" w:eastAsia="Times New Roman" w:hAnsi="Times New Roman"/>
          <w:sz w:val="18"/>
          <w:szCs w:val="18"/>
          <w:color w:val="auto"/>
        </w:rPr>
      </w:pPr>
    </w:p>
    <w:p>
      <w:pPr>
        <w:jc w:val="both"/>
        <w:ind w:left="-8" w:firstLine="8"/>
        <w:spacing w:after="0" w:line="224" w:lineRule="auto"/>
        <w:tabs>
          <w:tab w:leader="none" w:pos="63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 and Acceptance</w:t>
      </w:r>
      <w:r>
        <w:rPr>
          <w:rFonts w:ascii="Times New Roman" w:cs="Times New Roman" w:eastAsia="Times New Roman" w:hAnsi="Times New Roman"/>
          <w:sz w:val="18"/>
          <w:szCs w:val="18"/>
          <w:color w:val="auto"/>
        </w:rPr>
        <w:t>. The Company may, in its sole discretion, decide to deliver any documents related to the Restricted Stock Units or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18" w:lineRule="exact"/>
        <w:rPr>
          <w:rFonts w:ascii="Times New Roman" w:cs="Times New Roman" w:eastAsia="Times New Roman" w:hAnsi="Times New Roman"/>
          <w:sz w:val="18"/>
          <w:szCs w:val="18"/>
          <w:color w:val="auto"/>
        </w:rPr>
      </w:pPr>
    </w:p>
    <w:p>
      <w:pPr>
        <w:ind w:left="-8" w:firstLine="8"/>
        <w:spacing w:after="0" w:line="237" w:lineRule="auto"/>
        <w:tabs>
          <w:tab w:leader="none" w:pos="63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Captions provided herein are for convenience only and are not to serve as a basis for interpretation or construction of this Award Agreement.</w:t>
      </w:r>
    </w:p>
    <w:p>
      <w:pPr>
        <w:spacing w:after="0" w:line="131" w:lineRule="exact"/>
        <w:rPr>
          <w:rFonts w:ascii="Times New Roman" w:cs="Times New Roman" w:eastAsia="Times New Roman" w:hAnsi="Times New Roman"/>
          <w:sz w:val="18"/>
          <w:szCs w:val="18"/>
          <w:color w:val="auto"/>
        </w:rPr>
      </w:pPr>
    </w:p>
    <w:p>
      <w:pPr>
        <w:ind w:left="-8" w:firstLine="8"/>
        <w:spacing w:after="0" w:line="237" w:lineRule="auto"/>
        <w:tabs>
          <w:tab w:leader="none" w:pos="63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Severable</w:t>
      </w:r>
      <w:r>
        <w:rPr>
          <w:rFonts w:ascii="Times New Roman" w:cs="Times New Roman" w:eastAsia="Times New Roman" w:hAnsi="Times New Roman"/>
          <w:sz w:val="18"/>
          <w:szCs w:val="18"/>
          <w:color w:val="auto"/>
        </w:rPr>
        <w:t>. In the event that any provision in this Award Agreement is held invalid or unenforceable, such provision will be severable from, and such invalidity or unenforceability will not be construed to have any effect on, the remaining provisions of this Award Agreement.</w:t>
      </w:r>
    </w:p>
    <w:p>
      <w:pPr>
        <w:spacing w:after="0" w:line="131" w:lineRule="exact"/>
        <w:rPr>
          <w:rFonts w:ascii="Times New Roman" w:cs="Times New Roman" w:eastAsia="Times New Roman" w:hAnsi="Times New Roman"/>
          <w:sz w:val="18"/>
          <w:szCs w:val="18"/>
          <w:color w:val="auto"/>
        </w:rPr>
      </w:pPr>
    </w:p>
    <w:p>
      <w:pPr>
        <w:jc w:val="both"/>
        <w:ind w:left="-8" w:firstLine="8"/>
        <w:spacing w:after="0" w:line="224" w:lineRule="auto"/>
        <w:tabs>
          <w:tab w:leader="none" w:pos="63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Modifications to the Award Agreement</w:t>
      </w:r>
      <w:r>
        <w:rPr>
          <w:rFonts w:ascii="Times New Roman" w:cs="Times New Roman" w:eastAsia="Times New Roman" w:hAnsi="Times New Roman"/>
          <w:sz w:val="18"/>
          <w:szCs w:val="18"/>
          <w:color w:val="auto"/>
        </w:rPr>
        <w:t>. The Plan and this Award Agreement constitute the entire understanding of the parties on the subjects covered herein. Participant expressly warrants that he or she is not accepting this Award Agreement in reliance on any promises, representations, or inducements other than those contained herein. Except as otherwise provided herein or in the Plan, modifications to this Award Agreement can be made only in an express written contract executed by Participant and a duly authorized officer of the Company.</w:t>
      </w:r>
    </w:p>
    <w:p>
      <w:pPr>
        <w:spacing w:after="0" w:line="131" w:lineRule="exact"/>
        <w:rPr>
          <w:rFonts w:ascii="Times New Roman" w:cs="Times New Roman" w:eastAsia="Times New Roman" w:hAnsi="Times New Roman"/>
          <w:sz w:val="18"/>
          <w:szCs w:val="18"/>
          <w:color w:val="auto"/>
        </w:rPr>
      </w:pPr>
    </w:p>
    <w:p>
      <w:pPr>
        <w:jc w:val="both"/>
        <w:ind w:left="-8" w:firstLine="8"/>
        <w:spacing w:after="0" w:line="220" w:lineRule="auto"/>
        <w:tabs>
          <w:tab w:leader="none" w:pos="63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Code Section 409A</w:t>
      </w:r>
      <w:r>
        <w:rPr>
          <w:rFonts w:ascii="Times New Roman" w:cs="Times New Roman" w:eastAsia="Times New Roman" w:hAnsi="Times New Roman"/>
          <w:sz w:val="18"/>
          <w:szCs w:val="18"/>
          <w:color w:val="auto"/>
        </w:rPr>
        <w:t>. The Award Agreement is intended to comply with, or be exempt from, Code Section 409A and all regulations, guidance, compliance programs and other interpretative authority thereunder, and shall be interpreted in a manner consistent therewith. Notwithstanding anything contained herein to the contrary, in the event the Award Agreement is subject to Code Section 409A, the Company may, in its sole discretion and without Participant’s prior consent, amend the Plan and/or the Award Agreement, adopt policies and procedures, or take any other actions as deemed appropriate by the Company to (i) exempt the Plan and/or the Award Agreement from the</w:t>
      </w:r>
    </w:p>
    <w:p>
      <w:pPr>
        <w:sectPr>
          <w:pgSz w:w="11900" w:h="16838" w:orient="portrait"/>
          <w:cols w:equalWidth="0" w:num="1">
            <w:col w:w="11232"/>
          </w:cols>
          <w:pgMar w:left="328" w:top="1440" w:right="339" w:bottom="1440" w:gutter="0" w:footer="0" w:header="0"/>
        </w:sectPr>
      </w:pPr>
    </w:p>
    <w:bookmarkStart w:id="168" w:name="page169"/>
    <w:bookmarkEnd w:id="168"/>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application of Code Section 409A, (ii) preserve the intended tax treatment of the Award Agreement or (iii) comply with the requirements of Code Section 409A. Notwithstanding anything contained herein to the contrary, in no event shall the Company or any Subsidiary have any liability or obligation to 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or any other person in the event that the Plan or the Award Agreement is not exempt from, or compliant with, Code Section 409A.</w:t>
      </w:r>
    </w:p>
    <w:p>
      <w:pPr>
        <w:spacing w:after="0" w:line="1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Furthermore, notwithstanding anything in this Agreement to the contrary, any Restricted Stock Units that become vested under this Agreement as of the date or at a time that is by reference to Participant’s termination as a Service Provider and that constitute an item of non-qualified deferred compensation subject to Code Section 409A shall not be settled unless Participant experiences a “separation from service” within the meaning of Code Section 409A (a “Separation from Service”); provided that if Participant is a “specified employee” within the meaning of Code Section 409A as of the date of the Separation from Service (as determined according to the methodology established by the Company as in effect on the date of Participant’s termination as a Service Provider), the Restricted Stock Units shall instead be settled on the first business day that is after the earlier of (i) the date that is six months following the date of the Separation from Service or (ii) the date of Participant’s death, to the extent such delayed payment is otherwise required in order to avoid a prohibited distribution under Section 409A(a)(2) of the Code, or any successor provision thereto.</w:t>
      </w:r>
    </w:p>
    <w:p>
      <w:pPr>
        <w:spacing w:after="0" w:line="151" w:lineRule="exact"/>
        <w:rPr>
          <w:sz w:val="20"/>
          <w:szCs w:val="20"/>
          <w:color w:val="auto"/>
        </w:rPr>
      </w:pPr>
    </w:p>
    <w:p>
      <w:pPr>
        <w:jc w:val="both"/>
        <w:ind w:firstLine="8"/>
        <w:spacing w:after="0" w:line="226" w:lineRule="auto"/>
        <w:tabs>
          <w:tab w:leader="none" w:pos="64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Plan</w:t>
      </w:r>
      <w:r>
        <w:rPr>
          <w:rFonts w:ascii="Times New Roman" w:cs="Times New Roman" w:eastAsia="Times New Roman" w:hAnsi="Times New Roman"/>
          <w:sz w:val="18"/>
          <w:szCs w:val="18"/>
          <w:color w:val="auto"/>
        </w:rPr>
        <w:t>. By accepting the Restricted Stock Units, Participant expressly warrants that he or she has received an Award of Restricted Stock Units under the Plan, and has received, read and understands the Plan. Participant understands that the Plan is discretionary in nature and may be amended, suspended or terminated by the Company at any time, to the extent permitted by the Plan.</w:t>
      </w:r>
    </w:p>
    <w:p>
      <w:pPr>
        <w:spacing w:after="0" w:line="130" w:lineRule="exact"/>
        <w:rPr>
          <w:rFonts w:ascii="Times New Roman" w:cs="Times New Roman" w:eastAsia="Times New Roman" w:hAnsi="Times New Roman"/>
          <w:sz w:val="18"/>
          <w:szCs w:val="18"/>
          <w:color w:val="auto"/>
        </w:rPr>
      </w:pPr>
    </w:p>
    <w:p>
      <w:pPr>
        <w:jc w:val="both"/>
        <w:ind w:firstLine="8"/>
        <w:spacing w:after="0" w:line="224" w:lineRule="auto"/>
        <w:tabs>
          <w:tab w:leader="none" w:pos="64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Venue</w:t>
      </w:r>
      <w:r>
        <w:rPr>
          <w:rFonts w:ascii="Times New Roman" w:cs="Times New Roman" w:eastAsia="Times New Roman" w:hAnsi="Times New Roman"/>
          <w:sz w:val="18"/>
          <w:szCs w:val="18"/>
          <w:color w:val="auto"/>
        </w:rPr>
        <w:t>. This Award Agreement will be governed by the laws of the State of Delaware, without giving effect to the conflict of law principles thereof. For purposes of litigating any dispute that arises under this Award or this Award Agreement, the parties hereby submit to and consent to the exclusive jurisdiction of the State of Arizona, and agree that such litigation will be conducted solely in the courts of Maricopa County, Arizona, or the federal courts for the United States for the District of Arizona in Maricopa County, Arizona, and no other courts.</w:t>
      </w:r>
    </w:p>
    <w:p>
      <w:pPr>
        <w:spacing w:after="0" w:line="131" w:lineRule="exact"/>
        <w:rPr>
          <w:rFonts w:ascii="Times New Roman" w:cs="Times New Roman" w:eastAsia="Times New Roman" w:hAnsi="Times New Roman"/>
          <w:sz w:val="18"/>
          <w:szCs w:val="18"/>
          <w:color w:val="auto"/>
        </w:rPr>
      </w:pPr>
    </w:p>
    <w:p>
      <w:pPr>
        <w:jc w:val="both"/>
        <w:ind w:firstLine="8"/>
        <w:spacing w:after="0" w:line="213" w:lineRule="auto"/>
        <w:tabs>
          <w:tab w:leader="none" w:pos="64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Insider Trading Restrictions/Market Abuse Laws</w:t>
      </w:r>
      <w:r>
        <w:rPr>
          <w:rFonts w:ascii="Times New Roman" w:cs="Times New Roman" w:eastAsia="Times New Roman" w:hAnsi="Times New Roman"/>
          <w:sz w:val="18"/>
          <w:szCs w:val="18"/>
          <w:color w:val="auto"/>
        </w:rPr>
        <w:t>. By accepting the Restricted Stock Units, Participant acknowledges that he or she is bound by all the terms and conditions of the Company’s insider trading policy as may be in effect from time to time. Participant further acknowledges that, depending on Participant’s or his or her broker’s country or the country in which the Shares are listed, he or she may be subject to insider trading restrictions and/or market abuse laws which may affect Participant’s ability to accept, acquire, sell or otherwise dispose of Shares, rights to Shares, or rights linked to the value of Shares during such times as Participant is considered to have “inside information” regarding the Company (as defined by the laws in the applicable jurisdictions). Local insider trading laws and regulations may prohibit the cancellation or amendment of orders Participant placed before Participant possessed inside information. Furthermore, Participant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the Company’s insider trading policy as may be in effect from time to time. Participant acknowledges that it is Participant’s responsibility to comply with any applicable restrictions, and Participant should speak to his or her personal advisor on this matter.</w:t>
      </w:r>
    </w:p>
    <w:p>
      <w:pPr>
        <w:spacing w:after="0" w:line="139" w:lineRule="exact"/>
        <w:rPr>
          <w:rFonts w:ascii="Times New Roman" w:cs="Times New Roman" w:eastAsia="Times New Roman" w:hAnsi="Times New Roman"/>
          <w:sz w:val="18"/>
          <w:szCs w:val="18"/>
          <w:color w:val="auto"/>
        </w:rPr>
      </w:pPr>
    </w:p>
    <w:p>
      <w:pPr>
        <w:jc w:val="both"/>
        <w:ind w:firstLine="8"/>
        <w:spacing w:after="0" w:line="220" w:lineRule="auto"/>
        <w:tabs>
          <w:tab w:leader="none" w:pos="64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Participant’s acceptance of the Restricted Stock Units by signing below or by otherwise accepting the Restricted Stock Units following such procedures as established by the Company (including an online acceptance process) constitute Participant’s agreement to be bound by the terms and conditions of this Award Agreement and the Plan. The Company may refuse to allow Participant to vest in the Restricted Stock Units unless Participant has signed this Award Agreement or otherwise accepted the Restricted Stock Units following such procedures as established by the Company (including an online acceptance process).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80"/>
        <w:spacing w:after="0"/>
        <w:tabs>
          <w:tab w:leader="none" w:pos="6180" w:val="left"/>
        </w:tabs>
        <w:rPr>
          <w:sz w:val="20"/>
          <w:szCs w:val="20"/>
          <w:color w:val="auto"/>
        </w:rPr>
      </w:pPr>
      <w:r>
        <w:rPr>
          <w:rFonts w:ascii="Times New Roman" w:cs="Times New Roman" w:eastAsia="Times New Roman" w:hAnsi="Times New Roman"/>
          <w:sz w:val="18"/>
          <w:szCs w:val="18"/>
          <w:b w:val="1"/>
          <w:bCs w:val="1"/>
          <w:color w:val="auto"/>
        </w:rPr>
        <w:t>Participant</w:t>
      </w:r>
      <w:r>
        <w:rPr>
          <w:sz w:val="20"/>
          <w:szCs w:val="20"/>
          <w:color w:val="auto"/>
        </w:rPr>
        <w:tab/>
      </w:r>
      <w:r>
        <w:rPr>
          <w:rFonts w:ascii="Times New Roman" w:cs="Times New Roman" w:eastAsia="Times New Roman" w:hAnsi="Times New Roman"/>
          <w:sz w:val="18"/>
          <w:szCs w:val="18"/>
          <w:b w:val="1"/>
          <w:bCs w:val="1"/>
          <w:color w:val="auto"/>
        </w:rPr>
        <w:t>Amkor Technology, Inc.</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APPENDIX TO</w:t>
      </w:r>
    </w:p>
    <w:p>
      <w:pPr>
        <w:spacing w:after="0" w:line="5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 TIME-VESTED RESTRICTED STOCK UNIT AWARD AGREEMENT</w:t>
      </w:r>
    </w:p>
    <w:p>
      <w:pPr>
        <w:spacing w:after="0" w:line="31" w:lineRule="exact"/>
        <w:rPr>
          <w:sz w:val="20"/>
          <w:szCs w:val="20"/>
          <w:color w:val="auto"/>
        </w:rPr>
      </w:pPr>
    </w:p>
    <w:p>
      <w:pPr>
        <w:jc w:val="both"/>
        <w:ind w:right="20" w:firstLine="648"/>
        <w:spacing w:after="0" w:line="276" w:lineRule="auto"/>
        <w:rPr>
          <w:sz w:val="20"/>
          <w:szCs w:val="20"/>
          <w:color w:val="auto"/>
        </w:rPr>
      </w:pPr>
      <w:r>
        <w:rPr>
          <w:rFonts w:ascii="Times New Roman" w:cs="Times New Roman" w:eastAsia="Times New Roman" w:hAnsi="Times New Roman"/>
          <w:sz w:val="18"/>
          <w:szCs w:val="18"/>
          <w:color w:val="auto"/>
        </w:rPr>
        <w:t>Capitalized terms used but not defined in this Appendix shall have the same meanings assigned to them in the Plan and/or the Global Time-Vested Restricted Stock Unit Award Agreement.</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2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Appendix includes general terms and conditions for all non-U.S. Participants and additional terms and conditions that govern the Restricted Stock Units if Participant works and/or resides in one of the countries listed below. If Participant is a citizen or resident of a country other than the one in which Participant is currently working and/or residing (or is considered as such for local law purposes), or if Participant transfers employment and/or residency to a different country after the Restricted Stock Units are granted, the Company will, in its discretion, determine the extent to which the terms and conditions contained herein will apply to Participant.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7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Appendix also includes information regarding certain other issues of which Participant should be aware with respect to Participant’s participation in the Plan. The information is based on the securities, exchange control and other laws in effect in the respective countries as of March 2021. Such laws are often complex and change frequently. As a result, Participant should not rely on the information noted herein as the only source of information relating to the consequences of participation in the Plan because the information may be out-of-date at the time the Restricted Stock Units vest or Participant sells any Shares acquired under the Plan.</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the information contained herein is general in nature and may not apply to Participant’s particular situation. As a result, the Company is not in a position to assure Participant of any particular result. Accordingly, Participant should seek appropriate professional advice as to how the relevant laws in Participant’s country may apply to Participant’s individual situation.</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Participant is a citizen or resident of a country other than the one in which Participant is currently working and/or residing (or is considered as such for local law purposes), or if Participant transfers employment and/or residency to a different country after the Restricted Stock Units are granted, the information contained in this Appendix may not be applicable to Participant in the same manner.</w:t>
      </w:r>
    </w:p>
    <w:p>
      <w:pPr>
        <w:sectPr>
          <w:pgSz w:w="11900" w:h="16838" w:orient="portrait"/>
          <w:cols w:equalWidth="0" w:num="1">
            <w:col w:w="11240"/>
          </w:cols>
          <w:pgMar w:left="320" w:top="1440"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TERMS AND CONDITIONS APPLICABLE TO ALL NON-U.S. PARTICIPANTS</w:t>
      </w:r>
    </w:p>
    <w:p>
      <w:pPr>
        <w:spacing w:after="0" w:line="293" w:lineRule="exact"/>
        <w:rPr>
          <w:sz w:val="20"/>
          <w:szCs w:val="20"/>
          <w:color w:val="auto"/>
        </w:rPr>
      </w:pPr>
    </w:p>
    <w:p>
      <w:pPr>
        <w:ind w:left="660" w:hanging="328"/>
        <w:spacing w:after="0"/>
        <w:tabs>
          <w:tab w:leader="none" w:pos="660" w:val="left"/>
        </w:tabs>
        <w:numPr>
          <w:ilvl w:val="0"/>
          <w:numId w:val="1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u w:val="single" w:color="auto"/>
          <w:color w:val="auto"/>
        </w:rPr>
        <w:t>Data Privacy Information and Consent</w:t>
      </w:r>
      <w:r>
        <w:rPr>
          <w:rFonts w:ascii="Times New Roman" w:cs="Times New Roman" w:eastAsia="Times New Roman" w:hAnsi="Times New Roman"/>
          <w:sz w:val="18"/>
          <w:szCs w:val="18"/>
          <w:b w:val="1"/>
          <w:bCs w:val="1"/>
          <w:i w:val="1"/>
          <w:iCs w:val="1"/>
          <w:color w:val="auto"/>
        </w:rPr>
        <w:t>.</w:t>
      </w:r>
    </w:p>
    <w:p>
      <w:pPr>
        <w:spacing w:after="0" w:line="265" w:lineRule="exact"/>
        <w:rPr>
          <w:rFonts w:ascii="Times New Roman" w:cs="Times New Roman" w:eastAsia="Times New Roman" w:hAnsi="Times New Roman"/>
          <w:sz w:val="18"/>
          <w:szCs w:val="18"/>
          <w:i w:val="1"/>
          <w:iCs w:val="1"/>
          <w:color w:val="auto"/>
        </w:rPr>
      </w:pPr>
    </w:p>
    <w:p>
      <w:pPr>
        <w:jc w:val="both"/>
        <w:ind w:firstLine="980"/>
        <w:spacing w:after="0" w:line="259" w:lineRule="auto"/>
        <w:tabs>
          <w:tab w:leader="none" w:pos="1290" w:val="left"/>
        </w:tabs>
        <w:numPr>
          <w:ilvl w:val="2"/>
          <w:numId w:val="1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Data Collection and Usage</w:t>
      </w:r>
      <w:r>
        <w:rPr>
          <w:rFonts w:ascii="Times New Roman" w:cs="Times New Roman" w:eastAsia="Times New Roman" w:hAnsi="Times New Roman"/>
          <w:sz w:val="18"/>
          <w:szCs w:val="18"/>
          <w:b w:val="1"/>
          <w:bCs w:val="1"/>
          <w:i w:val="1"/>
          <w:iCs w:val="1"/>
          <w:color w:val="auto"/>
        </w:rPr>
        <w:t>. The Company and the Service Recipient collect, process and use certain personal information about Participant, including, but not limited to, Participant’s name, home address, telephone number, email address, date of birth, social insurance number, passport or other identification number, salary, nationality, job title, any shares or directorships held in the Company, details of all awards granted under the Plan or any other entitlement to shares awarded, canceled, exercised, vested, unvested or outstanding in Participant’s favor (“Data”), for purposes of implementing, administering and managing the Plan. The legal basis, where required, for the processing of Data is Participant’s consent.</w:t>
      </w:r>
    </w:p>
    <w:p>
      <w:pPr>
        <w:spacing w:after="0" w:line="206" w:lineRule="exact"/>
        <w:rPr>
          <w:rFonts w:ascii="Times New Roman" w:cs="Times New Roman" w:eastAsia="Times New Roman" w:hAnsi="Times New Roman"/>
          <w:sz w:val="18"/>
          <w:szCs w:val="18"/>
          <w:b w:val="1"/>
          <w:bCs w:val="1"/>
          <w:i w:val="1"/>
          <w:iCs w:val="1"/>
          <w:color w:val="auto"/>
        </w:rPr>
      </w:pPr>
    </w:p>
    <w:p>
      <w:pPr>
        <w:jc w:val="both"/>
        <w:ind w:firstLine="980"/>
        <w:spacing w:after="0" w:line="259" w:lineRule="auto"/>
        <w:tabs>
          <w:tab w:leader="none" w:pos="1290" w:val="left"/>
        </w:tabs>
        <w:numPr>
          <w:ilvl w:val="2"/>
          <w:numId w:val="1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Stock Plan Administration Service Providers</w:t>
      </w:r>
      <w:r>
        <w:rPr>
          <w:rFonts w:ascii="Times New Roman" w:cs="Times New Roman" w:eastAsia="Times New Roman" w:hAnsi="Times New Roman"/>
          <w:sz w:val="18"/>
          <w:szCs w:val="18"/>
          <w:b w:val="1"/>
          <w:bCs w:val="1"/>
          <w:i w:val="1"/>
          <w:iCs w:val="1"/>
          <w:color w:val="auto"/>
        </w:rPr>
        <w:t>. The Company transfers Data to E*TRADE Financial Corporate Services, Inc. and certain of its affiliates (“E*TRADE”), an independent service provider which is assisting the Company with the implementation, administration and management of the Plan. The Company may select a different service provider or additional service providers and share Data with such other provider serving in a similar manner. Participant may be asked to agree on separate terms and data processing practices with E*TRADE and such other service providers, with such agreement being a condition to the ability to participate in the Plan.</w:t>
      </w:r>
    </w:p>
    <w:p>
      <w:pPr>
        <w:spacing w:after="0" w:line="206" w:lineRule="exact"/>
        <w:rPr>
          <w:rFonts w:ascii="Times New Roman" w:cs="Times New Roman" w:eastAsia="Times New Roman" w:hAnsi="Times New Roman"/>
          <w:sz w:val="18"/>
          <w:szCs w:val="18"/>
          <w:b w:val="1"/>
          <w:bCs w:val="1"/>
          <w:i w:val="1"/>
          <w:iCs w:val="1"/>
          <w:color w:val="auto"/>
        </w:rPr>
      </w:pPr>
    </w:p>
    <w:p>
      <w:pPr>
        <w:jc w:val="both"/>
        <w:ind w:firstLine="885"/>
        <w:spacing w:after="0" w:line="268" w:lineRule="auto"/>
        <w:tabs>
          <w:tab w:leader="none" w:pos="1293" w:val="left"/>
        </w:tabs>
        <w:numPr>
          <w:ilvl w:val="1"/>
          <w:numId w:val="1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International Data Transfers</w:t>
      </w:r>
      <w:r>
        <w:rPr>
          <w:rFonts w:ascii="Times New Roman" w:cs="Times New Roman" w:eastAsia="Times New Roman" w:hAnsi="Times New Roman"/>
          <w:sz w:val="18"/>
          <w:szCs w:val="18"/>
          <w:b w:val="1"/>
          <w:bCs w:val="1"/>
          <w:i w:val="1"/>
          <w:iCs w:val="1"/>
          <w:color w:val="auto"/>
        </w:rPr>
        <w:t>. The Company and E*TRADE are based in the U.S., which means that it will be necessary for Data to be transferred to, and processed in, the U.S. Participant’s country or jurisdiction may have different data privacy laws and protections than the U.S. The Company’s legal basis for the transfer of Data, where required, is Participant’s consent.</w:t>
      </w:r>
    </w:p>
    <w:p>
      <w:pPr>
        <w:spacing w:after="0" w:line="197" w:lineRule="exact"/>
        <w:rPr>
          <w:rFonts w:ascii="Times New Roman" w:cs="Times New Roman" w:eastAsia="Times New Roman" w:hAnsi="Times New Roman"/>
          <w:sz w:val="18"/>
          <w:szCs w:val="18"/>
          <w:b w:val="1"/>
          <w:bCs w:val="1"/>
          <w:i w:val="1"/>
          <w:iCs w:val="1"/>
          <w:color w:val="auto"/>
        </w:rPr>
      </w:pPr>
    </w:p>
    <w:p>
      <w:pPr>
        <w:jc w:val="both"/>
        <w:ind w:firstLine="980"/>
        <w:spacing w:after="0" w:line="259" w:lineRule="auto"/>
        <w:tabs>
          <w:tab w:leader="none" w:pos="1290" w:val="left"/>
        </w:tabs>
        <w:numPr>
          <w:ilvl w:val="2"/>
          <w:numId w:val="1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Data Retention</w:t>
      </w:r>
      <w:r>
        <w:rPr>
          <w:rFonts w:ascii="Times New Roman" w:cs="Times New Roman" w:eastAsia="Times New Roman" w:hAnsi="Times New Roman"/>
          <w:sz w:val="18"/>
          <w:szCs w:val="18"/>
          <w:b w:val="1"/>
          <w:bCs w:val="1"/>
          <w:i w:val="1"/>
          <w:iCs w:val="1"/>
          <w:color w:val="auto"/>
        </w:rPr>
        <w:t>. The Company will hold and use Data only as long as is necessary to implement, administer and manage Participant’s participation in the Plan, or as required to comply with legal or regulatory obligations, including under tax, exchange control, labor and securities laws. This period may extend beyond the Participant’s period as a Service Provider. When the Company and/or the Service Recipient no longer need Data for any of the above purposes, they will cease processing it in this context and remove it from all of their systems used for such purposes to the fullest extent practicable.</w:t>
      </w:r>
    </w:p>
    <w:p>
      <w:pPr>
        <w:spacing w:after="0" w:line="206" w:lineRule="exact"/>
        <w:rPr>
          <w:rFonts w:ascii="Times New Roman" w:cs="Times New Roman" w:eastAsia="Times New Roman" w:hAnsi="Times New Roman"/>
          <w:sz w:val="18"/>
          <w:szCs w:val="18"/>
          <w:b w:val="1"/>
          <w:bCs w:val="1"/>
          <w:i w:val="1"/>
          <w:iCs w:val="1"/>
          <w:color w:val="auto"/>
        </w:rPr>
      </w:pPr>
    </w:p>
    <w:p>
      <w:pPr>
        <w:jc w:val="both"/>
        <w:ind w:firstLine="980"/>
        <w:spacing w:after="0" w:line="259" w:lineRule="auto"/>
        <w:tabs>
          <w:tab w:leader="none" w:pos="1293" w:val="left"/>
        </w:tabs>
        <w:numPr>
          <w:ilvl w:val="2"/>
          <w:numId w:val="1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Voluntariness and Consequences of Consent Denial or Withdrawal</w:t>
      </w:r>
      <w:r>
        <w:rPr>
          <w:rFonts w:ascii="Times New Roman" w:cs="Times New Roman" w:eastAsia="Times New Roman" w:hAnsi="Times New Roman"/>
          <w:sz w:val="18"/>
          <w:szCs w:val="18"/>
          <w:b w:val="1"/>
          <w:bCs w:val="1"/>
          <w:i w:val="1"/>
          <w:iCs w:val="1"/>
          <w:color w:val="auto"/>
        </w:rPr>
        <w:t>. Participation in the Plan is voluntary and Participant is providing the consents herein on a purely voluntary basis. If Participant does not consent, or if Participant later seeks to revoke his or her consent, Participant’s salary from or employment or service with the Service Recipient will not be affected; the only consequence of refusing or withdrawing consent is that the Company would not be able to grant the Restricted Stock Units or other equity awards to Participant under the Plan or administer or maintain such awards.</w:t>
      </w:r>
    </w:p>
    <w:p>
      <w:pPr>
        <w:spacing w:after="0" w:line="206" w:lineRule="exact"/>
        <w:rPr>
          <w:rFonts w:ascii="Times New Roman" w:cs="Times New Roman" w:eastAsia="Times New Roman" w:hAnsi="Times New Roman"/>
          <w:sz w:val="18"/>
          <w:szCs w:val="18"/>
          <w:b w:val="1"/>
          <w:bCs w:val="1"/>
          <w:i w:val="1"/>
          <w:iCs w:val="1"/>
          <w:color w:val="auto"/>
        </w:rPr>
      </w:pPr>
    </w:p>
    <w:p>
      <w:pPr>
        <w:jc w:val="both"/>
        <w:ind w:firstLine="980"/>
        <w:spacing w:after="0" w:line="259" w:lineRule="auto"/>
        <w:tabs>
          <w:tab w:leader="none" w:pos="1287" w:val="left"/>
        </w:tabs>
        <w:numPr>
          <w:ilvl w:val="2"/>
          <w:numId w:val="1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Data Subject Rights.</w:t>
      </w:r>
      <w:r>
        <w:rPr>
          <w:rFonts w:ascii="Times New Roman" w:cs="Times New Roman" w:eastAsia="Times New Roman" w:hAnsi="Times New Roman"/>
          <w:sz w:val="18"/>
          <w:szCs w:val="18"/>
          <w:b w:val="1"/>
          <w:bCs w:val="1"/>
          <w:i w:val="1"/>
          <w:iCs w:val="1"/>
          <w:color w:val="auto"/>
        </w:rPr>
        <w:t xml:space="preserve"> Participant may have a number of rights under data privacy laws in his or her jurisdiction. Depending on where Participant is based, such rights may include the right to (i) request access to or copies of Data the Company processes, (ii) rectify incorrect Data, (iii) delete Data, (iv) restrict the processing of Data, (v) restrict the portability of Data, (vi) lodge complaints with competent authorities in Participant’s jurisdiction, and/or (vii) receive a list with the names and addresses of any potential recipients of Data. To receive clarification regarding these rights or to exercise these rights, Participant can contact his or her local human resources representative.</w:t>
      </w:r>
    </w:p>
    <w:p>
      <w:pPr>
        <w:spacing w:after="0" w:line="206" w:lineRule="exact"/>
        <w:rPr>
          <w:sz w:val="20"/>
          <w:szCs w:val="20"/>
          <w:color w:val="auto"/>
        </w:rPr>
      </w:pPr>
    </w:p>
    <w:p>
      <w:pPr>
        <w:jc w:val="both"/>
        <w:ind w:firstLine="885"/>
        <w:spacing w:after="0" w:line="262" w:lineRule="auto"/>
        <w:tabs>
          <w:tab w:leader="none" w:pos="1290" w:val="left"/>
        </w:tabs>
        <w:numPr>
          <w:ilvl w:val="0"/>
          <w:numId w:val="1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Other Legal Basis and Additional Consent</w:t>
      </w:r>
      <w:r>
        <w:rPr>
          <w:rFonts w:ascii="Times New Roman" w:cs="Times New Roman" w:eastAsia="Times New Roman" w:hAnsi="Times New Roman"/>
          <w:sz w:val="18"/>
          <w:szCs w:val="18"/>
          <w:b w:val="1"/>
          <w:bCs w:val="1"/>
          <w:i w:val="1"/>
          <w:iCs w:val="1"/>
          <w:color w:val="auto"/>
        </w:rPr>
        <w:t>. Participant understands that the Company may rely on a different legal basis for the collection, processing or transfer of Data in the future and/or request Participant to provide another data privacy consent. If applicable, upon request of the Company or the Service Recipient, Participant will provide a separate executed data privacy agreement (or any other agreements or consents) that the Company and/or the Service Recipient may deem necessary to obtain from Participant for the purpose of</w:t>
      </w:r>
    </w:p>
    <w:p>
      <w:pPr>
        <w:sectPr>
          <w:pgSz w:w="11900" w:h="16838" w:orient="portrait"/>
          <w:cols w:equalWidth="0" w:num="1">
            <w:col w:w="11240"/>
          </w:cols>
          <w:pgMar w:left="320" w:top="1427" w:right="339" w:bottom="1440" w:gutter="0" w:footer="0" w:header="0"/>
        </w:sectPr>
      </w:pPr>
    </w:p>
    <w:bookmarkStart w:id="171" w:name="page172"/>
    <w:bookmarkEnd w:id="171"/>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administering his or her participation in the Plan in compliance with the data privacy laws in Participant’s country, either now or in the future. Participant understands and agrees that Participant will not be able to participate in the Plan if Participant fails to provide any such agreement requested by the Company and/or the Service Recipient.</w:t>
      </w:r>
    </w:p>
    <w:p>
      <w:pPr>
        <w:spacing w:after="0" w:line="215" w:lineRule="exact"/>
        <w:rPr>
          <w:sz w:val="20"/>
          <w:szCs w:val="20"/>
          <w:color w:val="auto"/>
        </w:rPr>
      </w:pPr>
    </w:p>
    <w:p>
      <w:pPr>
        <w:ind w:left="660" w:hanging="328"/>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Grant</w:t>
      </w:r>
      <w:r>
        <w:rPr>
          <w:rFonts w:ascii="Times New Roman" w:cs="Times New Roman" w:eastAsia="Times New Roman" w:hAnsi="Times New Roman"/>
          <w:sz w:val="18"/>
          <w:szCs w:val="18"/>
          <w:color w:val="auto"/>
        </w:rPr>
        <w:t>. By accepting the Restricted Stock Units, Participant acknowledges, understands, and agrees that:</w:t>
      </w:r>
    </w:p>
    <w:p>
      <w:pPr>
        <w:spacing w:after="0" w:line="279" w:lineRule="exact"/>
        <w:rPr>
          <w:rFonts w:ascii="Times New Roman" w:cs="Times New Roman" w:eastAsia="Times New Roman" w:hAnsi="Times New Roman"/>
          <w:sz w:val="18"/>
          <w:szCs w:val="18"/>
          <w:color w:val="auto"/>
        </w:rPr>
      </w:pPr>
    </w:p>
    <w:p>
      <w:pPr>
        <w:ind w:firstLine="885"/>
        <w:spacing w:after="0" w:line="282" w:lineRule="auto"/>
        <w:tabs>
          <w:tab w:leader="none" w:pos="1293"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Restricted Stock Units is exceptional, voluntary and occasional and does not create any contractual or other right to receive future grants of restricted stock units, or benefits in lieu of restricted stock units, even if restricted stock units have been granted in the past;</w:t>
      </w:r>
    </w:p>
    <w:p>
      <w:pPr>
        <w:spacing w:after="0" w:line="188" w:lineRule="exact"/>
        <w:rPr>
          <w:rFonts w:ascii="Times New Roman" w:cs="Times New Roman" w:eastAsia="Times New Roman" w:hAnsi="Times New Roman"/>
          <w:sz w:val="18"/>
          <w:szCs w:val="18"/>
          <w:color w:val="auto"/>
        </w:rPr>
      </w:pPr>
    </w:p>
    <w:p>
      <w:pPr>
        <w:ind w:left="1300" w:hanging="415"/>
        <w:spacing w:after="0"/>
        <w:tabs>
          <w:tab w:leader="none" w:pos="130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restricted stock unit or other grants, if any, will be at the sole discretion of the Company;</w:t>
      </w:r>
    </w:p>
    <w:p>
      <w:pPr>
        <w:spacing w:after="0" w:line="252" w:lineRule="exact"/>
        <w:rPr>
          <w:rFonts w:ascii="Times New Roman" w:cs="Times New Roman" w:eastAsia="Times New Roman" w:hAnsi="Times New Roman"/>
          <w:sz w:val="18"/>
          <w:szCs w:val="18"/>
          <w:color w:val="auto"/>
        </w:rPr>
      </w:pPr>
    </w:p>
    <w:p>
      <w:pPr>
        <w:ind w:left="1300" w:hanging="415"/>
        <w:spacing w:after="0"/>
        <w:tabs>
          <w:tab w:leader="none" w:pos="130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is voluntarily participating in the Plan;</w:t>
      </w:r>
    </w:p>
    <w:p>
      <w:pPr>
        <w:spacing w:after="0" w:line="252" w:lineRule="exact"/>
        <w:rPr>
          <w:rFonts w:ascii="Times New Roman" w:cs="Times New Roman" w:eastAsia="Times New Roman" w:hAnsi="Times New Roman"/>
          <w:sz w:val="18"/>
          <w:szCs w:val="18"/>
          <w:color w:val="auto"/>
        </w:rPr>
      </w:pPr>
    </w:p>
    <w:p>
      <w:pPr>
        <w:ind w:firstLine="885"/>
        <w:spacing w:after="0" w:line="282" w:lineRule="auto"/>
        <w:tabs>
          <w:tab w:leader="none" w:pos="129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and any Shares subject to the Restricted Stock Units, and the income from and value of same, are not intended to replace any pension rights or compensation;</w:t>
      </w:r>
    </w:p>
    <w:p>
      <w:pPr>
        <w:spacing w:after="0" w:line="188" w:lineRule="exact"/>
        <w:rPr>
          <w:rFonts w:ascii="Times New Roman" w:cs="Times New Roman" w:eastAsia="Times New Roman" w:hAnsi="Times New Roman"/>
          <w:sz w:val="18"/>
          <w:szCs w:val="18"/>
          <w:color w:val="auto"/>
        </w:rPr>
      </w:pPr>
    </w:p>
    <w:p>
      <w:pPr>
        <w:jc w:val="both"/>
        <w:ind w:firstLine="885"/>
        <w:spacing w:after="0" w:line="266" w:lineRule="auto"/>
        <w:tabs>
          <w:tab w:leader="none" w:pos="1293"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agreed with the Company, the Restricted Stock Units and the Shares subject to the Restricted Stock Units, and the income from and value of same, are not granted as consideration for, or in connection with, the service Participant may provide as a director of a Subsidiary;</w:t>
      </w:r>
    </w:p>
    <w:p>
      <w:pPr>
        <w:spacing w:after="0" w:line="202" w:lineRule="exact"/>
        <w:rPr>
          <w:rFonts w:ascii="Times New Roman" w:cs="Times New Roman" w:eastAsia="Times New Roman" w:hAnsi="Times New Roman"/>
          <w:sz w:val="18"/>
          <w:szCs w:val="18"/>
          <w:color w:val="auto"/>
        </w:rPr>
      </w:pPr>
    </w:p>
    <w:p>
      <w:pPr>
        <w:jc w:val="both"/>
        <w:ind w:firstLine="885"/>
        <w:spacing w:after="0" w:line="266" w:lineRule="auto"/>
        <w:tabs>
          <w:tab w:leader="none" w:pos="1287"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and any Shares subject to the Restricted Stock Units, and the income from and value of same, are not part of normal or expected compensation for any purpose, including, without limitation to, calculating any severance, resignation, termination, redundancy, dismissal, end-of-service payments, bonuses, long-service awards, holiday pay, pension or retirement or welfare benefits or similar mandatory payments;</w:t>
      </w:r>
    </w:p>
    <w:p>
      <w:pPr>
        <w:spacing w:after="0" w:line="202" w:lineRule="exact"/>
        <w:rPr>
          <w:rFonts w:ascii="Times New Roman" w:cs="Times New Roman" w:eastAsia="Times New Roman" w:hAnsi="Times New Roman"/>
          <w:sz w:val="18"/>
          <w:szCs w:val="18"/>
          <w:color w:val="auto"/>
        </w:rPr>
      </w:pPr>
    </w:p>
    <w:p>
      <w:pPr>
        <w:ind w:left="1300" w:hanging="415"/>
        <w:spacing w:after="0"/>
        <w:tabs>
          <w:tab w:leader="none" w:pos="130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Shares underlying the Restricted Stock Units is unknown, indeterminable, and cannot be predicted with certainty;</w:t>
      </w:r>
    </w:p>
    <w:p>
      <w:pPr>
        <w:spacing w:after="0" w:line="252" w:lineRule="exact"/>
        <w:rPr>
          <w:rFonts w:ascii="Times New Roman" w:cs="Times New Roman" w:eastAsia="Times New Roman" w:hAnsi="Times New Roman"/>
          <w:sz w:val="18"/>
          <w:szCs w:val="18"/>
          <w:color w:val="auto"/>
        </w:rPr>
      </w:pPr>
    </w:p>
    <w:p>
      <w:pPr>
        <w:jc w:val="both"/>
        <w:ind w:firstLine="885"/>
        <w:spacing w:after="0" w:line="266" w:lineRule="auto"/>
        <w:tabs>
          <w:tab w:leader="none" w:pos="129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the Restricted Stock Units resulting from the termination of Participant’s status as a Service Provider (for any reason whatsoever, whether or not later found to be invalid or in breach of labor laws in the jurisdiction where the Participant is providing service or the terms of the Participant’s employment or other service agreement, if any);</w:t>
      </w:r>
    </w:p>
    <w:p>
      <w:pPr>
        <w:spacing w:after="0" w:line="202" w:lineRule="exact"/>
        <w:rPr>
          <w:rFonts w:ascii="Times New Roman" w:cs="Times New Roman" w:eastAsia="Times New Roman" w:hAnsi="Times New Roman"/>
          <w:sz w:val="18"/>
          <w:szCs w:val="18"/>
          <w:color w:val="auto"/>
        </w:rPr>
      </w:pPr>
    </w:p>
    <w:p>
      <w:pPr>
        <w:jc w:val="both"/>
        <w:ind w:firstLine="885"/>
        <w:spacing w:after="0" w:line="266" w:lineRule="auto"/>
        <w:tabs>
          <w:tab w:leader="none" w:pos="129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Plan or by the Company in its discretion, the Restricted Stock Units and the benefits evidenced by this Award Agreement do not create any entitlement to have the Restricted Stock Units or any such benefits transferred to, or assumed by, another company nor to be exchanged, cashed out or substituted for, in connection with any corporate transaction affecting the Shares; and</w:t>
      </w:r>
    </w:p>
    <w:p>
      <w:pPr>
        <w:spacing w:after="0" w:line="202" w:lineRule="exact"/>
        <w:rPr>
          <w:rFonts w:ascii="Times New Roman" w:cs="Times New Roman" w:eastAsia="Times New Roman" w:hAnsi="Times New Roman"/>
          <w:sz w:val="18"/>
          <w:szCs w:val="18"/>
          <w:color w:val="auto"/>
        </w:rPr>
      </w:pPr>
    </w:p>
    <w:p>
      <w:pPr>
        <w:jc w:val="both"/>
        <w:ind w:firstLine="885"/>
        <w:spacing w:after="0" w:line="266" w:lineRule="auto"/>
        <w:tabs>
          <w:tab w:leader="none" w:pos="129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the Service Recipient nor any other Subsidiary shall be liable for any foreign exchange rate fluctuation between Participant’s local currency and the U.S. dollar that may affect the value of the Restricted Stock Units or of any amounts due to Participant pursuant to the Restricted Stock or the subsequent sale of any Shares subject to the Restricted Stock Units.</w:t>
      </w:r>
    </w:p>
    <w:p>
      <w:pPr>
        <w:spacing w:after="0" w:line="202" w:lineRule="exact"/>
        <w:rPr>
          <w:rFonts w:ascii="Times New Roman" w:cs="Times New Roman" w:eastAsia="Times New Roman" w:hAnsi="Times New Roman"/>
          <w:sz w:val="18"/>
          <w:szCs w:val="18"/>
          <w:color w:val="auto"/>
        </w:rPr>
      </w:pPr>
    </w:p>
    <w:p>
      <w:pPr>
        <w:jc w:val="both"/>
        <w:ind w:firstLine="332"/>
        <w:spacing w:after="0" w:line="261" w:lineRule="auto"/>
        <w:tabs>
          <w:tab w:leader="none" w:pos="64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Language</w:t>
      </w:r>
      <w:r>
        <w:rPr>
          <w:rFonts w:ascii="Times New Roman" w:cs="Times New Roman" w:eastAsia="Times New Roman" w:hAnsi="Times New Roman"/>
          <w:sz w:val="18"/>
          <w:szCs w:val="18"/>
          <w:color w:val="auto"/>
        </w:rPr>
        <w:t>. Participant acknowledges that he or she is sufficiently proficient in English, or has consulted with an advisor who is sufficiently proficient in English, so as to allow Participant to understand the terms and conditions of this Award Agreement. If Participant has received this Award Agreement, or any other documents related to the Restricted Stock Units and/or the Plan translated into a language other than English and if the meaning of the translated version is different than the English version, the English version will control.</w:t>
      </w:r>
    </w:p>
    <w:p>
      <w:pPr>
        <w:sectPr>
          <w:pgSz w:w="11900" w:h="16838" w:orient="portrait"/>
          <w:cols w:equalWidth="0" w:num="1">
            <w:col w:w="11240"/>
          </w:cols>
          <w:pgMar w:left="320" w:top="1413" w:right="339" w:bottom="1440" w:gutter="0" w:footer="0" w:header="0"/>
        </w:sectPr>
      </w:pPr>
    </w:p>
    <w:bookmarkStart w:id="172" w:name="page173"/>
    <w:bookmarkEnd w:id="172"/>
    <w:p>
      <w:pPr>
        <w:jc w:val="both"/>
        <w:ind w:left="-332" w:firstLine="332"/>
        <w:spacing w:after="0" w:line="255" w:lineRule="auto"/>
        <w:tabs>
          <w:tab w:leader="none" w:pos="31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Asset/Account, Exchange Control and Tax Reporting</w:t>
      </w:r>
      <w:r>
        <w:rPr>
          <w:rFonts w:ascii="Times New Roman" w:cs="Times New Roman" w:eastAsia="Times New Roman" w:hAnsi="Times New Roman"/>
          <w:sz w:val="18"/>
          <w:szCs w:val="18"/>
          <w:color w:val="auto"/>
        </w:rPr>
        <w:t>. Participant may be subject to foreign asset/account, exchange control, tax reporting or other requirements which may affect Participant’s ability acquire or hold Restricted Stock Units, Shares or cash received from participating in the Plan (including dividends and the proceeds arising from the sale of Shares) in a brokerage/bank account outside Participant’s country. The applicable laws of Participant’s country may require that he or she report such Restricted Stock Units, Shares, accounts, assets or transactions to the applicable authorities in such country and/or repatriate funds received in connection with the Plan to Participant’s country within a certain time period or according to certain procedures. Participant acknowledges that he or she is responsible for ensuring compliance with any applicable requirements and should consult his or her personal legal advisor to ensure compliance with Applicable Laws.</w:t>
      </w:r>
    </w:p>
    <w:p>
      <w:pPr>
        <w:sectPr>
          <w:pgSz w:w="11900" w:h="16838" w:orient="portrait"/>
          <w:cols w:equalWidth="0" w:num="1">
            <w:col w:w="10908"/>
          </w:cols>
          <w:pgMar w:left="652" w:top="1417"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TERMS AND CONDITIONS FOR CERTAIN COUNTRIES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KOREA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Korean residents must declare all foreign financial accounts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non-Korean bank accounts, brokerage accounts) to the Korean tax authorities and file a report with respect to such accounts if the monthly balance of such accounts exceeds KRW 500 million (or an equivalent amount in foreign currency) on any month-end during a calendar year. Participant should consult with his or her personal tax advisor to determine his or her personal reporting obligations.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SINGAPORE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2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u w:val="single" w:color="auto"/>
          <w:color w:val="auto"/>
        </w:rPr>
        <w:t>Restriction on Sale of Shares</w:t>
      </w:r>
      <w:r>
        <w:rPr>
          <w:rFonts w:ascii="Times New Roman" w:cs="Times New Roman" w:eastAsia="Times New Roman" w:hAnsi="Times New Roman"/>
          <w:sz w:val="18"/>
          <w:szCs w:val="18"/>
          <w:color w:val="auto"/>
        </w:rPr>
        <w:t>. The Restricted Stock Units are subject to section 257 of the Securities and Futures Act (Chapter 289, 2006 Ed.) (“SFA”) and Participant will not be able to make any subsequent offer to sell or sale of the Shares in Singapore, unless such offer or sale is made (1) after six (6) months from the Date of Grant, (2) pursuant to the exemptions under Part XIII Division (1) Subdivision (4) (other than section 280) of the SFA or (3) pursuant to, and in accordance with, the conditions of any other applicable exemptions under the SFA.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The offer of the Plan, the grant of the Restricted Stock Units, and the issuance of the Shares subject to the Restricted Stock Units are being made pursuant to the “Qualifying Person” exemption under section 273(1)(f) of the SFA. The Plan has not been lodged or registered as a prospectus with the Monetary Authority of Singapore.</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Director Notification</w:t>
      </w:r>
      <w:r>
        <w:rPr>
          <w:rFonts w:ascii="Times New Roman" w:cs="Times New Roman" w:eastAsia="Times New Roman" w:hAnsi="Times New Roman"/>
          <w:sz w:val="18"/>
          <w:szCs w:val="18"/>
          <w:color w:val="auto"/>
        </w:rPr>
        <w:t>. Participant understands and acknowledges that if Participant is a director, associate director or shadow director of a Singapore Subsidiary, Participant is subject to certain notification requirements under the Singapore Companies Act, regardless of whether Participant is a Singapore resident or providing services in Singapore. Among these requirements is an obligation to notify the Singapore Subsidiary in writing when Participant receives an interest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Restricted Stock Units) in the Company. In addition, Participant must notify the Singapore Subsidiary when Participant sells Shares (including when Participant sells Shares acquired under the Plan). These notifications must be made within two days of acquiring or disposing of any interest in the Company. In addition, a notification must be made of Participant’s interests in the Company within two days of becoming a director, associate director or shadow director.</w:t>
      </w:r>
    </w:p>
    <w:p>
      <w:pPr>
        <w:sectPr>
          <w:pgSz w:w="11900" w:h="16838" w:orient="portrait"/>
          <w:cols w:equalWidth="0" w:num="1">
            <w:col w:w="11240"/>
          </w:cols>
          <w:pgMar w:left="320" w:top="1427" w:right="339" w:bottom="1440" w:gutter="0" w:footer="0" w:header="0"/>
        </w:sectPr>
      </w:pPr>
    </w:p>
    <w:bookmarkStart w:id="174" w:name="page175"/>
    <w:bookmarkEnd w:id="174"/>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10.30</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October 31, 2024</w:t>
      </w:r>
    </w:p>
    <w:p>
      <w:pPr>
        <w:spacing w:after="0" w:line="200" w:lineRule="exact"/>
        <w:rPr>
          <w:sz w:val="20"/>
          <w:szCs w:val="20"/>
          <w:color w:val="auto"/>
        </w:rPr>
      </w:pPr>
    </w:p>
    <w:p>
      <w:pPr>
        <w:spacing w:after="0" w:line="27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Each member of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Amkor Technology,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who is a non-employee director of the Company (each such member, a “</w:t>
      </w:r>
      <w:r>
        <w:rPr>
          <w:rFonts w:ascii="Times New Roman" w:cs="Times New Roman" w:eastAsia="Times New Roman" w:hAnsi="Times New Roman"/>
          <w:sz w:val="18"/>
          <w:szCs w:val="18"/>
          <w:b w:val="1"/>
          <w:bCs w:val="1"/>
          <w:color w:val="auto"/>
        </w:rPr>
        <w:t>Non-Employee Director</w:t>
      </w:r>
      <w:r>
        <w:rPr>
          <w:rFonts w:ascii="Times New Roman" w:cs="Times New Roman" w:eastAsia="Times New Roman" w:hAnsi="Times New Roman"/>
          <w:sz w:val="18"/>
          <w:szCs w:val="18"/>
          <w:color w:val="auto"/>
        </w:rPr>
        <w:t>”) will be eligible to receive the compensation described in this Non-Employee Director Compensation Policy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for his or her Board service. Unless otherwise defined herein, capitalized terms used in this Policy will have the meaning given to such terms in the Company’s 2021 Equity Incentive Plan (as amended,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or any successor equity incentive plan.</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The Policy, as amended and restated, will be effective on October 31, 2024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The Policy may be amended at any time in the sole discretion of the Board.</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Commencing with the Effective Date, each Non-Employee Director will be eligible to receive the applicable compensation set forth below. Cash retainers may be paid either as a lump sum or in periodic (e.g., quarterly) installments and may be prorated for service of less than an annual period. Any equity compensation contemplated under this Policy will be granted under the Plan or any successor equity incentive plan.</w:t>
      </w:r>
    </w:p>
    <w:p>
      <w:pPr>
        <w:spacing w:after="0" w:line="172" w:lineRule="exact"/>
        <w:rPr>
          <w:sz w:val="20"/>
          <w:szCs w:val="20"/>
          <w:color w:val="auto"/>
        </w:rPr>
      </w:pPr>
    </w:p>
    <w:p>
      <w:pPr>
        <w:ind w:left="1300" w:right="40" w:hanging="644"/>
        <w:spacing w:after="0" w:line="502" w:lineRule="auto"/>
        <w:tabs>
          <w:tab w:leader="none" w:pos="1294"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Retainers for Board Service. </w:t>
      </w:r>
      <w:r>
        <w:rPr>
          <w:rFonts w:ascii="Times New Roman" w:cs="Times New Roman" w:eastAsia="Times New Roman" w:hAnsi="Times New Roman"/>
          <w:sz w:val="18"/>
          <w:szCs w:val="18"/>
          <w:color w:val="auto"/>
        </w:rPr>
        <w:t>Each person serving as a Non-Employee Director will be paid an annual cash retainer of $85,000.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additional annual cash retainers will be paid to a Non-Employee Director serving in each of the following applicable roles: Lead Independent Director: $30,000</w:t>
      </w:r>
    </w:p>
    <w:p>
      <w:pPr>
        <w:spacing w:after="0" w:line="1"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Chairman: $150,000</w:t>
      </w:r>
    </w:p>
    <w:p>
      <w:pPr>
        <w:spacing w:after="0" w:line="225"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Strategic Oversight Role: $75,000</w:t>
      </w:r>
    </w:p>
    <w:p>
      <w:pPr>
        <w:spacing w:after="0" w:line="221"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286"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Retainers for Committee Service. </w:t>
      </w:r>
      <w:r>
        <w:rPr>
          <w:rFonts w:ascii="Times New Roman" w:cs="Times New Roman" w:eastAsia="Times New Roman" w:hAnsi="Times New Roman"/>
          <w:sz w:val="18"/>
          <w:szCs w:val="18"/>
          <w:color w:val="auto"/>
        </w:rPr>
        <w:t>The following annual cash retainers will be paid to a Non-Employee Director serving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Chair of a committee of the Board as listed below:</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Audit Committee Chair: $25,000</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Compensation Committee Chair: $15,000</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Nominating and Governance Committee Chair: $10,000</w:t>
      </w:r>
    </w:p>
    <w:p>
      <w:pPr>
        <w:spacing w:after="0" w:line="225"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The following annual cash retainers will be paid to a Non-Employee Director serving as a member of a committee of the Board (including the Chair of the committee) as listed below:</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Audit Committee member: $12,000</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Compensation Committee member: $10,000</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Nominating and Governance Committee member: $7,500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40" w:right="339" w:bottom="1440" w:gutter="0" w:footer="0" w:header="0"/>
        </w:sectPr>
      </w:pPr>
    </w:p>
    <w:bookmarkStart w:id="175" w:name="page176"/>
    <w:bookmarkEnd w:id="175"/>
    <w:p>
      <w:pPr>
        <w:ind w:left="1300" w:hanging="644"/>
        <w:spacing w:after="0"/>
        <w:tabs>
          <w:tab w:leader="none" w:pos="1300" w:val="left"/>
        </w:tabs>
        <w:numPr>
          <w:ilvl w:val="1"/>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Equity Award Grant</w:t>
      </w:r>
      <w:r>
        <w:rPr>
          <w:rFonts w:ascii="Times New Roman" w:cs="Times New Roman" w:eastAsia="Times New Roman" w:hAnsi="Times New Roman"/>
          <w:sz w:val="18"/>
          <w:szCs w:val="18"/>
          <w:color w:val="auto"/>
        </w:rPr>
        <w:t>.</w:t>
      </w:r>
    </w:p>
    <w:p>
      <w:pPr>
        <w:spacing w:after="0" w:line="211" w:lineRule="exact"/>
        <w:rPr>
          <w:rFonts w:ascii="Times New Roman" w:cs="Times New Roman" w:eastAsia="Times New Roman" w:hAnsi="Times New Roman"/>
          <w:sz w:val="18"/>
          <w:szCs w:val="18"/>
          <w:b w:val="1"/>
          <w:bCs w:val="1"/>
          <w:color w:val="auto"/>
        </w:rPr>
      </w:pPr>
    </w:p>
    <w:p>
      <w:pPr>
        <w:jc w:val="both"/>
        <w:ind w:firstLine="1304"/>
        <w:spacing w:after="0" w:line="214" w:lineRule="auto"/>
        <w:tabs>
          <w:tab w:leader="none" w:pos="1938" w:val="left"/>
        </w:tabs>
        <w:numPr>
          <w:ilvl w:val="2"/>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Grants. </w:t>
      </w:r>
      <w:r>
        <w:rPr>
          <w:rFonts w:ascii="Times New Roman" w:cs="Times New Roman" w:eastAsia="Times New Roman" w:hAnsi="Times New Roman"/>
          <w:sz w:val="18"/>
          <w:szCs w:val="18"/>
          <w:color w:val="auto"/>
        </w:rPr>
        <w:t>Without any further action by the Board, at the close of business on the date of each annual meeting of the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commencing with the Effective Date (each, an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each person who is then a Non-Employee Director will automatically be granted Restricted Stock Units equal to (A) $195,000 divided by (B) the Fair Market Value of a share of Common Stock on the date of the applicable Annual Meeting (each, an “</w:t>
      </w:r>
      <w:r>
        <w:rPr>
          <w:rFonts w:ascii="Times New Roman" w:cs="Times New Roman" w:eastAsia="Times New Roman" w:hAnsi="Times New Roman"/>
          <w:sz w:val="18"/>
          <w:szCs w:val="18"/>
          <w:b w:val="1"/>
          <w:bCs w:val="1"/>
          <w:color w:val="auto"/>
        </w:rPr>
        <w:t>Annual Grant</w:t>
      </w:r>
      <w:r>
        <w:rPr>
          <w:rFonts w:ascii="Times New Roman" w:cs="Times New Roman" w:eastAsia="Times New Roman" w:hAnsi="Times New Roman"/>
          <w:sz w:val="18"/>
          <w:szCs w:val="18"/>
          <w:color w:val="auto"/>
        </w:rPr>
        <w:t>”). A Non-Employee Director who has been elected or appointed for the first time to be a Non-Employee Director after the Annual Meeting (a “</w:t>
      </w:r>
      <w:r>
        <w:rPr>
          <w:rFonts w:ascii="Times New Roman" w:cs="Times New Roman" w:eastAsia="Times New Roman" w:hAnsi="Times New Roman"/>
          <w:sz w:val="18"/>
          <w:szCs w:val="18"/>
          <w:b w:val="1"/>
          <w:bCs w:val="1"/>
          <w:color w:val="auto"/>
        </w:rPr>
        <w:t>New Director</w:t>
      </w:r>
      <w:r>
        <w:rPr>
          <w:rFonts w:ascii="Times New Roman" w:cs="Times New Roman" w:eastAsia="Times New Roman" w:hAnsi="Times New Roman"/>
          <w:sz w:val="18"/>
          <w:szCs w:val="18"/>
          <w:color w:val="auto"/>
        </w:rPr>
        <w:t>”) will receive a prorated Annual Grant. The value of the prorated Annual Grant for a New Director will be equal to the product of (1) the Annual Grant value and (2) a fraction, the numerator of which will be equal to the number of days in the period beginning on the date the New Director was elected or appointed (the “</w:t>
      </w:r>
      <w:r>
        <w:rPr>
          <w:rFonts w:ascii="Times New Roman" w:cs="Times New Roman" w:eastAsia="Times New Roman" w:hAnsi="Times New Roman"/>
          <w:sz w:val="18"/>
          <w:szCs w:val="18"/>
          <w:b w:val="1"/>
          <w:bCs w:val="1"/>
          <w:color w:val="auto"/>
        </w:rPr>
        <w:t>Start Date</w:t>
      </w:r>
      <w:r>
        <w:rPr>
          <w:rFonts w:ascii="Times New Roman" w:cs="Times New Roman" w:eastAsia="Times New Roman" w:hAnsi="Times New Roman"/>
          <w:sz w:val="18"/>
          <w:szCs w:val="18"/>
          <w:color w:val="auto"/>
        </w:rPr>
        <w:t>”) to the date of the next subsequent Annual Meeting and the denominator of which will be 365 (the “</w:t>
      </w:r>
      <w:r>
        <w:rPr>
          <w:rFonts w:ascii="Times New Roman" w:cs="Times New Roman" w:eastAsia="Times New Roman" w:hAnsi="Times New Roman"/>
          <w:sz w:val="18"/>
          <w:szCs w:val="18"/>
          <w:b w:val="1"/>
          <w:bCs w:val="1"/>
          <w:color w:val="auto"/>
        </w:rPr>
        <w:t>Prorated Annual Grant</w:t>
      </w:r>
      <w:r>
        <w:rPr>
          <w:rFonts w:ascii="Times New Roman" w:cs="Times New Roman" w:eastAsia="Times New Roman" w:hAnsi="Times New Roman"/>
          <w:sz w:val="18"/>
          <w:szCs w:val="18"/>
          <w:color w:val="auto"/>
        </w:rPr>
        <w:t>”). The number of RSUs covered by such Prorated Annual Grant will be equal to (1) the Prorated Annual Grant value divided by (2) the Fair Market Value of a share of Common Stock on the Start Date. Each Annual Grant, including any Prorated Annual Grant, will fully vest on the earlier of (1) the first anniversary of the applicable grant date and (2) the date of the first Annual Meeting following the applicable grant date, subject to the Non-Employee Director’s continuous service as a Director through the vesting date.</w:t>
      </w:r>
    </w:p>
    <w:p>
      <w:pPr>
        <w:spacing w:after="0" w:line="170" w:lineRule="exact"/>
        <w:rPr>
          <w:rFonts w:ascii="Times New Roman" w:cs="Times New Roman" w:eastAsia="Times New Roman" w:hAnsi="Times New Roman"/>
          <w:sz w:val="18"/>
          <w:szCs w:val="18"/>
          <w:b w:val="1"/>
          <w:bCs w:val="1"/>
          <w:color w:val="auto"/>
        </w:rPr>
      </w:pPr>
    </w:p>
    <w:p>
      <w:pPr>
        <w:jc w:val="both"/>
        <w:ind w:firstLine="1304"/>
        <w:spacing w:after="0" w:line="227" w:lineRule="auto"/>
        <w:tabs>
          <w:tab w:leader="none" w:pos="1934" w:val="left"/>
        </w:tabs>
        <w:numPr>
          <w:ilvl w:val="2"/>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Notwithstanding the foregoing, all unvested equity awards granted pursuant to this Section (c) will fully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 upon a Change in Control if the successor or acquiring company does not assume or provide a substitute for the awards in connection with the Change in Control.</w:t>
      </w:r>
    </w:p>
    <w:p>
      <w:pPr>
        <w:spacing w:after="0" w:line="182"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Death or Disability</w:t>
      </w:r>
      <w:r>
        <w:rPr>
          <w:rFonts w:ascii="Times New Roman" w:cs="Times New Roman" w:eastAsia="Times New Roman" w:hAnsi="Times New Roman"/>
          <w:sz w:val="18"/>
          <w:szCs w:val="18"/>
          <w:color w:val="auto"/>
        </w:rPr>
        <w:t>.</w:t>
      </w:r>
    </w:p>
    <w:p>
      <w:pPr>
        <w:spacing w:after="0" w:line="211" w:lineRule="exact"/>
        <w:rPr>
          <w:rFonts w:ascii="Times New Roman" w:cs="Times New Roman" w:eastAsia="Times New Roman" w:hAnsi="Times New Roman"/>
          <w:sz w:val="18"/>
          <w:szCs w:val="18"/>
          <w:b w:val="1"/>
          <w:bCs w:val="1"/>
          <w:color w:val="auto"/>
        </w:rPr>
      </w:pPr>
    </w:p>
    <w:p>
      <w:pPr>
        <w:ind w:right="20" w:firstLine="1304"/>
        <w:spacing w:after="0" w:line="239" w:lineRule="auto"/>
        <w:tabs>
          <w:tab w:leader="none" w:pos="1938" w:val="left"/>
        </w:tabs>
        <w:numPr>
          <w:ilvl w:val="2"/>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Equity awards granted to Non-Employee Directors pursuant to the Policy will fully vest upon such Non-Employee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death or termination of service as a Director due to disability.</w:t>
      </w:r>
    </w:p>
    <w:p>
      <w:pPr>
        <w:spacing w:after="0" w:line="154" w:lineRule="exact"/>
        <w:rPr>
          <w:rFonts w:ascii="Times New Roman" w:cs="Times New Roman" w:eastAsia="Times New Roman" w:hAnsi="Times New Roman"/>
          <w:sz w:val="18"/>
          <w:szCs w:val="18"/>
          <w:b w:val="1"/>
          <w:bCs w:val="1"/>
          <w:color w:val="auto"/>
        </w:rPr>
      </w:pPr>
    </w:p>
    <w:p>
      <w:pPr>
        <w:ind w:right="20" w:firstLine="1304"/>
        <w:spacing w:after="0" w:line="255" w:lineRule="auto"/>
        <w:tabs>
          <w:tab w:leader="none" w:pos="1934" w:val="left"/>
        </w:tabs>
        <w:numPr>
          <w:ilvl w:val="2"/>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Terms</w:t>
      </w:r>
      <w:r>
        <w:rPr>
          <w:rFonts w:ascii="Times New Roman" w:cs="Times New Roman" w:eastAsia="Times New Roman" w:hAnsi="Times New Roman"/>
          <w:sz w:val="18"/>
          <w:szCs w:val="18"/>
          <w:color w:val="auto"/>
        </w:rPr>
        <w:t>. The remaining terms and conditions of each Restricted Stock Unit award will be as set forth in the Plan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Restricted Stock Unit award agreement for Directors, in the form adopted from time to time by the Board.</w:t>
      </w:r>
    </w:p>
    <w:p>
      <w:pPr>
        <w:spacing w:after="0" w:line="154"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Non-Employee Director Compensation Limit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anything herein to the contrary, the cash and equity compensation each Non-Employee Director is eligible to receive under this Policy (or otherwise) will be subject to the limits set forth in Section 12 of the Plan.</w:t>
      </w:r>
    </w:p>
    <w:p>
      <w:pPr>
        <w:spacing w:after="0" w:line="158" w:lineRule="exact"/>
        <w:rPr>
          <w:sz w:val="20"/>
          <w:szCs w:val="20"/>
          <w:color w:val="auto"/>
        </w:rPr>
      </w:pPr>
    </w:p>
    <w:p>
      <w:pPr>
        <w:ind w:left="660" w:hanging="652"/>
        <w:spacing w:after="0"/>
        <w:tabs>
          <w:tab w:leader="none" w:pos="66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will reimburse each Non-Employee Director for ordinary, necessary and reasonable out-of-pocket travel expenses to cover in-person attendance at and participation in Board and committee meetings, subject to the Non-Employee Director submitting to the Company appropriate documentation substantiating such expenses in accordance with the Company’s travel and expense policy, as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3"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Amkor Technology,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November 15, 2023)</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  POLICY PURPOSE:</w:t>
      </w:r>
    </w:p>
    <w:p>
      <w:pPr>
        <w:spacing w:after="0" w:line="264" w:lineRule="exact"/>
        <w:rPr>
          <w:sz w:val="20"/>
          <w:szCs w:val="20"/>
          <w:color w:val="auto"/>
        </w:rPr>
      </w:pPr>
    </w:p>
    <w:p>
      <w:pPr>
        <w:jc w:val="both"/>
        <w:ind w:left="980"/>
        <w:spacing w:after="0" w:line="250" w:lineRule="auto"/>
        <w:rPr>
          <w:sz w:val="20"/>
          <w:szCs w:val="20"/>
          <w:color w:val="auto"/>
        </w:rPr>
      </w:pPr>
      <w:r>
        <w:rPr>
          <w:rFonts w:ascii="Times New Roman" w:cs="Times New Roman" w:eastAsia="Times New Roman" w:hAnsi="Times New Roman"/>
          <w:sz w:val="22"/>
          <w:szCs w:val="22"/>
          <w:color w:val="auto"/>
        </w:rPr>
        <w:t>This Policy provides guidelines with respect to transactions in the securities of Amkor Technology, Inc. (the “Company”) and other companies and the handling of confidential information about the Company and companies with which the Company does business or competes. The Company’s Board of Directors (the “Board”) has adopted this Policy to promote compliance with federal, state and foreign securities laws that prohibit certain persons who are aware of Material Nonpublic Information about a company from: (i) trading in securities of that company; or (ii) providing Material Nonpublic Information to other persons who may trade on the basis of that information. “Material Nonpublic Information” is defined in Section 4.e. below.</w:t>
      </w:r>
    </w:p>
    <w:p>
      <w:pPr>
        <w:spacing w:after="0" w:line="203" w:lineRule="exact"/>
        <w:rPr>
          <w:sz w:val="20"/>
          <w:szCs w:val="20"/>
          <w:color w:val="auto"/>
        </w:rPr>
      </w:pPr>
    </w:p>
    <w:p>
      <w:pPr>
        <w:ind w:left="340" w:hanging="332"/>
        <w:spacing w:after="0"/>
        <w:tabs>
          <w:tab w:leader="none" w:pos="340" w:val="left"/>
        </w:tabs>
        <w:numPr>
          <w:ilvl w:val="0"/>
          <w:numId w:val="1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SCOPE:</w:t>
      </w:r>
    </w:p>
    <w:p>
      <w:pPr>
        <w:spacing w:after="0" w:line="246"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1"/>
          <w:numId w:val="1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Covered Transactions.</w:t>
      </w:r>
    </w:p>
    <w:p>
      <w:pPr>
        <w:spacing w:after="0" w:line="250" w:lineRule="exact"/>
        <w:rPr>
          <w:rFonts w:ascii="Times New Roman" w:cs="Times New Roman" w:eastAsia="Times New Roman" w:hAnsi="Times New Roman"/>
          <w:sz w:val="22"/>
          <w:szCs w:val="22"/>
          <w:b w:val="1"/>
          <w:bCs w:val="1"/>
          <w:color w:val="auto"/>
        </w:rPr>
      </w:pPr>
    </w:p>
    <w:p>
      <w:pPr>
        <w:jc w:val="both"/>
        <w:ind w:left="980"/>
        <w:spacing w:after="0" w:line="25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This Policy applies to all transactions in the Company’s securities (collectively referred to in this Policy as “Company Securities”), including common stock, options for common stock and any other securities the Company may issue from time to time, such as preferred stock, warrants, convertible debentures and other publicly-traded Company debt securities, as well as to derivative securities relating to the Company’s stock, whether or not issued by the Company, such as exchange-traded options. This Policy also applies to transactions in the securities of other companies, including without limitation the Company’s customers, vendors or suppliers (“Business Partners”), when Material Nonpublic Information is obtained in the course of employment with, or other services performed on behalf, of the Company.</w:t>
      </w:r>
    </w:p>
    <w:p>
      <w:pPr>
        <w:spacing w:after="0" w:line="209"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1"/>
          <w:numId w:val="1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Covered Persons.</w:t>
      </w:r>
    </w:p>
    <w:p>
      <w:pPr>
        <w:spacing w:after="0" w:line="250" w:lineRule="exact"/>
        <w:rPr>
          <w:rFonts w:ascii="Times New Roman" w:cs="Times New Roman" w:eastAsia="Times New Roman" w:hAnsi="Times New Roman"/>
          <w:sz w:val="22"/>
          <w:szCs w:val="22"/>
          <w:b w:val="1"/>
          <w:bCs w:val="1"/>
          <w:color w:val="auto"/>
        </w:rPr>
      </w:pPr>
    </w:p>
    <w:p>
      <w:pPr>
        <w:ind w:left="980"/>
        <w:spacing w:after="0" w:line="27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people and entities to which this Policy applies are referred to in this Policy as “Insiders” or “covered persons” and include:</w:t>
      </w:r>
    </w:p>
    <w:p>
      <w:pPr>
        <w:spacing w:after="0" w:line="157" w:lineRule="exact"/>
        <w:rPr>
          <w:rFonts w:ascii="Times New Roman" w:cs="Times New Roman" w:eastAsia="Times New Roman" w:hAnsi="Times New Roman"/>
          <w:sz w:val="22"/>
          <w:szCs w:val="22"/>
          <w:b w:val="1"/>
          <w:bCs w:val="1"/>
          <w:color w:val="auto"/>
        </w:rPr>
      </w:pPr>
    </w:p>
    <w:p>
      <w:pPr>
        <w:ind w:left="1220" w:hanging="240"/>
        <w:spacing w:after="0"/>
        <w:tabs>
          <w:tab w:leader="none" w:pos="1220" w:val="left"/>
        </w:tabs>
        <w:numPr>
          <w:ilvl w:val="2"/>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executive officers of the Company and all members of the Board;</w:t>
      </w:r>
    </w:p>
    <w:p>
      <w:pPr>
        <w:spacing w:after="0" w:line="233" w:lineRule="exact"/>
        <w:rPr>
          <w:rFonts w:ascii="Times New Roman" w:cs="Times New Roman" w:eastAsia="Times New Roman" w:hAnsi="Times New Roman"/>
          <w:sz w:val="22"/>
          <w:szCs w:val="22"/>
          <w:color w:val="auto"/>
        </w:rPr>
      </w:pPr>
    </w:p>
    <w:p>
      <w:pPr>
        <w:jc w:val="both"/>
        <w:ind w:left="1240" w:hanging="260"/>
        <w:spacing w:after="0" w:line="257" w:lineRule="auto"/>
        <w:tabs>
          <w:tab w:leader="none" w:pos="1236" w:val="left"/>
        </w:tabs>
        <w:numPr>
          <w:ilvl w:val="2"/>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officers and employees of, and consultants and contract workers for, the Company and each of its subsidiaries, and all directors of each of the Company’s subsidiaries, who receive or have access to Material Nonpublic Information regarding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13" w:right="339" w:bottom="1440" w:gutter="0" w:footer="0" w:header="0"/>
        </w:sectPr>
      </w:pPr>
    </w:p>
    <w:bookmarkStart w:id="177" w:name="page178"/>
    <w:bookmarkEnd w:id="177"/>
    <w:p>
      <w:pPr>
        <w:spacing w:after="0" w:line="198" w:lineRule="exact"/>
        <w:rPr>
          <w:sz w:val="20"/>
          <w:szCs w:val="20"/>
          <w:color w:val="auto"/>
        </w:rPr>
      </w:pPr>
    </w:p>
    <w:p>
      <w:pPr>
        <w:jc w:val="both"/>
        <w:ind w:left="1240" w:hanging="258"/>
        <w:spacing w:after="0" w:line="251" w:lineRule="auto"/>
        <w:rPr>
          <w:sz w:val="20"/>
          <w:szCs w:val="20"/>
          <w:color w:val="auto"/>
        </w:rPr>
      </w:pPr>
      <w:r>
        <w:rPr>
          <w:rFonts w:ascii="Times New Roman" w:cs="Times New Roman" w:eastAsia="Times New Roman" w:hAnsi="Times New Roman"/>
          <w:sz w:val="22"/>
          <w:szCs w:val="22"/>
          <w:color w:val="auto"/>
        </w:rPr>
        <w:t>iii.all family members of a covered person who reside with the covered person (including a spouse, a child, a child away at college, stepchildren, grandchildren, parents, stepparents, grandparents, siblings and in-laws), anyone else who lives in the covered person’s household, and any family members who do not live in the covered person’s household but whose transactions in Company Securities are directed by the covered person or are subject to the covered person’s control, such as parents or children who consult with the covered person before they trade in Company Securities (collectively referred to as “Family Members”); and</w:t>
      </w:r>
    </w:p>
    <w:p>
      <w:pPr>
        <w:spacing w:after="0" w:line="181" w:lineRule="exact"/>
        <w:rPr>
          <w:sz w:val="20"/>
          <w:szCs w:val="20"/>
          <w:color w:val="auto"/>
        </w:rPr>
      </w:pPr>
    </w:p>
    <w:p>
      <w:pPr>
        <w:jc w:val="both"/>
        <w:ind w:left="1240" w:hanging="260"/>
        <w:spacing w:after="0" w:line="263" w:lineRule="auto"/>
        <w:tabs>
          <w:tab w:leader="none" w:pos="1216"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corporations, partnerships, limited liability companies, and other business entities controlled by a covered person, all trusts for which a covered person is a trustee, and all estates for which a covered person is an executor (collectively referred to as “Controlled Entities”).</w:t>
      </w:r>
    </w:p>
    <w:p>
      <w:pPr>
        <w:spacing w:after="0" w:line="194" w:lineRule="exact"/>
        <w:rPr>
          <w:sz w:val="20"/>
          <w:szCs w:val="20"/>
          <w:color w:val="auto"/>
        </w:rPr>
      </w:pPr>
    </w:p>
    <w:p>
      <w:pPr>
        <w:jc w:val="both"/>
        <w:ind w:left="980"/>
        <w:spacing w:after="0" w:line="249" w:lineRule="auto"/>
        <w:rPr>
          <w:sz w:val="20"/>
          <w:szCs w:val="20"/>
          <w:color w:val="auto"/>
        </w:rPr>
      </w:pPr>
      <w:r>
        <w:rPr>
          <w:rFonts w:ascii="Times New Roman" w:cs="Times New Roman" w:eastAsia="Times New Roman" w:hAnsi="Times New Roman"/>
          <w:sz w:val="22"/>
          <w:szCs w:val="22"/>
          <w:color w:val="auto"/>
        </w:rPr>
        <w:t>Any person who possesses Material Nonpublic Information regarding the Company is an Insider (and this Policy continues to apply to such person) for so long as the information is not publicly known or until it becomes no longer material, even after such person’s employment with or other service for, or other association with, the Company has ended. Any employee can be an Insider from time to time and would, at those times, be subject to this Policy.</w:t>
      </w:r>
    </w:p>
    <w:p>
      <w:pPr>
        <w:ind w:left="340" w:hanging="332"/>
        <w:spacing w:after="0"/>
        <w:tabs>
          <w:tab w:leader="none" w:pos="340"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STATEMENT OF POLICY:</w:t>
      </w:r>
    </w:p>
    <w:p>
      <w:pPr>
        <w:spacing w:after="0" w:line="232"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1"/>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 Policy</w:t>
      </w:r>
    </w:p>
    <w:p>
      <w:pPr>
        <w:spacing w:after="0" w:line="250" w:lineRule="exact"/>
        <w:rPr>
          <w:rFonts w:ascii="Times New Roman" w:cs="Times New Roman" w:eastAsia="Times New Roman" w:hAnsi="Times New Roman"/>
          <w:sz w:val="22"/>
          <w:szCs w:val="22"/>
          <w:b w:val="1"/>
          <w:bCs w:val="1"/>
          <w:color w:val="auto"/>
        </w:rPr>
      </w:pPr>
    </w:p>
    <w:p>
      <w:pPr>
        <w:ind w:left="980"/>
        <w:spacing w:after="0" w:line="27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This Policy prohibits the unauthorized disclosure of any Nonpublic Information acquired in the workplace and the misuse of Material Nonpublic Information in securities trading.</w:t>
      </w:r>
    </w:p>
    <w:p>
      <w:pPr>
        <w:spacing w:after="0" w:line="180"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1"/>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Specific Policies</w:t>
      </w:r>
    </w:p>
    <w:p>
      <w:pPr>
        <w:spacing w:after="0" w:line="223" w:lineRule="exact"/>
        <w:rPr>
          <w:rFonts w:ascii="Times New Roman" w:cs="Times New Roman" w:eastAsia="Times New Roman" w:hAnsi="Times New Roman"/>
          <w:sz w:val="22"/>
          <w:szCs w:val="22"/>
          <w:b w:val="1"/>
          <w:bCs w:val="1"/>
          <w:color w:val="auto"/>
        </w:rPr>
      </w:pPr>
    </w:p>
    <w:p>
      <w:pPr>
        <w:jc w:val="both"/>
        <w:ind w:left="1240" w:hanging="260"/>
        <w:spacing w:after="0" w:line="250" w:lineRule="auto"/>
        <w:tabs>
          <w:tab w:leader="none" w:pos="1230" w:val="left"/>
        </w:tabs>
        <w:numPr>
          <w:ilvl w:val="2"/>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Trading on Material Nonpublic Information</w:t>
      </w:r>
      <w:r>
        <w:rPr>
          <w:rFonts w:ascii="Times New Roman" w:cs="Times New Roman" w:eastAsia="Times New Roman" w:hAnsi="Times New Roman"/>
          <w:sz w:val="22"/>
          <w:szCs w:val="22"/>
          <w:color w:val="auto"/>
        </w:rPr>
        <w:t>. No Insider may, directly, or indirectly through Family Members or any other person or entity, engage in any transaction in Company Securities, including but not limited to any purchase or sale or offer to purchase or offer to sell, during any period commencing with the date that he or she possesses Material Nonpublic Information regarding the Company, and ending at the beginning of the third Trading Day following the date of public disclosure of that information, or at such time as such Nonpublic Information is no longer material. As used herein, the term “Trading Day” shall mean a day on which national stock exchanges and the Nasdaq Stock Market (“Nasdaq”) are open for trading. A “Trading Day” begins at the time trading begins on such day.</w:t>
      </w:r>
    </w:p>
    <w:p>
      <w:pPr>
        <w:spacing w:after="0" w:line="186" w:lineRule="exact"/>
        <w:rPr>
          <w:rFonts w:ascii="Times New Roman" w:cs="Times New Roman" w:eastAsia="Times New Roman" w:hAnsi="Times New Roman"/>
          <w:sz w:val="22"/>
          <w:szCs w:val="22"/>
          <w:color w:val="auto"/>
        </w:rPr>
      </w:pPr>
    </w:p>
    <w:p>
      <w:pPr>
        <w:ind w:left="1240" w:hanging="260"/>
        <w:spacing w:after="0" w:line="271" w:lineRule="auto"/>
        <w:tabs>
          <w:tab w:leader="none" w:pos="1236" w:val="left"/>
        </w:tabs>
        <w:numPr>
          <w:ilvl w:val="2"/>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Tipping</w:t>
      </w:r>
      <w:r>
        <w:rPr>
          <w:rFonts w:ascii="Times New Roman" w:cs="Times New Roman" w:eastAsia="Times New Roman" w:hAnsi="Times New Roman"/>
          <w:sz w:val="22"/>
          <w:szCs w:val="22"/>
          <w:color w:val="auto"/>
        </w:rPr>
        <w:t>. No Insider shall disclose (“tip”) Material Nonpublic Information to any other person (including Family Members) where such information may be used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98" w:lineRule="exact"/>
        <w:rPr>
          <w:sz w:val="20"/>
          <w:szCs w:val="20"/>
          <w:color w:val="auto"/>
        </w:rPr>
      </w:pPr>
    </w:p>
    <w:p>
      <w:pPr>
        <w:jc w:val="both"/>
        <w:ind w:left="1240"/>
        <w:spacing w:after="0" w:line="257" w:lineRule="auto"/>
        <w:rPr>
          <w:sz w:val="20"/>
          <w:szCs w:val="20"/>
          <w:color w:val="auto"/>
        </w:rPr>
      </w:pPr>
      <w:r>
        <w:rPr>
          <w:rFonts w:ascii="Times New Roman" w:cs="Times New Roman" w:eastAsia="Times New Roman" w:hAnsi="Times New Roman"/>
          <w:sz w:val="22"/>
          <w:szCs w:val="22"/>
          <w:color w:val="auto"/>
        </w:rPr>
        <w:t>such person to his or her profit by trading in the securities of companies to which such information relates, nor shall such Insider or related person make recommendations or express opinions on the basis of Material Nonpublic Information as to trading in Company Securities.</w:t>
      </w:r>
    </w:p>
    <w:p>
      <w:pPr>
        <w:spacing w:after="0" w:line="186" w:lineRule="exact"/>
        <w:rPr>
          <w:sz w:val="20"/>
          <w:szCs w:val="20"/>
          <w:color w:val="auto"/>
        </w:rPr>
      </w:pPr>
    </w:p>
    <w:p>
      <w:pPr>
        <w:jc w:val="both"/>
        <w:ind w:left="1240" w:hanging="260"/>
        <w:spacing w:after="0" w:line="251" w:lineRule="auto"/>
        <w:tabs>
          <w:tab w:leader="none" w:pos="1228"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 of Nonpublic Information</w:t>
      </w:r>
      <w:r>
        <w:rPr>
          <w:rFonts w:ascii="Times New Roman" w:cs="Times New Roman" w:eastAsia="Times New Roman" w:hAnsi="Times New Roman"/>
          <w:sz w:val="22"/>
          <w:szCs w:val="22"/>
          <w:color w:val="auto"/>
        </w:rPr>
        <w:t>. Nonpublic information regarding the Company is the property of the Company, and the unauthorized disclosure of such information is forbidden. In the event any Insider receives any inquiry from outside the Company, such as a stock analyst or investor, for information (particularly financial results and/or projections) that may be Material Nonpublic Information, the inquiry should be referred to the Company’s Chief Financial Officer, who is responsible for coordinating and overseeing the release of such information to the investing public, analysts, and others in compliance with applicable laws and regulations.</w:t>
      </w:r>
    </w:p>
    <w:p>
      <w:pPr>
        <w:spacing w:after="0" w:line="204"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1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Potential Criminal and Civil Liability and/or Disciplinary Action</w:t>
      </w:r>
    </w:p>
    <w:p>
      <w:pPr>
        <w:spacing w:after="0" w:line="223" w:lineRule="exact"/>
        <w:rPr>
          <w:rFonts w:ascii="Times New Roman" w:cs="Times New Roman" w:eastAsia="Times New Roman" w:hAnsi="Times New Roman"/>
          <w:sz w:val="22"/>
          <w:szCs w:val="22"/>
          <w:b w:val="1"/>
          <w:bCs w:val="1"/>
          <w:color w:val="auto"/>
        </w:rPr>
      </w:pPr>
    </w:p>
    <w:p>
      <w:pPr>
        <w:jc w:val="both"/>
        <w:ind w:left="1240" w:hanging="260"/>
        <w:spacing w:after="0" w:line="257" w:lineRule="auto"/>
        <w:tabs>
          <w:tab w:leader="none" w:pos="1230"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Liability for Insider Trading</w:t>
      </w:r>
      <w:r>
        <w:rPr>
          <w:rFonts w:ascii="Times New Roman" w:cs="Times New Roman" w:eastAsia="Times New Roman" w:hAnsi="Times New Roman"/>
          <w:sz w:val="22"/>
          <w:szCs w:val="22"/>
          <w:color w:val="auto"/>
        </w:rPr>
        <w:t>. Pursuant to federal and state securities laws, Insiders may be subject to significant financial penalties and jail time for engaging in transactions in Company Securities at a time when they have knowledge of Material Nonpublic Information regarding the Company.</w:t>
      </w:r>
    </w:p>
    <w:p>
      <w:pPr>
        <w:spacing w:after="0" w:line="173" w:lineRule="exact"/>
        <w:rPr>
          <w:sz w:val="20"/>
          <w:szCs w:val="20"/>
          <w:color w:val="auto"/>
        </w:rPr>
      </w:pPr>
    </w:p>
    <w:p>
      <w:pPr>
        <w:jc w:val="both"/>
        <w:ind w:left="1240" w:hanging="260"/>
        <w:spacing w:after="0" w:line="251" w:lineRule="auto"/>
        <w:tabs>
          <w:tab w:leader="none" w:pos="1236" w:val="left"/>
        </w:tabs>
        <w:numPr>
          <w:ilvl w:val="2"/>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Liability for Tipping</w:t>
      </w:r>
      <w:r>
        <w:rPr>
          <w:rFonts w:ascii="Times New Roman" w:cs="Times New Roman" w:eastAsia="Times New Roman" w:hAnsi="Times New Roman"/>
          <w:sz w:val="22"/>
          <w:szCs w:val="22"/>
          <w:color w:val="auto"/>
        </w:rPr>
        <w:t>. Insiders may also be liable for improper transactions by any person (commonly referred to as a “tippee”) to whom they have disclosed Material Nonpublic Information regarding the Company or to whom they have made recommendations or expressed opinions on the basis of such information as to trading in Company Securities. The U.S. Securities and Exchange Commission (the “SEC”) may impose large penalties even when the disclosing person did not profit from the trading. The SEC and the national stock exchanges, including Nasdaq, use sophisticated electronic surveillance techniques to uncover insider trading.</w:t>
      </w:r>
    </w:p>
    <w:p>
      <w:pPr>
        <w:spacing w:after="0" w:line="194" w:lineRule="exact"/>
        <w:rPr>
          <w:rFonts w:ascii="Times New Roman" w:cs="Times New Roman" w:eastAsia="Times New Roman" w:hAnsi="Times New Roman"/>
          <w:sz w:val="22"/>
          <w:szCs w:val="22"/>
          <w:color w:val="auto"/>
        </w:rPr>
      </w:pPr>
    </w:p>
    <w:p>
      <w:pPr>
        <w:ind w:left="1240" w:hanging="260"/>
        <w:spacing w:after="0" w:line="271" w:lineRule="auto"/>
        <w:tabs>
          <w:tab w:leader="none" w:pos="1228" w:val="left"/>
        </w:tabs>
        <w:numPr>
          <w:ilvl w:val="2"/>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Possible Disciplinary Actions</w:t>
      </w:r>
      <w:r>
        <w:rPr>
          <w:rFonts w:ascii="Times New Roman" w:cs="Times New Roman" w:eastAsia="Times New Roman" w:hAnsi="Times New Roman"/>
          <w:sz w:val="22"/>
          <w:szCs w:val="22"/>
          <w:color w:val="auto"/>
        </w:rPr>
        <w:t>. Employees of the Company who violate this Policy shall also be subject to disciplinary action by the Company, which may include termination of employment.</w:t>
      </w:r>
    </w:p>
    <w:p>
      <w:pPr>
        <w:spacing w:after="0" w:line="180" w:lineRule="exact"/>
        <w:rPr>
          <w:rFonts w:ascii="Times New Roman" w:cs="Times New Roman" w:eastAsia="Times New Roman" w:hAnsi="Times New Roman"/>
          <w:sz w:val="22"/>
          <w:szCs w:val="22"/>
          <w:color w:val="auto"/>
        </w:rPr>
      </w:pPr>
    </w:p>
    <w:p>
      <w:pPr>
        <w:ind w:left="260" w:hanging="252"/>
        <w:spacing w:after="0"/>
        <w:tabs>
          <w:tab w:leader="none" w:pos="260" w:val="left"/>
        </w:tabs>
        <w:numPr>
          <w:ilvl w:val="0"/>
          <w:numId w:val="1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PROCEDURE:</w:t>
      </w:r>
    </w:p>
    <w:p>
      <w:pPr>
        <w:spacing w:after="0" w:line="31"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  Trading Period Guidelines and Requirements</w:t>
      </w:r>
    </w:p>
    <w:p>
      <w:pPr>
        <w:spacing w:after="0" w:line="195" w:lineRule="exact"/>
        <w:rPr>
          <w:rFonts w:ascii="Times New Roman" w:cs="Times New Roman" w:eastAsia="Times New Roman" w:hAnsi="Times New Roman"/>
          <w:sz w:val="22"/>
          <w:szCs w:val="22"/>
          <w:b w:val="1"/>
          <w:bCs w:val="1"/>
          <w:color w:val="auto"/>
        </w:rPr>
      </w:pPr>
    </w:p>
    <w:p>
      <w:pPr>
        <w:ind w:left="1220" w:hanging="240"/>
        <w:spacing w:after="0"/>
        <w:tabs>
          <w:tab w:leader="none" w:pos="1220" w:val="left"/>
        </w:tabs>
        <w:numPr>
          <w:ilvl w:val="2"/>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Black-out Period</w:t>
      </w:r>
      <w:r>
        <w:rPr>
          <w:rFonts w:ascii="Times New Roman" w:cs="Times New Roman" w:eastAsia="Times New Roman" w:hAnsi="Times New Roman"/>
          <w:sz w:val="22"/>
          <w:szCs w:val="22"/>
          <w:color w:val="auto"/>
        </w:rPr>
        <w:t>.</w:t>
      </w:r>
    </w:p>
    <w:p>
      <w:pPr>
        <w:spacing w:after="0" w:line="254" w:lineRule="exact"/>
        <w:rPr>
          <w:sz w:val="20"/>
          <w:szCs w:val="20"/>
          <w:color w:val="auto"/>
        </w:rPr>
      </w:pPr>
    </w:p>
    <w:p>
      <w:pPr>
        <w:jc w:val="both"/>
        <w:ind w:left="1300"/>
        <w:spacing w:after="0" w:line="232" w:lineRule="auto"/>
        <w:rPr>
          <w:sz w:val="20"/>
          <w:szCs w:val="20"/>
          <w:color w:val="auto"/>
        </w:rPr>
      </w:pPr>
      <w:r>
        <w:rPr>
          <w:rFonts w:ascii="Times New Roman" w:cs="Times New Roman" w:eastAsia="Times New Roman" w:hAnsi="Times New Roman"/>
          <w:sz w:val="22"/>
          <w:szCs w:val="22"/>
          <w:color w:val="auto"/>
        </w:rPr>
        <w:t>The period beginning at the close of market on or about the sixteenth (16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of the third calendar month of each quarter and ending at the beginning of the third Trading Day following the date of public disclosure of the financial results for that quarter is a particularly sensitive period of time for transactions in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179" w:name="page180"/>
    <w:bookmarkEnd w:id="179"/>
    <w:p>
      <w:pPr>
        <w:jc w:val="both"/>
        <w:ind w:left="1300"/>
        <w:spacing w:after="0" w:line="263" w:lineRule="auto"/>
        <w:rPr>
          <w:sz w:val="20"/>
          <w:szCs w:val="20"/>
          <w:color w:val="auto"/>
        </w:rPr>
      </w:pPr>
      <w:r>
        <w:rPr>
          <w:rFonts w:ascii="Times New Roman" w:cs="Times New Roman" w:eastAsia="Times New Roman" w:hAnsi="Times New Roman"/>
          <w:sz w:val="21"/>
          <w:szCs w:val="21"/>
          <w:color w:val="auto"/>
        </w:rPr>
        <w:t>Securities from the perspective of compliance with applicable securities laws. This sensitivity is due to the fact that, during this period, executive officers, directors and certain other employees often possess Material Nonpublic Information about the expected financial results for the quarter during that period. Accordingly, this period of time is referred to as a “Black-out” period. During such “Black-out” periods, the following persons may not conduct transactions in Company Securities: (1) directors and officers; (2) direct reports to the President and Chief Executive Officer; (3) any employees directly reporting to such direct reports; and (4) any other employees, consultants, and contract workers designated by the Compliance Officer as Insiders under this Policy.</w:t>
      </w:r>
    </w:p>
    <w:p>
      <w:pPr>
        <w:spacing w:after="0" w:line="173" w:lineRule="exact"/>
        <w:rPr>
          <w:sz w:val="20"/>
          <w:szCs w:val="20"/>
          <w:color w:val="auto"/>
        </w:rPr>
      </w:pPr>
    </w:p>
    <w:p>
      <w:pPr>
        <w:ind w:left="1240" w:hanging="260"/>
        <w:spacing w:after="0"/>
        <w:tabs>
          <w:tab w:leader="none" w:pos="124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Trading Window.</w:t>
      </w:r>
    </w:p>
    <w:p>
      <w:pPr>
        <w:spacing w:after="0" w:line="260" w:lineRule="exact"/>
        <w:rPr>
          <w:sz w:val="20"/>
          <w:szCs w:val="20"/>
          <w:color w:val="auto"/>
        </w:rPr>
      </w:pPr>
    </w:p>
    <w:p>
      <w:pPr>
        <w:jc w:val="both"/>
        <w:ind w:left="1300"/>
        <w:spacing w:after="0" w:line="255" w:lineRule="auto"/>
        <w:rPr>
          <w:sz w:val="20"/>
          <w:szCs w:val="20"/>
          <w:color w:val="auto"/>
        </w:rPr>
      </w:pPr>
      <w:r>
        <w:rPr>
          <w:rFonts w:ascii="Times New Roman" w:cs="Times New Roman" w:eastAsia="Times New Roman" w:hAnsi="Times New Roman"/>
          <w:sz w:val="22"/>
          <w:szCs w:val="22"/>
          <w:color w:val="auto"/>
        </w:rPr>
        <w:t>To ensure compliance with this Policy and applicable federal and state securities laws, the Company requires that all Insiders refrain from conducting transactions involving the purchase or sale of Company Securities other than during the period commencing at the open of market on the third Trading Day following the date of public disclosure of the financial results for a particular fiscal quarter or year and continuing until the close of market on or about the sixteenth (16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of the third calendar month of the next quarter (the “Trading Window”).</w:t>
      </w:r>
    </w:p>
    <w:p>
      <w:pPr>
        <w:spacing w:after="0" w:line="108" w:lineRule="exact"/>
        <w:rPr>
          <w:sz w:val="20"/>
          <w:szCs w:val="20"/>
          <w:color w:val="auto"/>
        </w:rPr>
      </w:pPr>
    </w:p>
    <w:p>
      <w:pPr>
        <w:jc w:val="both"/>
        <w:ind w:left="1300"/>
        <w:spacing w:after="0" w:line="251" w:lineRule="auto"/>
        <w:rPr>
          <w:sz w:val="20"/>
          <w:szCs w:val="20"/>
          <w:color w:val="auto"/>
        </w:rPr>
      </w:pPr>
      <w:r>
        <w:rPr>
          <w:rFonts w:ascii="Times New Roman" w:cs="Times New Roman" w:eastAsia="Times New Roman" w:hAnsi="Times New Roman"/>
          <w:sz w:val="22"/>
          <w:szCs w:val="22"/>
          <w:color w:val="auto"/>
        </w:rPr>
        <w:t>From time to time, the Company may also prohibit Insiders from trading in Company Securities because of material developments known to the Company and not yet disclosed to the public. In such event, Insiders may not engage in any transaction involving the purchase or sale of Company Securities and should not disclose to others the fact of such suspension of trading. The Company would re-open the Trading Window at the beginning of the third Trading Day following the date of public disclosure of the information, or at such time as the information is no longer material.</w:t>
      </w:r>
    </w:p>
    <w:p>
      <w:pPr>
        <w:spacing w:after="0" w:line="222" w:lineRule="exact"/>
        <w:rPr>
          <w:sz w:val="20"/>
          <w:szCs w:val="20"/>
          <w:color w:val="auto"/>
        </w:rPr>
      </w:pPr>
    </w:p>
    <w:p>
      <w:pPr>
        <w:jc w:val="both"/>
        <w:ind w:left="1300"/>
        <w:spacing w:after="0" w:line="230" w:lineRule="auto"/>
        <w:rPr>
          <w:sz w:val="20"/>
          <w:szCs w:val="20"/>
          <w:color w:val="auto"/>
        </w:rPr>
      </w:pPr>
      <w:r>
        <w:rPr>
          <w:rFonts w:ascii="Times New Roman" w:cs="Times New Roman" w:eastAsia="Times New Roman" w:hAnsi="Times New Roman"/>
          <w:sz w:val="22"/>
          <w:szCs w:val="22"/>
          <w:color w:val="auto"/>
        </w:rPr>
        <w:t>The prohibition against trading during the Black-out period encompasses the fulfillment of standing or limit orders</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by any broker, and the brokers with whom any such limit order is placed must be so instructed at the time it is placed.</w:t>
      </w:r>
    </w:p>
    <w:p>
      <w:pPr>
        <w:spacing w:after="0" w:line="215"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It should be noted that even during the Trading Window, any person possessing Material Nonpublic Information regarding the Company should not engage in any transactions in Company Securities until such information has been known publicly for at least two (2) full Trading Days, whether or not the Company has recommended a suspension of trading to that person. Trading in Company Securities during the Trading Window should </w:t>
      </w:r>
      <w:r>
        <w:rPr>
          <w:rFonts w:ascii="Times New Roman" w:cs="Times New Roman" w:eastAsia="Times New Roman" w:hAnsi="Times New Roman"/>
          <w:sz w:val="22"/>
          <w:szCs w:val="22"/>
          <w:b w:val="1"/>
          <w:bCs w:val="1"/>
          <w:u w:val="single" w:color="auto"/>
          <w:color w:val="auto"/>
        </w:rPr>
        <w:t>not</w:t>
      </w:r>
      <w:r>
        <w:rPr>
          <w:rFonts w:ascii="Times New Roman" w:cs="Times New Roman" w:eastAsia="Times New Roman" w:hAnsi="Times New Roman"/>
          <w:sz w:val="22"/>
          <w:szCs w:val="22"/>
          <w:b w:val="1"/>
          <w:bCs w:val="1"/>
          <w:color w:val="auto"/>
        </w:rPr>
        <w:t xml:space="preserve">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226314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8">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220" w:lineRule="exact"/>
        <w:rPr>
          <w:sz w:val="20"/>
          <w:szCs w:val="20"/>
          <w:color w:val="auto"/>
        </w:rPr>
      </w:pPr>
    </w:p>
    <w:p>
      <w:pPr>
        <w:jc w:val="both"/>
        <w:ind w:firstLine="8"/>
        <w:spacing w:after="0" w:line="235" w:lineRule="auto"/>
        <w:tabs>
          <w:tab w:leader="none" w:pos="120" w:val="left"/>
        </w:tabs>
        <w:numPr>
          <w:ilvl w:val="0"/>
          <w:numId w:val="1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Limit orders (including stop losses) are orders to buy or sell securities at a specified price which, depending on market factors, may remain open and unexecuted for an indefinite period. For example, if you place an order to sell stock at $30 and the stock is trading, at the time of the order, for $27, a limit order will remain open until it is either cancelled or executed at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22" w:right="339" w:bottom="1440" w:gutter="0" w:footer="0" w:header="0"/>
        </w:sectPr>
      </w:pPr>
    </w:p>
    <w:bookmarkStart w:id="180" w:name="page181"/>
    <w:bookmarkEnd w:id="180"/>
    <w:p>
      <w:pPr>
        <w:ind w:left="644"/>
        <w:spacing w:after="0"/>
        <w:rPr>
          <w:sz w:val="20"/>
          <w:szCs w:val="20"/>
          <w:color w:val="auto"/>
        </w:rPr>
      </w:pPr>
      <w:r>
        <w:rPr>
          <w:rFonts w:ascii="Times New Roman" w:cs="Times New Roman" w:eastAsia="Times New Roman" w:hAnsi="Times New Roman"/>
          <w:sz w:val="22"/>
          <w:szCs w:val="22"/>
          <w:b w:val="1"/>
          <w:bCs w:val="1"/>
          <w:color w:val="auto"/>
        </w:rPr>
        <w:t>considered a “safe harbor,” and all Insiders should use good judgment at all times.</w:t>
      </w:r>
    </w:p>
    <w:p>
      <w:pPr>
        <w:spacing w:after="0" w:line="247" w:lineRule="exact"/>
        <w:rPr>
          <w:sz w:val="20"/>
          <w:szCs w:val="20"/>
          <w:color w:val="auto"/>
        </w:rPr>
      </w:pPr>
    </w:p>
    <w:p>
      <w:pPr>
        <w:ind w:left="324" w:hanging="324"/>
        <w:spacing w:after="0"/>
        <w:tabs>
          <w:tab w:leader="none" w:pos="324" w:val="left"/>
        </w:tabs>
        <w:numPr>
          <w:ilvl w:val="0"/>
          <w:numId w:val="1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Pre-clearance of Trades</w:t>
      </w:r>
    </w:p>
    <w:p>
      <w:pPr>
        <w:spacing w:after="0" w:line="223" w:lineRule="exact"/>
        <w:rPr>
          <w:rFonts w:ascii="Times New Roman" w:cs="Times New Roman" w:eastAsia="Times New Roman" w:hAnsi="Times New Roman"/>
          <w:sz w:val="22"/>
          <w:szCs w:val="22"/>
          <w:b w:val="1"/>
          <w:bCs w:val="1"/>
          <w:color w:val="auto"/>
        </w:rPr>
      </w:pPr>
    </w:p>
    <w:p>
      <w:pPr>
        <w:jc w:val="both"/>
        <w:ind w:left="324"/>
        <w:spacing w:after="0" w:line="25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has determined that all executive officers and directors of the Company shall refrain from trading in Company Securities, even during the Trading Window, without first complying with the Company’s pre-clearance process. Executive officers and directors of the Company are encouraged to submit pre-clearance requests to the Compliance Officer at least two (2) Trading Days prior to the proposed trade (e.g., if the proposed trade is to take place on a Monday, the pre-clearance notice must be received by the Compliance Officer no later than 5:00 p.m. Mountain Standard Time on the previous Thursday, where the intervening Friday is also a Trading Day). The Compliance Officer is under no obligation to approve a transaction submitted for pre-clearance and may determine not to permit the transaction or may impose restrictions on the proposed transaction (such as a different deadline for completing the transaction or notice requirements following completion of the transaction).</w:t>
      </w:r>
    </w:p>
    <w:p>
      <w:pPr>
        <w:spacing w:after="0" w:line="179" w:lineRule="exact"/>
        <w:rPr>
          <w:rFonts w:ascii="Times New Roman" w:cs="Times New Roman" w:eastAsia="Times New Roman" w:hAnsi="Times New Roman"/>
          <w:sz w:val="22"/>
          <w:szCs w:val="22"/>
          <w:b w:val="1"/>
          <w:bCs w:val="1"/>
          <w:color w:val="auto"/>
        </w:rPr>
      </w:pPr>
    </w:p>
    <w:p>
      <w:pPr>
        <w:ind w:left="324"/>
        <w:spacing w:after="0" w:line="27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may also find it necessary, from time to time, to require compliance with the pre-clearance process from certain Insiders other than, and in addition to, executive officers and directors.</w:t>
      </w:r>
    </w:p>
    <w:p>
      <w:pPr>
        <w:spacing w:after="0" w:line="180" w:lineRule="exact"/>
        <w:rPr>
          <w:rFonts w:ascii="Times New Roman" w:cs="Times New Roman" w:eastAsia="Times New Roman" w:hAnsi="Times New Roman"/>
          <w:sz w:val="22"/>
          <w:szCs w:val="22"/>
          <w:b w:val="1"/>
          <w:bCs w:val="1"/>
          <w:color w:val="auto"/>
        </w:rPr>
      </w:pPr>
    </w:p>
    <w:p>
      <w:pPr>
        <w:ind w:left="304" w:hanging="304"/>
        <w:spacing w:after="0"/>
        <w:tabs>
          <w:tab w:leader="none" w:pos="304" w:val="left"/>
        </w:tabs>
        <w:numPr>
          <w:ilvl w:val="0"/>
          <w:numId w:val="1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Individual Responsibility</w:t>
      </w:r>
    </w:p>
    <w:p>
      <w:pPr>
        <w:spacing w:after="0" w:line="237" w:lineRule="exact"/>
        <w:rPr>
          <w:rFonts w:ascii="Times New Roman" w:cs="Times New Roman" w:eastAsia="Times New Roman" w:hAnsi="Times New Roman"/>
          <w:sz w:val="22"/>
          <w:szCs w:val="22"/>
          <w:b w:val="1"/>
          <w:bCs w:val="1"/>
          <w:color w:val="auto"/>
        </w:rPr>
      </w:pPr>
    </w:p>
    <w:p>
      <w:pPr>
        <w:jc w:val="both"/>
        <w:ind w:left="324"/>
        <w:spacing w:after="0" w:line="25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Every Insider has the individual responsibility to comply with this Policy against insider trading and to ensure that his or her Family Members and Controlled Entities also comply with this Policy, including during Trading Windows. Appropriate judgment should be exercised in connection with any trade in Company Securities. In all cases, the responsibility for determining whether an Insider is in possession of Material Nonpublic Information about the Company rests with such Insider, and any action on the part of the Company, the Compliance Officer, or any other employee or director pursuant to this Policy (or otherwise) does not in any way constitute legal advice or insulate such Insider from liability under applicable securities laws.</w:t>
      </w:r>
    </w:p>
    <w:p>
      <w:pPr>
        <w:spacing w:after="0" w:line="207" w:lineRule="exact"/>
        <w:rPr>
          <w:rFonts w:ascii="Times New Roman" w:cs="Times New Roman" w:eastAsia="Times New Roman" w:hAnsi="Times New Roman"/>
          <w:sz w:val="22"/>
          <w:szCs w:val="22"/>
          <w:b w:val="1"/>
          <w:bCs w:val="1"/>
          <w:color w:val="auto"/>
        </w:rPr>
      </w:pPr>
    </w:p>
    <w:p>
      <w:pPr>
        <w:jc w:val="both"/>
        <w:ind w:left="324"/>
        <w:spacing w:after="0" w:line="25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 Insider may, from time to time, have to forego a proposed transaction in Company Securities even if he or she planned to make the transaction before learning of the Material Nonpublic Information and even though the Insider believes he or she may suffer an economic loss or forego anticipated profit by waiting.</w:t>
      </w:r>
    </w:p>
    <w:p>
      <w:pPr>
        <w:spacing w:after="0" w:line="182" w:lineRule="exact"/>
        <w:rPr>
          <w:rFonts w:ascii="Times New Roman" w:cs="Times New Roman" w:eastAsia="Times New Roman" w:hAnsi="Times New Roman"/>
          <w:sz w:val="22"/>
          <w:szCs w:val="22"/>
          <w:b w:val="1"/>
          <w:bCs w:val="1"/>
          <w:color w:val="auto"/>
        </w:rPr>
      </w:pPr>
    </w:p>
    <w:p>
      <w:pPr>
        <w:ind w:left="324" w:hanging="324"/>
        <w:spacing w:after="0"/>
        <w:tabs>
          <w:tab w:leader="none" w:pos="324" w:val="left"/>
        </w:tabs>
        <w:numPr>
          <w:ilvl w:val="0"/>
          <w:numId w:val="1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Applicability of Policy to Inside Information Regarding Other Companies</w:t>
      </w:r>
    </w:p>
    <w:p>
      <w:pPr>
        <w:spacing w:after="0" w:line="250" w:lineRule="exact"/>
        <w:rPr>
          <w:rFonts w:ascii="Times New Roman" w:cs="Times New Roman" w:eastAsia="Times New Roman" w:hAnsi="Times New Roman"/>
          <w:sz w:val="22"/>
          <w:szCs w:val="22"/>
          <w:b w:val="1"/>
          <w:bCs w:val="1"/>
          <w:color w:val="auto"/>
        </w:rPr>
      </w:pPr>
    </w:p>
    <w:p>
      <w:pPr>
        <w:jc w:val="both"/>
        <w:ind w:left="324" w:right="20"/>
        <w:spacing w:after="0" w:line="25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This Policy also applies to Material Nonpublic Information relating to other companies and transactions in the securities of other companies, including without limitation the Company’s Business Partners, when that information is obtained in the course of employment with, or other services performed on behalf,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84"/>
          </w:cols>
          <w:pgMar w:left="976" w:top="1418" w:right="339" w:bottom="1440" w:gutter="0" w:footer="0" w:header="0"/>
        </w:sectPr>
      </w:pPr>
    </w:p>
    <w:bookmarkStart w:id="181" w:name="page182"/>
    <w:bookmarkEnd w:id="181"/>
    <w:p>
      <w:pPr>
        <w:jc w:val="both"/>
        <w:ind w:left="324"/>
        <w:spacing w:after="0" w:line="257" w:lineRule="auto"/>
        <w:rPr>
          <w:sz w:val="20"/>
          <w:szCs w:val="20"/>
          <w:color w:val="auto"/>
        </w:rPr>
      </w:pPr>
      <w:r>
        <w:rPr>
          <w:rFonts w:ascii="Times New Roman" w:cs="Times New Roman" w:eastAsia="Times New Roman" w:hAnsi="Times New Roman"/>
          <w:sz w:val="22"/>
          <w:szCs w:val="22"/>
          <w:color w:val="auto"/>
        </w:rPr>
        <w:t>Civil and criminal penalties, and termination of employment, may result from trading on inside information regarding such other companies. All employees should treat Material Nonpublic Information about such other companies with the same care required with respect to information related directly to the Company.</w:t>
      </w:r>
    </w:p>
    <w:p>
      <w:pPr>
        <w:spacing w:after="0" w:line="209" w:lineRule="exact"/>
        <w:rPr>
          <w:sz w:val="20"/>
          <w:szCs w:val="20"/>
          <w:color w:val="auto"/>
        </w:rPr>
      </w:pPr>
    </w:p>
    <w:p>
      <w:pPr>
        <w:ind w:left="304" w:hanging="304"/>
        <w:spacing w:after="0"/>
        <w:tabs>
          <w:tab w:leader="none" w:pos="304" w:val="left"/>
        </w:tabs>
        <w:numPr>
          <w:ilvl w:val="0"/>
          <w:numId w:val="1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 of Material Nonpublic Information</w:t>
      </w:r>
    </w:p>
    <w:p>
      <w:pPr>
        <w:spacing w:after="0" w:line="250" w:lineRule="exact"/>
        <w:rPr>
          <w:rFonts w:ascii="Times New Roman" w:cs="Times New Roman" w:eastAsia="Times New Roman" w:hAnsi="Times New Roman"/>
          <w:sz w:val="22"/>
          <w:szCs w:val="22"/>
          <w:b w:val="1"/>
          <w:bCs w:val="1"/>
          <w:color w:val="auto"/>
        </w:rPr>
      </w:pPr>
    </w:p>
    <w:p>
      <w:pPr>
        <w:jc w:val="both"/>
        <w:ind w:left="324"/>
        <w:spacing w:after="0" w:line="252"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Information that is material to a company and that has not been made available to the general public through a widely circulated news or wire service or through a public filing with the SEC is referred to as “Material Nonpublic Information.” Information that may have been made available to a select group of analysts, brokers, or institutional investors but that has not yet been publicly disseminated is not considered to be available to the general public.</w:t>
      </w:r>
    </w:p>
    <w:p>
      <w:pPr>
        <w:spacing w:after="0" w:line="219" w:lineRule="exact"/>
        <w:rPr>
          <w:rFonts w:ascii="Times New Roman" w:cs="Times New Roman" w:eastAsia="Times New Roman" w:hAnsi="Times New Roman"/>
          <w:sz w:val="22"/>
          <w:szCs w:val="22"/>
          <w:b w:val="1"/>
          <w:bCs w:val="1"/>
          <w:color w:val="auto"/>
        </w:rPr>
      </w:pPr>
    </w:p>
    <w:p>
      <w:pPr>
        <w:ind w:left="324"/>
        <w:spacing w:after="0" w:line="27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Information should be regarded as “material” if there is a reasonable likelihood that it would be considered important to an investor in making an investment decision (such as to buy, sell, or hold) regarding securities.</w:t>
      </w:r>
    </w:p>
    <w:p>
      <w:pPr>
        <w:spacing w:after="0" w:line="184" w:lineRule="exact"/>
        <w:rPr>
          <w:rFonts w:ascii="Times New Roman" w:cs="Times New Roman" w:eastAsia="Times New Roman" w:hAnsi="Times New Roman"/>
          <w:sz w:val="22"/>
          <w:szCs w:val="22"/>
          <w:b w:val="1"/>
          <w:bCs w:val="1"/>
          <w:color w:val="auto"/>
        </w:rPr>
      </w:pPr>
    </w:p>
    <w:p>
      <w:pPr>
        <w:jc w:val="both"/>
        <w:ind w:left="324"/>
        <w:spacing w:after="0" w:line="25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While it may be difficult under this standard to determine whether particular information is material, there are various categories of information that are particularly sensitive and, as a general rule, should always be considered material. While this list is not exhaustive, examples of such information may include:</w:t>
      </w:r>
    </w:p>
    <w:p>
      <w:pPr>
        <w:spacing w:after="0" w:line="172" w:lineRule="exact"/>
        <w:rPr>
          <w:rFonts w:ascii="Times New Roman" w:cs="Times New Roman" w:eastAsia="Times New Roman" w:hAnsi="Times New Roman"/>
          <w:sz w:val="22"/>
          <w:szCs w:val="22"/>
          <w:b w:val="1"/>
          <w:bCs w:val="1"/>
          <w:color w:val="auto"/>
        </w:rPr>
      </w:pPr>
    </w:p>
    <w:p>
      <w:pPr>
        <w:ind w:left="1624" w:hanging="652"/>
        <w:spacing w:after="0"/>
        <w:tabs>
          <w:tab w:leader="none" w:pos="1624"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results</w:t>
      </w:r>
    </w:p>
    <w:p>
      <w:pPr>
        <w:spacing w:after="0" w:line="29" w:lineRule="exact"/>
        <w:rPr>
          <w:rFonts w:ascii="Times New Roman" w:cs="Times New Roman" w:eastAsia="Times New Roman" w:hAnsi="Times New Roman"/>
          <w:sz w:val="22"/>
          <w:szCs w:val="22"/>
          <w:color w:val="auto"/>
        </w:rPr>
      </w:pPr>
    </w:p>
    <w:p>
      <w:pPr>
        <w:ind w:left="1624" w:hanging="652"/>
        <w:spacing w:after="0"/>
        <w:tabs>
          <w:tab w:leader="none" w:pos="1624"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Known but unannounced future earnings or losses, or other earnings guidance or guidance changes</w:t>
      </w:r>
    </w:p>
    <w:p>
      <w:pPr>
        <w:spacing w:after="0" w:line="15" w:lineRule="exact"/>
        <w:rPr>
          <w:rFonts w:ascii="Times New Roman" w:cs="Times New Roman" w:eastAsia="Times New Roman" w:hAnsi="Times New Roman"/>
          <w:sz w:val="22"/>
          <w:szCs w:val="22"/>
          <w:color w:val="auto"/>
        </w:rPr>
      </w:pPr>
    </w:p>
    <w:p>
      <w:pPr>
        <w:ind w:left="1624" w:hanging="652"/>
        <w:spacing w:after="0"/>
        <w:tabs>
          <w:tab w:leader="none" w:pos="1624"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Execution or termination of significant contracts with other companies including Business Partners</w:t>
      </w:r>
    </w:p>
    <w:p>
      <w:pPr>
        <w:spacing w:after="0" w:line="3" w:lineRule="exact"/>
        <w:rPr>
          <w:rFonts w:ascii="Times New Roman" w:cs="Times New Roman" w:eastAsia="Times New Roman" w:hAnsi="Times New Roman"/>
          <w:sz w:val="22"/>
          <w:szCs w:val="22"/>
          <w:color w:val="auto"/>
        </w:rPr>
      </w:pPr>
    </w:p>
    <w:p>
      <w:pPr>
        <w:ind w:left="1624" w:hanging="652"/>
        <w:spacing w:after="0"/>
        <w:tabs>
          <w:tab w:leader="none" w:pos="1624"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related party transactions</w:t>
      </w:r>
    </w:p>
    <w:p>
      <w:pPr>
        <w:spacing w:after="0" w:line="3" w:lineRule="exact"/>
        <w:rPr>
          <w:rFonts w:ascii="Times New Roman" w:cs="Times New Roman" w:eastAsia="Times New Roman" w:hAnsi="Times New Roman"/>
          <w:sz w:val="22"/>
          <w:szCs w:val="22"/>
          <w:color w:val="auto"/>
        </w:rPr>
      </w:pPr>
    </w:p>
    <w:p>
      <w:pPr>
        <w:ind w:left="1624" w:hanging="652"/>
        <w:spacing w:after="0"/>
        <w:tabs>
          <w:tab w:leader="none" w:pos="1624"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pending or proposed merger, tender offer, or other acquisition</w:t>
      </w:r>
    </w:p>
    <w:p>
      <w:pPr>
        <w:spacing w:after="0" w:line="3" w:lineRule="exact"/>
        <w:rPr>
          <w:rFonts w:ascii="Times New Roman" w:cs="Times New Roman" w:eastAsia="Times New Roman" w:hAnsi="Times New Roman"/>
          <w:sz w:val="22"/>
          <w:szCs w:val="22"/>
          <w:color w:val="auto"/>
        </w:rPr>
      </w:pPr>
    </w:p>
    <w:p>
      <w:pPr>
        <w:ind w:left="1624" w:hanging="652"/>
        <w:spacing w:after="0"/>
        <w:tabs>
          <w:tab w:leader="none" w:pos="1624"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pending disposition, construction, or acquisition of significant assets</w:t>
      </w:r>
    </w:p>
    <w:p>
      <w:pPr>
        <w:spacing w:after="0" w:line="5" w:lineRule="exact"/>
        <w:rPr>
          <w:rFonts w:ascii="Times New Roman" w:cs="Times New Roman" w:eastAsia="Times New Roman" w:hAnsi="Times New Roman"/>
          <w:sz w:val="22"/>
          <w:szCs w:val="22"/>
          <w:color w:val="auto"/>
        </w:rPr>
      </w:pPr>
    </w:p>
    <w:p>
      <w:pPr>
        <w:ind w:left="1624" w:hanging="652"/>
        <w:spacing w:after="0"/>
        <w:tabs>
          <w:tab w:leader="none" w:pos="1624"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pending or proposed joint venture</w:t>
      </w:r>
    </w:p>
    <w:p>
      <w:pPr>
        <w:spacing w:after="0" w:line="15" w:lineRule="exact"/>
        <w:rPr>
          <w:rFonts w:ascii="Times New Roman" w:cs="Times New Roman" w:eastAsia="Times New Roman" w:hAnsi="Times New Roman"/>
          <w:sz w:val="22"/>
          <w:szCs w:val="22"/>
          <w:color w:val="auto"/>
        </w:rPr>
      </w:pPr>
    </w:p>
    <w:p>
      <w:pPr>
        <w:ind w:left="1624" w:hanging="652"/>
        <w:spacing w:after="0"/>
        <w:tabs>
          <w:tab w:leader="none" w:pos="1624"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Impending bankruptcy or financial liquidity problems</w:t>
      </w:r>
    </w:p>
    <w:p>
      <w:pPr>
        <w:spacing w:after="0" w:line="3" w:lineRule="exact"/>
        <w:rPr>
          <w:rFonts w:ascii="Times New Roman" w:cs="Times New Roman" w:eastAsia="Times New Roman" w:hAnsi="Times New Roman"/>
          <w:sz w:val="22"/>
          <w:szCs w:val="22"/>
          <w:color w:val="auto"/>
        </w:rPr>
      </w:pPr>
    </w:p>
    <w:p>
      <w:pPr>
        <w:ind w:left="1624" w:hanging="652"/>
        <w:spacing w:after="0"/>
        <w:tabs>
          <w:tab w:leader="none" w:pos="1624"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debt ratings</w:t>
      </w:r>
    </w:p>
    <w:p>
      <w:pPr>
        <w:spacing w:after="0" w:line="3" w:lineRule="exact"/>
        <w:rPr>
          <w:rFonts w:ascii="Times New Roman" w:cs="Times New Roman" w:eastAsia="Times New Roman" w:hAnsi="Times New Roman"/>
          <w:sz w:val="22"/>
          <w:szCs w:val="22"/>
          <w:color w:val="auto"/>
        </w:rPr>
      </w:pPr>
    </w:p>
    <w:p>
      <w:pPr>
        <w:ind w:left="1624" w:hanging="652"/>
        <w:spacing w:after="0"/>
        <w:tabs>
          <w:tab w:leader="none" w:pos="1624"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restructuring of the Company</w:t>
      </w:r>
    </w:p>
    <w:p>
      <w:pPr>
        <w:spacing w:after="0" w:line="3" w:lineRule="exact"/>
        <w:rPr>
          <w:rFonts w:ascii="Times New Roman" w:cs="Times New Roman" w:eastAsia="Times New Roman" w:hAnsi="Times New Roman"/>
          <w:sz w:val="22"/>
          <w:szCs w:val="22"/>
          <w:color w:val="auto"/>
        </w:rPr>
      </w:pPr>
    </w:p>
    <w:p>
      <w:pPr>
        <w:ind w:left="1624" w:hanging="652"/>
        <w:spacing w:after="0"/>
        <w:tabs>
          <w:tab w:leader="none" w:pos="1624"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sources or availability of suppliers</w:t>
      </w:r>
    </w:p>
    <w:p>
      <w:pPr>
        <w:spacing w:after="0" w:line="5" w:lineRule="exact"/>
        <w:rPr>
          <w:rFonts w:ascii="Times New Roman" w:cs="Times New Roman" w:eastAsia="Times New Roman" w:hAnsi="Times New Roman"/>
          <w:sz w:val="22"/>
          <w:szCs w:val="22"/>
          <w:color w:val="auto"/>
        </w:rPr>
      </w:pPr>
    </w:p>
    <w:p>
      <w:pPr>
        <w:ind w:left="1624" w:hanging="652"/>
        <w:spacing w:after="0"/>
        <w:tabs>
          <w:tab w:leader="none" w:pos="1624"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patent or other intellectual property milestones or disputes</w:t>
      </w:r>
    </w:p>
    <w:p>
      <w:pPr>
        <w:spacing w:after="0" w:line="15" w:lineRule="exact"/>
        <w:rPr>
          <w:rFonts w:ascii="Times New Roman" w:cs="Times New Roman" w:eastAsia="Times New Roman" w:hAnsi="Times New Roman"/>
          <w:sz w:val="22"/>
          <w:szCs w:val="22"/>
          <w:color w:val="auto"/>
        </w:rPr>
      </w:pPr>
    </w:p>
    <w:p>
      <w:pPr>
        <w:ind w:left="1624" w:hanging="652"/>
        <w:spacing w:after="0"/>
        <w:tabs>
          <w:tab w:leader="none" w:pos="1624"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scientific achievements or other developments from research efforts</w:t>
      </w:r>
    </w:p>
    <w:p>
      <w:pPr>
        <w:spacing w:after="0" w:line="3" w:lineRule="exact"/>
        <w:rPr>
          <w:rFonts w:ascii="Times New Roman" w:cs="Times New Roman" w:eastAsia="Times New Roman" w:hAnsi="Times New Roman"/>
          <w:sz w:val="22"/>
          <w:szCs w:val="22"/>
          <w:color w:val="auto"/>
        </w:rPr>
      </w:pPr>
    </w:p>
    <w:p>
      <w:pPr>
        <w:ind w:left="1624" w:hanging="652"/>
        <w:spacing w:after="0"/>
        <w:tabs>
          <w:tab w:leader="none" w:pos="1624"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developments involving customers or other corporate relationships</w:t>
      </w:r>
    </w:p>
    <w:p>
      <w:pPr>
        <w:spacing w:after="0" w:line="3" w:lineRule="exact"/>
        <w:rPr>
          <w:rFonts w:ascii="Times New Roman" w:cs="Times New Roman" w:eastAsia="Times New Roman" w:hAnsi="Times New Roman"/>
          <w:sz w:val="22"/>
          <w:szCs w:val="22"/>
          <w:color w:val="auto"/>
        </w:rPr>
      </w:pPr>
    </w:p>
    <w:p>
      <w:pPr>
        <w:ind w:left="1624" w:hanging="652"/>
        <w:spacing w:after="0"/>
        <w:tabs>
          <w:tab w:leader="none" w:pos="1624"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dividend policy</w:t>
      </w:r>
    </w:p>
    <w:p>
      <w:pPr>
        <w:spacing w:after="0" w:line="3" w:lineRule="exact"/>
        <w:rPr>
          <w:rFonts w:ascii="Times New Roman" w:cs="Times New Roman" w:eastAsia="Times New Roman" w:hAnsi="Times New Roman"/>
          <w:sz w:val="22"/>
          <w:szCs w:val="22"/>
          <w:color w:val="auto"/>
        </w:rPr>
      </w:pPr>
    </w:p>
    <w:p>
      <w:pPr>
        <w:ind w:left="1624" w:hanging="652"/>
        <w:spacing w:after="0"/>
        <w:tabs>
          <w:tab w:leader="none" w:pos="1624"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corporate objectives</w:t>
      </w:r>
    </w:p>
    <w:p>
      <w:pPr>
        <w:spacing w:after="0" w:line="3" w:lineRule="exact"/>
        <w:rPr>
          <w:rFonts w:ascii="Times New Roman" w:cs="Times New Roman" w:eastAsia="Times New Roman" w:hAnsi="Times New Roman"/>
          <w:sz w:val="22"/>
          <w:szCs w:val="22"/>
          <w:color w:val="auto"/>
        </w:rPr>
      </w:pPr>
    </w:p>
    <w:p>
      <w:pPr>
        <w:ind w:left="1624" w:hanging="652"/>
        <w:spacing w:after="0"/>
        <w:tabs>
          <w:tab w:leader="none" w:pos="1624"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product announcements of a significant nature</w:t>
      </w:r>
    </w:p>
    <w:p>
      <w:pPr>
        <w:spacing w:after="0" w:line="5" w:lineRule="exact"/>
        <w:rPr>
          <w:rFonts w:ascii="Times New Roman" w:cs="Times New Roman" w:eastAsia="Times New Roman" w:hAnsi="Times New Roman"/>
          <w:sz w:val="22"/>
          <w:szCs w:val="22"/>
          <w:color w:val="auto"/>
        </w:rPr>
      </w:pPr>
    </w:p>
    <w:p>
      <w:pPr>
        <w:ind w:left="1624" w:hanging="652"/>
        <w:spacing w:after="0"/>
        <w:tabs>
          <w:tab w:leader="none" w:pos="1624"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product defects or modifications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84"/>
          </w:cols>
          <w:pgMar w:left="976" w:top="1422" w:right="339" w:bottom="1440" w:gutter="0" w:footer="0" w:header="0"/>
        </w:sectPr>
      </w:pPr>
    </w:p>
    <w:bookmarkStart w:id="182" w:name="page183"/>
    <w:bookmarkEnd w:id="182"/>
    <w:p>
      <w:pPr>
        <w:ind w:left="1624" w:hanging="652"/>
        <w:spacing w:after="0"/>
        <w:tabs>
          <w:tab w:leader="none" w:pos="1624"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pricing or cost changes</w:t>
      </w:r>
    </w:p>
    <w:p>
      <w:pPr>
        <w:spacing w:after="0" w:line="27" w:lineRule="exact"/>
        <w:rPr>
          <w:rFonts w:ascii="Times New Roman" w:cs="Times New Roman" w:eastAsia="Times New Roman" w:hAnsi="Times New Roman"/>
          <w:sz w:val="22"/>
          <w:szCs w:val="22"/>
          <w:color w:val="auto"/>
        </w:rPr>
      </w:pPr>
    </w:p>
    <w:p>
      <w:pPr>
        <w:ind w:left="1624" w:hanging="652"/>
        <w:spacing w:after="0"/>
        <w:tabs>
          <w:tab w:leader="none" w:pos="1624"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splits or stock repurchases</w:t>
      </w:r>
    </w:p>
    <w:p>
      <w:pPr>
        <w:spacing w:after="0" w:line="3" w:lineRule="exact"/>
        <w:rPr>
          <w:rFonts w:ascii="Times New Roman" w:cs="Times New Roman" w:eastAsia="Times New Roman" w:hAnsi="Times New Roman"/>
          <w:sz w:val="22"/>
          <w:szCs w:val="22"/>
          <w:color w:val="auto"/>
        </w:rPr>
      </w:pPr>
    </w:p>
    <w:p>
      <w:pPr>
        <w:ind w:left="1624" w:hanging="652"/>
        <w:spacing w:after="0"/>
        <w:tabs>
          <w:tab w:leader="none" w:pos="1624"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equity or debt offerings, or financing transactions outside the ordinary course</w:t>
      </w:r>
    </w:p>
    <w:p>
      <w:pPr>
        <w:spacing w:after="0" w:line="5" w:lineRule="exact"/>
        <w:rPr>
          <w:rFonts w:ascii="Times New Roman" w:cs="Times New Roman" w:eastAsia="Times New Roman" w:hAnsi="Times New Roman"/>
          <w:sz w:val="22"/>
          <w:szCs w:val="22"/>
          <w:color w:val="auto"/>
        </w:rPr>
      </w:pPr>
    </w:p>
    <w:p>
      <w:pPr>
        <w:ind w:left="1624" w:hanging="652"/>
        <w:spacing w:after="0"/>
        <w:tabs>
          <w:tab w:leader="none" w:pos="1624"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pending or threatened litigation or significant developments in such litigation</w:t>
      </w:r>
    </w:p>
    <w:p>
      <w:pPr>
        <w:spacing w:after="0" w:line="15" w:lineRule="exact"/>
        <w:rPr>
          <w:rFonts w:ascii="Times New Roman" w:cs="Times New Roman" w:eastAsia="Times New Roman" w:hAnsi="Times New Roman"/>
          <w:sz w:val="22"/>
          <w:szCs w:val="22"/>
          <w:color w:val="auto"/>
        </w:rPr>
      </w:pPr>
    </w:p>
    <w:p>
      <w:pPr>
        <w:ind w:left="1624" w:hanging="652"/>
        <w:spacing w:after="0"/>
        <w:tabs>
          <w:tab w:leader="none" w:pos="1624"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senior management</w:t>
      </w:r>
    </w:p>
    <w:p>
      <w:pPr>
        <w:spacing w:after="0" w:line="3" w:lineRule="exact"/>
        <w:rPr>
          <w:rFonts w:ascii="Times New Roman" w:cs="Times New Roman" w:eastAsia="Times New Roman" w:hAnsi="Times New Roman"/>
          <w:sz w:val="22"/>
          <w:szCs w:val="22"/>
          <w:color w:val="auto"/>
        </w:rPr>
      </w:pPr>
    </w:p>
    <w:p>
      <w:pPr>
        <w:ind w:left="1624" w:hanging="652"/>
        <w:spacing w:after="0"/>
        <w:tabs>
          <w:tab w:leader="none" w:pos="1624"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Developments regarding regulatory actions or investigations</w:t>
      </w:r>
    </w:p>
    <w:p>
      <w:pPr>
        <w:spacing w:after="0" w:line="3" w:lineRule="exact"/>
        <w:rPr>
          <w:rFonts w:ascii="Times New Roman" w:cs="Times New Roman" w:eastAsia="Times New Roman" w:hAnsi="Times New Roman"/>
          <w:sz w:val="22"/>
          <w:szCs w:val="22"/>
          <w:color w:val="auto"/>
        </w:rPr>
      </w:pPr>
    </w:p>
    <w:p>
      <w:pPr>
        <w:ind w:left="1624" w:hanging="652"/>
        <w:spacing w:after="0"/>
        <w:tabs>
          <w:tab w:leader="none" w:pos="1624"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cybersecurity or data breach events</w:t>
      </w:r>
    </w:p>
    <w:p>
      <w:pPr>
        <w:spacing w:after="0" w:line="4" w:lineRule="exact"/>
        <w:rPr>
          <w:sz w:val="20"/>
          <w:szCs w:val="20"/>
          <w:color w:val="auto"/>
        </w:rPr>
      </w:pPr>
    </w:p>
    <w:p>
      <w:pPr>
        <w:ind w:left="324" w:right="20"/>
        <w:spacing w:after="0" w:line="261" w:lineRule="auto"/>
        <w:rPr>
          <w:sz w:val="20"/>
          <w:szCs w:val="20"/>
          <w:color w:val="auto"/>
        </w:rPr>
      </w:pPr>
      <w:r>
        <w:rPr>
          <w:rFonts w:ascii="Times New Roman" w:cs="Times New Roman" w:eastAsia="Times New Roman" w:hAnsi="Times New Roman"/>
          <w:sz w:val="22"/>
          <w:szCs w:val="22"/>
          <w:color w:val="auto"/>
        </w:rPr>
        <w:t>Both positive and negative information can be material. Any questions concerning the materiality of information should be resolved in favor of materiality, and trading should be avoided.</w:t>
      </w:r>
    </w:p>
    <w:p>
      <w:pPr>
        <w:spacing w:after="0" w:line="191" w:lineRule="exact"/>
        <w:rPr>
          <w:sz w:val="20"/>
          <w:szCs w:val="20"/>
          <w:color w:val="auto"/>
        </w:rPr>
      </w:pPr>
    </w:p>
    <w:p>
      <w:pPr>
        <w:ind w:left="324" w:hanging="324"/>
        <w:spacing w:after="0"/>
        <w:tabs>
          <w:tab w:leader="none" w:pos="324" w:val="left"/>
        </w:tabs>
        <w:numPr>
          <w:ilvl w:val="0"/>
          <w:numId w:val="1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Certain Prohibited Transactions</w:t>
      </w:r>
    </w:p>
    <w:p>
      <w:pPr>
        <w:spacing w:after="0" w:line="250" w:lineRule="exact"/>
        <w:rPr>
          <w:rFonts w:ascii="Times New Roman" w:cs="Times New Roman" w:eastAsia="Times New Roman" w:hAnsi="Times New Roman"/>
          <w:sz w:val="22"/>
          <w:szCs w:val="22"/>
          <w:b w:val="1"/>
          <w:bCs w:val="1"/>
          <w:color w:val="auto"/>
        </w:rPr>
      </w:pPr>
    </w:p>
    <w:p>
      <w:pPr>
        <w:jc w:val="both"/>
        <w:ind w:left="324"/>
        <w:spacing w:after="0" w:line="249"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Insiders may not engage in speculative or hedging, monetization, or other derivative transactions in Company Securities. Examples of these transactions include selling Company Securities you do not own or short sales, failing to deliver Company Securities you have sold, put or call options, swaps, spread bets, collars, forward sale contracts, holding Company Securities in a margin account, or pledging Company Securities as collateral for a loan. Such transactions may reduce the incentive to improve the Company’s performance, focus attention on short-term performance at the expense of the Company’s long-term objectives, limit exposure to the full risks and rewards of ownership of Company Securities, or create the appearance of trading based on inside information or have an expectation that Company Securities will decline in value.</w:t>
      </w:r>
    </w:p>
    <w:p>
      <w:pPr>
        <w:spacing w:after="0" w:line="204" w:lineRule="exact"/>
        <w:rPr>
          <w:rFonts w:ascii="Times New Roman" w:cs="Times New Roman" w:eastAsia="Times New Roman" w:hAnsi="Times New Roman"/>
          <w:sz w:val="22"/>
          <w:szCs w:val="22"/>
          <w:b w:val="1"/>
          <w:bCs w:val="1"/>
          <w:color w:val="auto"/>
        </w:rPr>
      </w:pPr>
    </w:p>
    <w:p>
      <w:pPr>
        <w:ind w:left="324" w:hanging="324"/>
        <w:spacing w:after="0"/>
        <w:tabs>
          <w:tab w:leader="none" w:pos="324" w:val="left"/>
        </w:tabs>
        <w:numPr>
          <w:ilvl w:val="0"/>
          <w:numId w:val="1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Certain Exceptions</w:t>
      </w:r>
    </w:p>
    <w:p>
      <w:pPr>
        <w:spacing w:after="0" w:line="237" w:lineRule="exact"/>
        <w:rPr>
          <w:rFonts w:ascii="Times New Roman" w:cs="Times New Roman" w:eastAsia="Times New Roman" w:hAnsi="Times New Roman"/>
          <w:sz w:val="22"/>
          <w:szCs w:val="22"/>
          <w:b w:val="1"/>
          <w:bCs w:val="1"/>
          <w:color w:val="auto"/>
        </w:rPr>
      </w:pPr>
    </w:p>
    <w:p>
      <w:pPr>
        <w:jc w:val="both"/>
        <w:ind w:left="324"/>
        <w:spacing w:after="0" w:line="263"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 xml:space="preserve">The exercise of stock options under the Company’s stock plans (but </w:t>
      </w:r>
      <w:r>
        <w:rPr>
          <w:rFonts w:ascii="Times New Roman" w:cs="Times New Roman" w:eastAsia="Times New Roman" w:hAnsi="Times New Roman"/>
          <w:sz w:val="21"/>
          <w:szCs w:val="21"/>
          <w:u w:val="single" w:color="auto"/>
          <w:color w:val="auto"/>
        </w:rPr>
        <w:t>not</w:t>
      </w:r>
      <w:r>
        <w:rPr>
          <w:rFonts w:ascii="Times New Roman" w:cs="Times New Roman" w:eastAsia="Times New Roman" w:hAnsi="Times New Roman"/>
          <w:sz w:val="21"/>
          <w:szCs w:val="21"/>
          <w:color w:val="auto"/>
        </w:rPr>
        <w:t xml:space="preserve"> the sale of any such shares issued upon such exercise or purchase, unless such sale is to the Company) is exempt from this Policy, since the other party to the transaction is the Company itself and the price does not vary with the market but is fixed by the terms of the option agreement or the plan. The vesting of restricted stock and the exercise of a tax withholding right pursuant to which the Company withholds shares of stock to satisfy tax withholding requirements upon the vesting of any restricted stock are also exempt (however, the sale of such restricted shares is not exempt). In addition, bona fide gifts of Company Securities or transactions in mutual funds that hold Company Securities are exempt from this Policy.</w:t>
      </w:r>
    </w:p>
    <w:p>
      <w:pPr>
        <w:spacing w:after="0" w:line="195" w:lineRule="exact"/>
        <w:rPr>
          <w:rFonts w:ascii="Times New Roman" w:cs="Times New Roman" w:eastAsia="Times New Roman" w:hAnsi="Times New Roman"/>
          <w:sz w:val="22"/>
          <w:szCs w:val="22"/>
          <w:b w:val="1"/>
          <w:bCs w:val="1"/>
          <w:color w:val="auto"/>
        </w:rPr>
      </w:pPr>
    </w:p>
    <w:p>
      <w:pPr>
        <w:ind w:left="324" w:right="1040" w:hanging="324"/>
        <w:spacing w:after="0" w:line="518" w:lineRule="auto"/>
        <w:tabs>
          <w:tab w:leader="none" w:pos="323" w:val="left"/>
        </w:tabs>
        <w:numPr>
          <w:ilvl w:val="0"/>
          <w:numId w:val="1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Additional Information – Directors, Executive Officers and Other Designated Section 16 Individuals </w:t>
      </w:r>
      <w:r>
        <w:rPr>
          <w:rFonts w:ascii="Times New Roman" w:cs="Times New Roman" w:eastAsia="Times New Roman" w:hAnsi="Times New Roman"/>
          <w:sz w:val="22"/>
          <w:szCs w:val="22"/>
          <w:color w:val="auto"/>
        </w:rPr>
        <w:t>Directors, executive officers, and other individuals designated by the Company</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84"/>
          </w:cols>
          <w:pgMar w:left="976" w:top="1422" w:right="339" w:bottom="1440" w:gutter="0" w:footer="0" w:header="0"/>
        </w:sectPr>
      </w:pPr>
    </w:p>
    <w:bookmarkStart w:id="183" w:name="page184"/>
    <w:bookmarkEnd w:id="183"/>
    <w:p>
      <w:pPr>
        <w:jc w:val="both"/>
        <w:ind w:left="324"/>
        <w:spacing w:after="0" w:line="249" w:lineRule="auto"/>
        <w:rPr>
          <w:sz w:val="20"/>
          <w:szCs w:val="20"/>
          <w:color w:val="auto"/>
        </w:rPr>
      </w:pPr>
      <w:r>
        <w:rPr>
          <w:rFonts w:ascii="Times New Roman" w:cs="Times New Roman" w:eastAsia="Times New Roman" w:hAnsi="Times New Roman"/>
          <w:sz w:val="22"/>
          <w:szCs w:val="22"/>
          <w:color w:val="auto"/>
        </w:rPr>
        <w:t>(collectively “Section 16 Individuals”) must also comply with the reporting obligations and limitations on short-swing transactions set forth in Section 16 (“Section 16”) of the Securities Exchange Act of 1934, as amended (the “Exchange Act”). The practical effect of these provisions is that Section 16 Individuals who purchase and sell (or sell and purchase) Company Securities within a six-month period must disgorge all profits to the Company whether or not they had knowledge of any Material Nonpublic Information. Under these provisions, neither the receipt of an option under the Company’s option plans, nor the exercise of that option is deemed a purchase under Section 16; however, the sale of any such shares is a sale under Section 16. Section 16 prohibits Section 16 Individuals from ever making a short sale of the Company’s stock. Transactions in put and call options for Company Securities may in some instances constitute a short sale or may otherwise result in liability for short swing profits. All Section 16 Individuals must confer with the Compliance Officer before effecting any such transaction.</w:t>
      </w:r>
    </w:p>
    <w:p>
      <w:pPr>
        <w:spacing w:after="0" w:line="210" w:lineRule="exact"/>
        <w:rPr>
          <w:sz w:val="20"/>
          <w:szCs w:val="20"/>
          <w:color w:val="auto"/>
        </w:rPr>
      </w:pPr>
    </w:p>
    <w:p>
      <w:pPr>
        <w:jc w:val="both"/>
        <w:ind w:left="324"/>
        <w:spacing w:after="0" w:line="271" w:lineRule="auto"/>
        <w:rPr>
          <w:sz w:val="20"/>
          <w:szCs w:val="20"/>
          <w:color w:val="auto"/>
        </w:rPr>
      </w:pPr>
      <w:r>
        <w:rPr>
          <w:rFonts w:ascii="Times New Roman" w:cs="Times New Roman" w:eastAsia="Times New Roman" w:hAnsi="Times New Roman"/>
          <w:sz w:val="22"/>
          <w:szCs w:val="22"/>
          <w:color w:val="auto"/>
        </w:rPr>
        <w:t>The Company has provided, or will provide, separate memoranda and other appropriate materials to its executive officers and directors regarding compliance with Section 16 and its related rules.</w:t>
      </w:r>
    </w:p>
    <w:p>
      <w:pPr>
        <w:spacing w:after="0" w:line="154" w:lineRule="exact"/>
        <w:rPr>
          <w:sz w:val="20"/>
          <w:szCs w:val="20"/>
          <w:color w:val="auto"/>
        </w:rPr>
      </w:pPr>
    </w:p>
    <w:p>
      <w:pPr>
        <w:ind w:left="324" w:hanging="324"/>
        <w:spacing w:after="0"/>
        <w:tabs>
          <w:tab w:leader="none" w:pos="324" w:val="left"/>
        </w:tabs>
        <w:numPr>
          <w:ilvl w:val="0"/>
          <w:numId w:val="1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10b5-1 Trading Plans</w:t>
      </w:r>
    </w:p>
    <w:p>
      <w:pPr>
        <w:spacing w:after="0" w:line="250" w:lineRule="exact"/>
        <w:rPr>
          <w:rFonts w:ascii="Times New Roman" w:cs="Times New Roman" w:eastAsia="Times New Roman" w:hAnsi="Times New Roman"/>
          <w:sz w:val="22"/>
          <w:szCs w:val="22"/>
          <w:b w:val="1"/>
          <w:bCs w:val="1"/>
          <w:color w:val="auto"/>
        </w:rPr>
      </w:pPr>
    </w:p>
    <w:p>
      <w:pPr>
        <w:jc w:val="both"/>
        <w:ind w:left="324"/>
        <w:spacing w:after="0" w:line="25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lieu of clearing each individual trade, Insiders may elect to purchase or sell Company Securities (either in the open market and/or by the exercise of stock options) pursuant to a written plan or set of instructions to his or her broker that meets certain conditions specified in Rule 10b5-1 under the Exchange Act (a “Trading Plan”). Trades made pursuant to Trading Plans need not occur in the Trading Window.</w:t>
      </w:r>
    </w:p>
    <w:p>
      <w:pPr>
        <w:spacing w:after="0" w:line="203" w:lineRule="exact"/>
        <w:rPr>
          <w:rFonts w:ascii="Times New Roman" w:cs="Times New Roman" w:eastAsia="Times New Roman" w:hAnsi="Times New Roman"/>
          <w:sz w:val="22"/>
          <w:szCs w:val="22"/>
          <w:b w:val="1"/>
          <w:bCs w:val="1"/>
          <w:color w:val="auto"/>
        </w:rPr>
      </w:pPr>
    </w:p>
    <w:p>
      <w:pPr>
        <w:jc w:val="both"/>
        <w:ind w:left="324"/>
        <w:spacing w:after="0" w:line="28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The Company reserves the right to bar all trades in Company Securities, even pursuant to existing Trading Plans, if the Company determines that such a bar is in the best interests of the Company. An Insider may not enter into, modify, or terminate a Trading Plan during a Black-out period or while in possession of Material Nonpublic Information.</w:t>
      </w:r>
    </w:p>
    <w:p>
      <w:pPr>
        <w:spacing w:after="0" w:line="177" w:lineRule="exact"/>
        <w:rPr>
          <w:rFonts w:ascii="Times New Roman" w:cs="Times New Roman" w:eastAsia="Times New Roman" w:hAnsi="Times New Roman"/>
          <w:sz w:val="22"/>
          <w:szCs w:val="22"/>
          <w:b w:val="1"/>
          <w:bCs w:val="1"/>
          <w:color w:val="auto"/>
        </w:rPr>
      </w:pPr>
    </w:p>
    <w:p>
      <w:pPr>
        <w:ind w:left="324"/>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Trading Plans must be approved by the Compliance Officer.</w:t>
      </w:r>
    </w:p>
    <w:p>
      <w:pPr>
        <w:spacing w:after="0" w:line="246" w:lineRule="exact"/>
        <w:rPr>
          <w:rFonts w:ascii="Times New Roman" w:cs="Times New Roman" w:eastAsia="Times New Roman" w:hAnsi="Times New Roman"/>
          <w:sz w:val="22"/>
          <w:szCs w:val="22"/>
          <w:b w:val="1"/>
          <w:bCs w:val="1"/>
          <w:color w:val="auto"/>
        </w:rPr>
      </w:pPr>
    </w:p>
    <w:p>
      <w:pPr>
        <w:ind w:left="324"/>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Unless otherwise authorized by the Compliance Officer, Trading Plans are subject to the following guidelines:</w:t>
      </w:r>
    </w:p>
    <w:p>
      <w:pPr>
        <w:spacing w:after="0" w:line="219" w:lineRule="exact"/>
        <w:rPr>
          <w:rFonts w:ascii="Times New Roman" w:cs="Times New Roman" w:eastAsia="Times New Roman" w:hAnsi="Times New Roman"/>
          <w:sz w:val="22"/>
          <w:szCs w:val="22"/>
          <w:b w:val="1"/>
          <w:bCs w:val="1"/>
          <w:color w:val="auto"/>
        </w:rPr>
      </w:pPr>
    </w:p>
    <w:p>
      <w:pPr>
        <w:ind w:left="584" w:hanging="260"/>
        <w:spacing w:after="0" w:line="271" w:lineRule="auto"/>
        <w:tabs>
          <w:tab w:leader="none" w:pos="574"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Trading Plan must be written and signed by the person seeking to adopt the Trading Plan. The Company will keep a copy of each Trading Plan in its files.</w:t>
      </w:r>
    </w:p>
    <w:p>
      <w:pPr>
        <w:spacing w:after="0" w:line="171" w:lineRule="exact"/>
        <w:rPr>
          <w:rFonts w:ascii="Times New Roman" w:cs="Times New Roman" w:eastAsia="Times New Roman" w:hAnsi="Times New Roman"/>
          <w:sz w:val="22"/>
          <w:szCs w:val="22"/>
          <w:color w:val="auto"/>
        </w:rPr>
      </w:pPr>
    </w:p>
    <w:p>
      <w:pPr>
        <w:jc w:val="both"/>
        <w:ind w:left="584" w:hanging="260"/>
        <w:spacing w:after="0" w:line="257" w:lineRule="auto"/>
        <w:tabs>
          <w:tab w:leader="none" w:pos="580"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Insider seeking to adopt the Trading Plan must certify in writing as part of the Trading Plan that (1) as of the date of the adoption of the Trading Plan, the Insider is not aware of any Material Nonpublic Information and (2) the insider is adopting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84"/>
          </w:cols>
          <w:pgMar w:left="976" w:top="1422" w:right="339" w:bottom="1440" w:gutter="0" w:footer="0" w:header="0"/>
        </w:sectPr>
      </w:pPr>
    </w:p>
    <w:bookmarkStart w:id="184" w:name="page185"/>
    <w:bookmarkEnd w:id="184"/>
    <w:p>
      <w:pPr>
        <w:spacing w:after="0" w:line="198" w:lineRule="exact"/>
        <w:rPr>
          <w:sz w:val="20"/>
          <w:szCs w:val="20"/>
          <w:color w:val="auto"/>
        </w:rPr>
      </w:pPr>
    </w:p>
    <w:p>
      <w:pPr>
        <w:ind w:left="260"/>
        <w:spacing w:after="0" w:line="271" w:lineRule="auto"/>
        <w:rPr>
          <w:sz w:val="20"/>
          <w:szCs w:val="20"/>
          <w:color w:val="auto"/>
        </w:rPr>
      </w:pPr>
      <w:r>
        <w:rPr>
          <w:rFonts w:ascii="Times New Roman" w:cs="Times New Roman" w:eastAsia="Times New Roman" w:hAnsi="Times New Roman"/>
          <w:sz w:val="22"/>
          <w:szCs w:val="22"/>
          <w:color w:val="auto"/>
        </w:rPr>
        <w:t>the Trading Plan in good faith and not as part of a scheme to evade the prohibitions of Rule 10b5-1 under the Exchange Act.</w:t>
      </w:r>
    </w:p>
    <w:p>
      <w:pPr>
        <w:spacing w:after="0" w:line="158" w:lineRule="exact"/>
        <w:rPr>
          <w:sz w:val="20"/>
          <w:szCs w:val="20"/>
          <w:color w:val="auto"/>
        </w:rPr>
      </w:pPr>
    </w:p>
    <w:p>
      <w:pPr>
        <w:jc w:val="both"/>
        <w:ind w:left="260" w:hanging="258"/>
        <w:spacing w:after="0" w:line="253" w:lineRule="auto"/>
        <w:rPr>
          <w:sz w:val="20"/>
          <w:szCs w:val="20"/>
          <w:color w:val="auto"/>
        </w:rPr>
      </w:pPr>
      <w:r>
        <w:rPr>
          <w:rFonts w:ascii="Times New Roman" w:cs="Times New Roman" w:eastAsia="Times New Roman" w:hAnsi="Times New Roman"/>
          <w:sz w:val="22"/>
          <w:szCs w:val="22"/>
          <w:color w:val="auto"/>
        </w:rPr>
        <w:t>iii.The Trading Plan must either specify or set a formula for the amount, pricing and timing of transactions in advance, or delegate discretion on these matters to an independent third party. For example, the Trading Plan may instruct the broker to sell a particular number of Company Securities at market prices in each upcoming month or quarter. Once the Trading Plan is adopted, the Insider must not exercise any influence over the amount of Company Securities to be traded, the price at which they are to be traded or the date of the trade.</w:t>
      </w:r>
    </w:p>
    <w:p>
      <w:pPr>
        <w:spacing w:after="0" w:line="179" w:lineRule="exact"/>
        <w:rPr>
          <w:sz w:val="20"/>
          <w:szCs w:val="20"/>
          <w:color w:val="auto"/>
        </w:rPr>
      </w:pPr>
    </w:p>
    <w:p>
      <w:pPr>
        <w:jc w:val="both"/>
        <w:ind w:left="260" w:hanging="260"/>
        <w:spacing w:after="0" w:line="256" w:lineRule="auto"/>
        <w:tabs>
          <w:tab w:leader="none" w:pos="236"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 seeking to adopt the Trading Plan must acknowledge that he or she may not discuss with his or her broker Material Nonpublic Information regarding the Company or the Company Securities. All communication between the person seeking to adopt the Trading Plan and his or her broker or others involved with the Trading Plan shall be in writing.</w:t>
      </w:r>
    </w:p>
    <w:p>
      <w:pPr>
        <w:spacing w:after="0" w:line="176" w:lineRule="exact"/>
        <w:rPr>
          <w:rFonts w:ascii="Times New Roman" w:cs="Times New Roman" w:eastAsia="Times New Roman" w:hAnsi="Times New Roman"/>
          <w:sz w:val="22"/>
          <w:szCs w:val="22"/>
          <w:color w:val="auto"/>
        </w:rPr>
      </w:pPr>
    </w:p>
    <w:p>
      <w:pPr>
        <w:ind w:left="260" w:right="20" w:hanging="260"/>
        <w:spacing w:after="0" w:line="271" w:lineRule="auto"/>
        <w:tabs>
          <w:tab w:leader="none" w:pos="243"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Insider seeking to adopt the Trading Plan must declare that he or she has not entered into, and will not enter into, any corresponding or hedging transaction or position with respect to Company Securities.</w:t>
      </w:r>
    </w:p>
    <w:p>
      <w:pPr>
        <w:spacing w:after="0" w:line="157" w:lineRule="exact"/>
        <w:rPr>
          <w:rFonts w:ascii="Times New Roman" w:cs="Times New Roman" w:eastAsia="Times New Roman" w:hAnsi="Times New Roman"/>
          <w:sz w:val="22"/>
          <w:szCs w:val="22"/>
          <w:color w:val="auto"/>
        </w:rPr>
      </w:pPr>
    </w:p>
    <w:p>
      <w:pPr>
        <w:jc w:val="both"/>
        <w:ind w:left="260" w:hanging="260"/>
        <w:spacing w:after="0" w:line="256" w:lineRule="auto"/>
        <w:tabs>
          <w:tab w:leader="none" w:pos="25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broker executing a trade under any Trading Plan must agree to promptly notify the stockholder and the Company of the transaction. Except for such notifications, unless required by SEC regulation or any other law to do so, the broker should not inform the stockholder during any given month of the status of its efforts to sell shares on behalf of the stockholder during that month.</w:t>
      </w:r>
    </w:p>
    <w:p>
      <w:pPr>
        <w:spacing w:after="0" w:line="176" w:lineRule="exact"/>
        <w:rPr>
          <w:rFonts w:ascii="Times New Roman" w:cs="Times New Roman" w:eastAsia="Times New Roman" w:hAnsi="Times New Roman"/>
          <w:sz w:val="22"/>
          <w:szCs w:val="22"/>
          <w:color w:val="auto"/>
        </w:rPr>
      </w:pPr>
    </w:p>
    <w:p>
      <w:pPr>
        <w:jc w:val="both"/>
        <w:ind w:left="260" w:hanging="260"/>
        <w:spacing w:after="0" w:line="250" w:lineRule="auto"/>
        <w:tabs>
          <w:tab w:leader="none" w:pos="324"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Insider may not commence sales under a Trading Plan until at least the later of: (i) 30 days following the date of establishment or modification of such Trading Plan; and (ii) such other date as may be required by applicable law. Provided, that an Insider who is a director or officer (as defined in Rule 16a-1(f) of the Exchange Act) of the Company may not commence sales under a Trading Plan until at least the later of (a) 90 days following the date of establishment or modification of such Trading Plan; (b) the earlier of (x) two business days following the disclosure of the Company’s financial results in a Form 10-Q or Form 10-K for the completed fiscal quarter in which the Trading Plan was adopted and (y) 120 days following the date of establishment or modification of such Trading Plan; and (c) such other date as may be required by applicable law. All Trading Plans must have a duration of at least 6 months, unless otherwise approved by the Compliance Officer.</w:t>
      </w:r>
    </w:p>
    <w:p>
      <w:pPr>
        <w:spacing w:after="0" w:line="179" w:lineRule="exact"/>
        <w:rPr>
          <w:rFonts w:ascii="Times New Roman" w:cs="Times New Roman" w:eastAsia="Times New Roman" w:hAnsi="Times New Roman"/>
          <w:sz w:val="22"/>
          <w:szCs w:val="22"/>
          <w:color w:val="auto"/>
        </w:rPr>
      </w:pPr>
    </w:p>
    <w:p>
      <w:pPr>
        <w:ind w:left="960" w:hanging="960"/>
        <w:spacing w:after="0"/>
        <w:tabs>
          <w:tab w:leader="none" w:pos="96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Insider must act in good faith with respect to the Trading Plan throughout its duration.</w:t>
      </w:r>
    </w:p>
    <w:p>
      <w:pPr>
        <w:spacing w:after="0" w:line="219" w:lineRule="exact"/>
        <w:rPr>
          <w:rFonts w:ascii="Times New Roman" w:cs="Times New Roman" w:eastAsia="Times New Roman" w:hAnsi="Times New Roman"/>
          <w:sz w:val="22"/>
          <w:szCs w:val="22"/>
          <w:color w:val="auto"/>
        </w:rPr>
      </w:pPr>
    </w:p>
    <w:p>
      <w:pPr>
        <w:jc w:val="both"/>
        <w:ind w:left="260" w:hanging="260"/>
        <w:spacing w:after="0" w:line="257" w:lineRule="auto"/>
        <w:tabs>
          <w:tab w:leader="none" w:pos="25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in the case of sell-to-cover transactions, no Insider may enter into a Trading Plan designed to effect the open-market purchase or sale of the Company Securities as a single transaction (a “Single-Trade Arrangement”) unless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260"/>
          </w:cols>
          <w:pgMar w:left="1300" w:top="1440" w:right="339" w:bottom="1440" w:gutter="0" w:footer="0" w:header="0"/>
        </w:sectPr>
      </w:pPr>
    </w:p>
    <w:bookmarkStart w:id="185" w:name="page186"/>
    <w:bookmarkEnd w:id="185"/>
    <w:p>
      <w:pPr>
        <w:spacing w:after="0" w:line="198" w:lineRule="exact"/>
        <w:rPr>
          <w:sz w:val="20"/>
          <w:szCs w:val="20"/>
          <w:color w:val="auto"/>
        </w:rPr>
      </w:pPr>
    </w:p>
    <w:p>
      <w:pPr>
        <w:ind w:left="584"/>
        <w:spacing w:after="0" w:line="271" w:lineRule="auto"/>
        <w:rPr>
          <w:sz w:val="20"/>
          <w:szCs w:val="20"/>
          <w:color w:val="auto"/>
        </w:rPr>
      </w:pPr>
      <w:r>
        <w:rPr>
          <w:rFonts w:ascii="Times New Roman" w:cs="Times New Roman" w:eastAsia="Times New Roman" w:hAnsi="Times New Roman"/>
          <w:sz w:val="22"/>
          <w:szCs w:val="22"/>
          <w:color w:val="auto"/>
        </w:rPr>
        <w:t>Insider has not, during the prior 12-month period, adopted another Single-Trade Plan eligible for the Rule 10b5-1 affirmative defense.</w:t>
      </w:r>
    </w:p>
    <w:p>
      <w:pPr>
        <w:spacing w:after="0" w:line="158"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22"/>
          <w:szCs w:val="22"/>
          <w:color w:val="auto"/>
        </w:rPr>
        <w:t>x. An Insider may not have more than one Trading Plan in effect at any time.</w:t>
      </w:r>
    </w:p>
    <w:p>
      <w:pPr>
        <w:spacing w:after="0" w:line="260" w:lineRule="exact"/>
        <w:rPr>
          <w:sz w:val="20"/>
          <w:szCs w:val="20"/>
          <w:color w:val="auto"/>
        </w:rPr>
      </w:pPr>
    </w:p>
    <w:p>
      <w:pPr>
        <w:ind w:left="324"/>
        <w:spacing w:after="0" w:line="271" w:lineRule="auto"/>
        <w:rPr>
          <w:sz w:val="20"/>
          <w:szCs w:val="20"/>
          <w:color w:val="auto"/>
        </w:rPr>
      </w:pPr>
      <w:r>
        <w:rPr>
          <w:rFonts w:ascii="Times New Roman" w:cs="Times New Roman" w:eastAsia="Times New Roman" w:hAnsi="Times New Roman"/>
          <w:sz w:val="22"/>
          <w:szCs w:val="22"/>
          <w:color w:val="auto"/>
        </w:rPr>
        <w:t>The Company strongly recommends that a person seeking to adopt a Trading Plan consult an attorney prior to the adoption of a Trading Plan.</w:t>
      </w:r>
    </w:p>
    <w:p>
      <w:pPr>
        <w:spacing w:after="0" w:line="181" w:lineRule="exact"/>
        <w:rPr>
          <w:sz w:val="20"/>
          <w:szCs w:val="20"/>
          <w:color w:val="auto"/>
        </w:rPr>
      </w:pPr>
    </w:p>
    <w:p>
      <w:pPr>
        <w:ind w:left="324" w:hanging="324"/>
        <w:spacing w:after="0"/>
        <w:tabs>
          <w:tab w:leader="none" w:pos="324" w:val="left"/>
        </w:tabs>
        <w:numPr>
          <w:ilvl w:val="0"/>
          <w:numId w:val="1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Inquiries and Administration</w:t>
      </w:r>
    </w:p>
    <w:p>
      <w:pPr>
        <w:spacing w:after="0" w:line="250" w:lineRule="exact"/>
        <w:rPr>
          <w:rFonts w:ascii="Times New Roman" w:cs="Times New Roman" w:eastAsia="Times New Roman" w:hAnsi="Times New Roman"/>
          <w:sz w:val="22"/>
          <w:szCs w:val="22"/>
          <w:b w:val="1"/>
          <w:bCs w:val="1"/>
          <w:color w:val="auto"/>
        </w:rPr>
      </w:pPr>
    </w:p>
    <w:p>
      <w:pPr>
        <w:jc w:val="both"/>
        <w:ind w:left="324"/>
        <w:spacing w:after="0" w:line="253"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Please direct your questions as to any of the matters discussed in this Policy to the Compliance Officer. Unless otherwise designated by the Company, the Company’s General Counsel, or the General Counsel’s designee, shall serve as the “Compliance Officer” for purposes of this Policy and shall be responsible for the administration of this Policy. All determinations and interpretations by the Compliance Officer shall be final and not subject to further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84"/>
          </w:cols>
          <w:pgMar w:left="976" w:top="1440" w:right="339"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238"/>
        </w:trPr>
        <w:tc>
          <w:tcPr>
            <w:tcW w:w="8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2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w w:val="96"/>
              </w:rPr>
              <w:t>Exhibit 21.1</w:t>
            </w:r>
          </w:p>
        </w:tc>
      </w:tr>
      <w:tr>
        <w:trPr>
          <w:trHeight w:val="553"/>
        </w:trPr>
        <w:tc>
          <w:tcPr>
            <w:tcW w:w="8320" w:type="dxa"/>
            <w:vAlign w:val="bottom"/>
            <w:gridSpan w:val="2"/>
          </w:tcPr>
          <w:p>
            <w:pPr>
              <w:ind w:left="4360"/>
              <w:spacing w:after="0"/>
              <w:rPr>
                <w:sz w:val="20"/>
                <w:szCs w:val="20"/>
                <w:color w:val="auto"/>
              </w:rPr>
            </w:pPr>
            <w:r>
              <w:rPr>
                <w:rFonts w:ascii="Times New Roman" w:cs="Times New Roman" w:eastAsia="Times New Roman" w:hAnsi="Times New Roman"/>
                <w:sz w:val="18"/>
                <w:szCs w:val="18"/>
                <w:b w:val="1"/>
                <w:bCs w:val="1"/>
                <w:color w:val="auto"/>
              </w:rPr>
              <w:t>AMKOR TECHNOLOGY, INC.</w:t>
            </w:r>
          </w:p>
        </w:tc>
        <w:tc>
          <w:tcPr>
            <w:tcW w:w="2920" w:type="dxa"/>
            <w:vAlign w:val="bottom"/>
          </w:tcPr>
          <w:p>
            <w:pPr>
              <w:spacing w:after="0"/>
              <w:rPr>
                <w:sz w:val="24"/>
                <w:szCs w:val="24"/>
                <w:color w:val="auto"/>
              </w:rPr>
            </w:pPr>
          </w:p>
        </w:tc>
      </w:tr>
      <w:tr>
        <w:trPr>
          <w:trHeight w:val="351"/>
        </w:trPr>
        <w:tc>
          <w:tcPr>
            <w:tcW w:w="8320" w:type="dxa"/>
            <w:vAlign w:val="bottom"/>
            <w:gridSpan w:val="2"/>
          </w:tcPr>
          <w:p>
            <w:pPr>
              <w:ind w:left="4620"/>
              <w:spacing w:after="0"/>
              <w:rPr>
                <w:sz w:val="20"/>
                <w:szCs w:val="20"/>
                <w:color w:val="auto"/>
              </w:rPr>
            </w:pPr>
            <w:r>
              <w:rPr>
                <w:rFonts w:ascii="Times New Roman" w:cs="Times New Roman" w:eastAsia="Times New Roman" w:hAnsi="Times New Roman"/>
                <w:sz w:val="18"/>
                <w:szCs w:val="18"/>
                <w:b w:val="1"/>
                <w:bCs w:val="1"/>
                <w:color w:val="auto"/>
              </w:rPr>
              <w:t>LIST OF SUBSIDIARIES</w:t>
            </w:r>
          </w:p>
        </w:tc>
        <w:tc>
          <w:tcPr>
            <w:tcW w:w="2920" w:type="dxa"/>
            <w:vAlign w:val="bottom"/>
          </w:tcPr>
          <w:p>
            <w:pPr>
              <w:spacing w:after="0"/>
              <w:rPr>
                <w:sz w:val="24"/>
                <w:szCs w:val="24"/>
                <w:color w:val="auto"/>
              </w:rPr>
            </w:pPr>
          </w:p>
        </w:tc>
      </w:tr>
      <w:tr>
        <w:trPr>
          <w:trHeight w:val="287"/>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r>
      <w:tr>
        <w:trPr>
          <w:trHeight w:val="23"/>
        </w:trPr>
        <w:tc>
          <w:tcPr>
            <w:tcW w:w="80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r>
      <w:tr>
        <w:trPr>
          <w:trHeight w:val="299"/>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Advanced Technology Taiwan, Inc.</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Taiwan</w:t>
            </w:r>
          </w:p>
        </w:tc>
      </w:tr>
      <w:tr>
        <w:trPr>
          <w:trHeight w:val="229"/>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Assembly &amp; Test (Shanghai) Co., Ltd.</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Technology Arizona, Inc.</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Arizona</w:t>
            </w:r>
          </w:p>
        </w:tc>
      </w:tr>
      <w:tr>
        <w:trPr>
          <w:trHeight w:val="229"/>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Technology Euroservices, S.A.S.</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29"/>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Technology Germany GmbH</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Germany</w:t>
            </w:r>
          </w:p>
        </w:tc>
      </w:tr>
      <w:tr>
        <w:trPr>
          <w:trHeight w:val="23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Technology Japan, Inc.</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r>
      <w:tr>
        <w:trPr>
          <w:trHeight w:val="229"/>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Technology Korea, Inc.</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Korea</w:t>
            </w:r>
          </w:p>
        </w:tc>
      </w:tr>
      <w:tr>
        <w:trPr>
          <w:trHeight w:val="229"/>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Technology Malaysia Sdn. Bhd.</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Malaysia</w:t>
            </w:r>
          </w:p>
        </w:tc>
      </w:tr>
      <w:tr>
        <w:trPr>
          <w:trHeight w:val="23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Technology Philippines, Inc. (A Branch of a Singapore Company)</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Philippines</w:t>
            </w:r>
          </w:p>
        </w:tc>
      </w:tr>
      <w:tr>
        <w:trPr>
          <w:trHeight w:val="229"/>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Technology Pte. Ltd.</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3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Technology Singapore Investment Pte. Ltd.</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29"/>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Technology Singapore Holding Pte. Ltd.</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29"/>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Technology Singapore Holding Pte. Ltd., Taiwan Branch (A Branch of a Singapore Company)</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Taiwan</w:t>
            </w:r>
          </w:p>
        </w:tc>
      </w:tr>
      <w:tr>
        <w:trPr>
          <w:trHeight w:val="23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Technology Taiwan Ltd.</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Taiwan</w:t>
            </w:r>
          </w:p>
        </w:tc>
      </w:tr>
      <w:tr>
        <w:trPr>
          <w:trHeight w:val="229"/>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Technology Vietnam Limited Liability Company</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Vietnam</w:t>
            </w:r>
          </w:p>
        </w:tc>
      </w:tr>
      <w:tr>
        <w:trPr>
          <w:trHeight w:val="229"/>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Worldwide Services LLC</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Worldwide Services LLC - ROHQ (A Branch of a United States Company)</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Philippines</w:t>
            </w:r>
          </w:p>
        </w:tc>
      </w:tr>
      <w:tr>
        <w:trPr>
          <w:trHeight w:val="229"/>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ATEP - Amkor Technology Portugal, S.A.</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Portugal</w:t>
            </w:r>
          </w:p>
        </w:tc>
      </w:tr>
      <w:tr>
        <w:trPr>
          <w:trHeight w:val="234"/>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Guardian Assets, Inc.</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1240"/>
          </w:cols>
          <w:pgMar w:left="320" w:top="1251"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56"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333-149376 and 333-256241) and Form S-3 (No. 333-279042) of Amkor Technology, Inc. of our report dated February 21, 2025 relating to the financial statements, financial statement schedule and the effectiveness of internal control over financial reporting, which appears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Phoenix, Arizona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2025</w:t>
      </w:r>
    </w:p>
    <w:p>
      <w:pPr>
        <w:sectPr>
          <w:pgSz w:w="11900" w:h="16838" w:orient="portrait"/>
          <w:cols w:equalWidth="0" w:num="1">
            <w:col w:w="11240"/>
          </w:cols>
          <w:pgMar w:left="320" w:top="1251"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Guillaume Marie Jean Rutten, certify that:</w:t>
      </w:r>
    </w:p>
    <w:p>
      <w:pPr>
        <w:spacing w:after="0" w:line="212" w:lineRule="exact"/>
        <w:rPr>
          <w:sz w:val="20"/>
          <w:szCs w:val="20"/>
          <w:color w:val="auto"/>
        </w:rPr>
      </w:pPr>
    </w:p>
    <w:p>
      <w:pPr>
        <w:ind w:left="520" w:hanging="188"/>
        <w:spacing w:after="0"/>
        <w:tabs>
          <w:tab w:leader="none" w:pos="5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Amkor Technology, Inc.;</w:t>
      </w:r>
    </w:p>
    <w:p>
      <w:pPr>
        <w:spacing w:after="0" w:line="211" w:lineRule="exact"/>
        <w:rPr>
          <w:rFonts w:ascii="Times New Roman" w:cs="Times New Roman" w:eastAsia="Times New Roman" w:hAnsi="Times New Roman"/>
          <w:sz w:val="18"/>
          <w:szCs w:val="18"/>
          <w:color w:val="auto"/>
        </w:rPr>
      </w:pPr>
    </w:p>
    <w:p>
      <w:pPr>
        <w:jc w:val="both"/>
        <w:ind w:left="500" w:hanging="168"/>
        <w:spacing w:after="0" w:line="266" w:lineRule="auto"/>
        <w:tabs>
          <w:tab w:leader="none" w:pos="527"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500" w:hanging="168"/>
        <w:spacing w:after="0" w:line="282" w:lineRule="auto"/>
        <w:tabs>
          <w:tab w:leader="none" w:pos="52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jc w:val="both"/>
        <w:ind w:left="500" w:hanging="168"/>
        <w:spacing w:after="0" w:line="266" w:lineRule="auto"/>
        <w:tabs>
          <w:tab w:leader="none" w:pos="53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8"/>
          <w:szCs w:val="18"/>
          <w:color w:val="auto"/>
        </w:rPr>
      </w:pPr>
    </w:p>
    <w:p>
      <w:pPr>
        <w:jc w:val="both"/>
        <w:ind w:left="660" w:hanging="166"/>
        <w:spacing w:after="0" w:line="266" w:lineRule="auto"/>
        <w:tabs>
          <w:tab w:leader="none" w:pos="70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Times New Roman" w:cs="Times New Roman" w:eastAsia="Times New Roman" w:hAnsi="Times New Roman"/>
          <w:sz w:val="18"/>
          <w:szCs w:val="18"/>
          <w:color w:val="auto"/>
        </w:rPr>
      </w:pPr>
    </w:p>
    <w:p>
      <w:pPr>
        <w:jc w:val="both"/>
        <w:ind w:left="660" w:hanging="166"/>
        <w:spacing w:after="0" w:line="266" w:lineRule="auto"/>
        <w:tabs>
          <w:tab w:leader="none" w:pos="729"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Times New Roman" w:cs="Times New Roman" w:eastAsia="Times New Roman" w:hAnsi="Times New Roman"/>
          <w:sz w:val="18"/>
          <w:szCs w:val="18"/>
          <w:color w:val="auto"/>
        </w:rPr>
      </w:pPr>
    </w:p>
    <w:p>
      <w:pPr>
        <w:ind w:left="660" w:hanging="166"/>
        <w:spacing w:after="0" w:line="282" w:lineRule="auto"/>
        <w:tabs>
          <w:tab w:leader="none" w:pos="729"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jc w:val="both"/>
        <w:ind w:left="660" w:hanging="166"/>
        <w:spacing w:after="0" w:line="266" w:lineRule="auto"/>
        <w:tabs>
          <w:tab w:leader="none" w:pos="71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8"/>
          <w:szCs w:val="18"/>
          <w:color w:val="auto"/>
        </w:rPr>
      </w:pPr>
    </w:p>
    <w:p>
      <w:pPr>
        <w:ind w:left="500" w:hanging="168"/>
        <w:spacing w:after="0" w:line="282" w:lineRule="auto"/>
        <w:tabs>
          <w:tab w:leader="none" w:pos="522"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660" w:hanging="166"/>
        <w:spacing w:after="0" w:line="282" w:lineRule="auto"/>
        <w:tabs>
          <w:tab w:leader="none" w:pos="686"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660" w:hanging="166"/>
        <w:spacing w:after="0" w:line="282" w:lineRule="auto"/>
        <w:tabs>
          <w:tab w:leader="none" w:pos="693"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/s/ Guillaume Marie Jean Rutten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296608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9">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p>
      <w:pPr>
        <w:spacing w:after="0" w:line="6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Guillaume Marie Jean Rutten</w:t>
      </w:r>
    </w:p>
    <w:p>
      <w:pPr>
        <w:spacing w:after="0" w:line="75" w:lineRule="exact"/>
        <w:rPr>
          <w:sz w:val="20"/>
          <w:szCs w:val="20"/>
          <w:color w:val="auto"/>
        </w:rPr>
      </w:pPr>
    </w:p>
    <w:p>
      <w:pPr>
        <w:sectPr>
          <w:pgSz w:w="11900" w:h="16838" w:orient="portrait"/>
          <w:cols w:equalWidth="0" w:num="2">
            <w:col w:w="6840" w:space="520"/>
            <w:col w:w="3880"/>
          </w:cols>
          <w:pgMar w:left="320" w:top="1251" w:right="339" w:bottom="1440" w:gutter="0" w:footer="0" w:header="0"/>
          <w:type w:val="continuous"/>
        </w:sectPr>
      </w:pPr>
    </w:p>
    <w:p>
      <w:pPr>
        <w:ind w:left="65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74" w:lineRule="exact"/>
        <w:rPr>
          <w:sz w:val="20"/>
          <w:szCs w:val="20"/>
          <w:color w:val="auto"/>
        </w:rPr>
      </w:pPr>
    </w:p>
    <w:p>
      <w:pPr>
        <w:sectPr>
          <w:pgSz w:w="11900" w:h="16838" w:orient="portrait"/>
          <w:cols w:equalWidth="0" w:num="2">
            <w:col w:w="6980" w:space="380"/>
            <w:col w:w="3880"/>
          </w:cols>
          <w:pgMar w:left="320" w:top="1251" w:right="339" w:bottom="1440" w:gutter="0" w:footer="0" w:header="0"/>
          <w:type w:val="continuous"/>
        </w:sectPr>
      </w:pPr>
    </w:p>
    <w:p>
      <w:pPr>
        <w:ind w:left="658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February 21, 2025</w:t>
      </w:r>
    </w:p>
    <w:p>
      <w:pPr>
        <w:sectPr>
          <w:pgSz w:w="11900" w:h="16838" w:orient="portrait"/>
          <w:cols w:equalWidth="0" w:num="2">
            <w:col w:w="6980" w:space="380"/>
            <w:col w:w="3880"/>
          </w:cols>
          <w:pgMar w:left="320" w:top="1251" w:right="339" w:bottom="1440" w:gutter="0" w:footer="0" w:header="0"/>
          <w:type w:val="continuous"/>
        </w:sectPr>
      </w:pPr>
    </w:p>
    <w:bookmarkStart w:id="189" w:name="page190"/>
    <w:bookmarkEnd w:id="18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Megan Faust, certify that:</w:t>
      </w:r>
    </w:p>
    <w:p>
      <w:pPr>
        <w:spacing w:after="0" w:line="212" w:lineRule="exact"/>
        <w:rPr>
          <w:sz w:val="20"/>
          <w:szCs w:val="20"/>
          <w:color w:val="auto"/>
        </w:rPr>
      </w:pPr>
    </w:p>
    <w:p>
      <w:pPr>
        <w:ind w:left="520" w:hanging="188"/>
        <w:spacing w:after="0"/>
        <w:tabs>
          <w:tab w:leader="none" w:pos="5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Amkor Technology, Inc.;</w:t>
      </w:r>
    </w:p>
    <w:p>
      <w:pPr>
        <w:spacing w:after="0" w:line="211" w:lineRule="exact"/>
        <w:rPr>
          <w:rFonts w:ascii="Times New Roman" w:cs="Times New Roman" w:eastAsia="Times New Roman" w:hAnsi="Times New Roman"/>
          <w:sz w:val="18"/>
          <w:szCs w:val="18"/>
          <w:color w:val="auto"/>
        </w:rPr>
      </w:pPr>
    </w:p>
    <w:p>
      <w:pPr>
        <w:jc w:val="both"/>
        <w:ind w:left="500" w:hanging="168"/>
        <w:spacing w:after="0" w:line="266" w:lineRule="auto"/>
        <w:tabs>
          <w:tab w:leader="none" w:pos="527"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500" w:hanging="168"/>
        <w:spacing w:after="0" w:line="282" w:lineRule="auto"/>
        <w:tabs>
          <w:tab w:leader="none" w:pos="528"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jc w:val="both"/>
        <w:ind w:left="500" w:hanging="168"/>
        <w:spacing w:after="0" w:line="266" w:lineRule="auto"/>
        <w:tabs>
          <w:tab w:leader="none" w:pos="538"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8"/>
          <w:szCs w:val="18"/>
          <w:color w:val="auto"/>
        </w:rPr>
      </w:pPr>
    </w:p>
    <w:p>
      <w:pPr>
        <w:jc w:val="both"/>
        <w:ind w:left="660" w:hanging="166"/>
        <w:spacing w:after="0" w:line="266" w:lineRule="auto"/>
        <w:tabs>
          <w:tab w:leader="none" w:pos="70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Times New Roman" w:cs="Times New Roman" w:eastAsia="Times New Roman" w:hAnsi="Times New Roman"/>
          <w:sz w:val="18"/>
          <w:szCs w:val="18"/>
          <w:color w:val="auto"/>
        </w:rPr>
      </w:pPr>
    </w:p>
    <w:p>
      <w:pPr>
        <w:jc w:val="both"/>
        <w:ind w:left="660" w:hanging="166"/>
        <w:spacing w:after="0" w:line="266" w:lineRule="auto"/>
        <w:tabs>
          <w:tab w:leader="none" w:pos="729"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Times New Roman" w:cs="Times New Roman" w:eastAsia="Times New Roman" w:hAnsi="Times New Roman"/>
          <w:sz w:val="18"/>
          <w:szCs w:val="18"/>
          <w:color w:val="auto"/>
        </w:rPr>
      </w:pPr>
    </w:p>
    <w:p>
      <w:pPr>
        <w:ind w:left="660" w:hanging="166"/>
        <w:spacing w:after="0" w:line="282" w:lineRule="auto"/>
        <w:tabs>
          <w:tab w:leader="none" w:pos="729"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jc w:val="both"/>
        <w:ind w:left="660" w:hanging="166"/>
        <w:spacing w:after="0" w:line="266" w:lineRule="auto"/>
        <w:tabs>
          <w:tab w:leader="none" w:pos="71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8"/>
          <w:szCs w:val="18"/>
          <w:color w:val="auto"/>
        </w:rPr>
      </w:pPr>
    </w:p>
    <w:p>
      <w:pPr>
        <w:ind w:left="500" w:hanging="168"/>
        <w:spacing w:after="0" w:line="282" w:lineRule="auto"/>
        <w:tabs>
          <w:tab w:leader="none" w:pos="522"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660" w:hanging="166"/>
        <w:spacing w:after="0" w:line="282" w:lineRule="auto"/>
        <w:tabs>
          <w:tab w:leader="none" w:pos="686"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660" w:hanging="166"/>
        <w:spacing w:after="0" w:line="282" w:lineRule="auto"/>
        <w:tabs>
          <w:tab w:leader="none" w:pos="693"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296608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0">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p>
      <w:pPr>
        <w:spacing w:after="0" w:line="13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Megan Faust</w:t>
      </w:r>
    </w:p>
    <w:p>
      <w:pPr>
        <w:spacing w:after="0" w:line="63" w:lineRule="exact"/>
        <w:rPr>
          <w:sz w:val="20"/>
          <w:szCs w:val="20"/>
          <w:color w:val="auto"/>
        </w:rPr>
      </w:pPr>
    </w:p>
    <w:p>
      <w:pPr>
        <w:sectPr>
          <w:pgSz w:w="11900" w:h="16838" w:orient="portrait"/>
          <w:cols w:equalWidth="0" w:num="2">
            <w:col w:w="6840" w:space="520"/>
            <w:col w:w="3880"/>
          </w:cols>
          <w:pgMar w:left="320" w:top="1251" w:right="339" w:bottom="1440" w:gutter="0" w:footer="0" w:header="0"/>
          <w:type w:val="continuous"/>
        </w:sectPr>
      </w:pPr>
    </w:p>
    <w:p>
      <w:pPr>
        <w:ind w:left="65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Executive Vice President,</w:t>
      </w:r>
    </w:p>
    <w:p>
      <w:pPr>
        <w:spacing w:after="0" w:line="74" w:lineRule="exact"/>
        <w:rPr>
          <w:sz w:val="20"/>
          <w:szCs w:val="20"/>
          <w:color w:val="auto"/>
        </w:rPr>
      </w:pPr>
    </w:p>
    <w:p>
      <w:pPr>
        <w:sectPr>
          <w:pgSz w:w="11900" w:h="16838" w:orient="portrait"/>
          <w:cols w:equalWidth="0" w:num="2">
            <w:col w:w="6980" w:space="380"/>
            <w:col w:w="3880"/>
          </w:cols>
          <w:pgMar w:left="320" w:top="1251" w:right="339" w:bottom="1440" w:gutter="0" w:footer="0" w:header="0"/>
          <w:type w:val="continuous"/>
        </w:sectPr>
      </w:pPr>
    </w:p>
    <w:p>
      <w:pPr>
        <w:ind w:left="7360"/>
        <w:spacing w:after="0"/>
        <w:rPr>
          <w:sz w:val="20"/>
          <w:szCs w:val="20"/>
          <w:color w:val="auto"/>
        </w:rPr>
      </w:pPr>
      <w:r>
        <w:rPr>
          <w:rFonts w:ascii="Times New Roman" w:cs="Times New Roman" w:eastAsia="Times New Roman" w:hAnsi="Times New Roman"/>
          <w:sz w:val="17"/>
          <w:szCs w:val="17"/>
          <w:color w:val="auto"/>
        </w:rPr>
        <w:t>Chief Financial Officer and Treasurer</w:t>
      </w:r>
    </w:p>
    <w:p>
      <w:pPr>
        <w:sectPr>
          <w:pgSz w:w="11900" w:h="16838" w:orient="portrait"/>
          <w:cols w:equalWidth="0" w:num="1">
            <w:col w:w="11240"/>
          </w:cols>
          <w:pgMar w:left="320" w:top="1251" w:right="339" w:bottom="1440" w:gutter="0" w:footer="0" w:header="0"/>
          <w:type w:val="continuous"/>
        </w:sectPr>
      </w:pP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21, 2025</w:t>
      </w:r>
    </w:p>
    <w:p>
      <w:pPr>
        <w:sectPr>
          <w:pgSz w:w="11900" w:h="16838" w:orient="portrait"/>
          <w:cols w:equalWidth="0" w:num="2">
            <w:col w:w="6980" w:space="380"/>
            <w:col w:w="3880"/>
          </w:cols>
          <w:pgMar w:left="320" w:top="1251" w:right="339" w:bottom="1440" w:gutter="0" w:footer="0" w:header="0"/>
          <w:type w:val="continuous"/>
        </w:sectPr>
      </w:pPr>
    </w:p>
    <w:bookmarkStart w:id="190" w:name="page191"/>
    <w:bookmarkEnd w:id="19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44" w:lineRule="exact"/>
        <w:rPr>
          <w:sz w:val="20"/>
          <w:szCs w:val="20"/>
          <w:color w:val="auto"/>
        </w:rPr>
      </w:pPr>
    </w:p>
    <w:p>
      <w:pPr>
        <w:jc w:val="center"/>
        <w:ind w:left="340" w:right="19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 18 U.S.C. SECTION 1350, AS ADOPTED PURSUANT TO SECTION 906 OF THE SARBANES-OXLEY ACT OF 2002</w:t>
      </w:r>
    </w:p>
    <w:p>
      <w:pPr>
        <w:spacing w:after="0" w:line="188" w:lineRule="exact"/>
        <w:rPr>
          <w:sz w:val="20"/>
          <w:szCs w:val="20"/>
          <w:color w:val="auto"/>
        </w:rPr>
      </w:pPr>
    </w:p>
    <w:p>
      <w:pPr>
        <w:jc w:val="both"/>
        <w:ind w:firstLine="445"/>
        <w:spacing w:after="0" w:line="239" w:lineRule="auto"/>
        <w:rPr>
          <w:sz w:val="20"/>
          <w:szCs w:val="20"/>
          <w:color w:val="auto"/>
        </w:rPr>
      </w:pPr>
      <w:r>
        <w:rPr>
          <w:rFonts w:ascii="Times New Roman" w:cs="Times New Roman" w:eastAsia="Times New Roman" w:hAnsi="Times New Roman"/>
          <w:sz w:val="18"/>
          <w:szCs w:val="18"/>
          <w:color w:val="auto"/>
        </w:rPr>
        <w:t>For purposes of Section 1350 of Chapter 63 of Title 18 of the United States Code, as adopted pursuant to Section 906 of the Sarbanes-Oxley Act of 2002, each of the undersigned officers of Amkor Technology, Inc., a Delaware corporation (the “Company”), does hereby certify, to such officer’s knowledge, that the Company’s Annual Report on Form 10-K for the year ended December 31, 2024 (the “Form 10-K”) fully complies with the requirements of Section 13(a) or 15(d) of the Securities Exchange Act of 1934 (15 U.S.C. 78m or 78o(d)) and that the 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/s/ Guillaume Marie Jean Rutten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296608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1">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pacing w:after="0" w:line="43" w:lineRule="exact"/>
        <w:rPr>
          <w:sz w:val="20"/>
          <w:szCs w:val="20"/>
          <w:color w:val="auto"/>
        </w:rPr>
      </w:pPr>
    </w:p>
    <w:tbl>
      <w:tblPr>
        <w:tblLayout w:type="fixed"/>
        <w:tblInd w:w="6560" w:type="dxa"/>
        <w:tblCellMar>
          <w:top w:w="0" w:type="dxa"/>
          <w:left w:w="0" w:type="dxa"/>
          <w:bottom w:w="0" w:type="dxa"/>
          <w:right w:w="0" w:type="dxa"/>
        </w:tblCellMar>
      </w:tblPr>
      <w:tr>
        <w:trPr>
          <w:trHeight w:val="234"/>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Guillaume Marie Jean Rutten</w:t>
            </w: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February 21, 2025</w:t>
            </w:r>
          </w:p>
        </w:tc>
      </w:tr>
      <w:tr>
        <w:trPr>
          <w:trHeight w:val="553"/>
        </w:trPr>
        <w:tc>
          <w:tcPr>
            <w:tcW w:w="4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Megan Faust</w:t>
            </w:r>
          </w:p>
        </w:tc>
      </w:tr>
      <w:tr>
        <w:trPr>
          <w:trHeight w:val="318"/>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Megan Faust</w:t>
            </w: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70"/>
        </w:trPr>
        <w:tc>
          <w:tcPr>
            <w:tcW w:w="600" w:type="dxa"/>
            <w:vAlign w:val="bottom"/>
          </w:tcPr>
          <w:p>
            <w:pPr>
              <w:spacing w:after="0"/>
              <w:rPr>
                <w:sz w:val="23"/>
                <w:szCs w:val="23"/>
                <w:color w:val="auto"/>
              </w:rPr>
            </w:pP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February 21, 2025</w:t>
            </w:r>
          </w:p>
        </w:tc>
      </w:tr>
    </w:tbl>
    <w:p>
      <w:pPr>
        <w:spacing w:after="0" w:line="1" w:lineRule="exact"/>
        <w:rPr>
          <w:sz w:val="20"/>
          <w:szCs w:val="20"/>
          <w:color w:val="auto"/>
        </w:rPr>
      </w:pPr>
    </w:p>
    <w:sectPr>
      <w:pgSz w:w="11900" w:h="16838" w:orient="portrait"/>
      <w:cols w:equalWidth="0" w:num="1">
        <w:col w:w="11240"/>
      </w:cols>
      <w:pgMar w:left="320" w:top="12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BA5D23"/>
    <w:multiLevelType w:val="hybridMultilevel"/>
    <w:lvl w:ilvl="0">
      <w:lvlJc w:val="left"/>
      <w:lvlText w:val="(%1)"/>
      <w:numFmt w:val="decimal"/>
      <w:start w:val="1"/>
    </w:lvl>
  </w:abstractNum>
  <w:abstractNum w:abstractNumId="1">
    <w:nsid w:val="661E3F1E"/>
    <w:multiLevelType w:val="hybridMultilevel"/>
    <w:lvl w:ilvl="0">
      <w:lvlJc w:val="left"/>
      <w:lvlText w:val="(%1)"/>
      <w:numFmt w:val="decimal"/>
      <w:start w:val="23"/>
    </w:lvl>
  </w:abstractNum>
  <w:abstractNum w:abstractNumId="2">
    <w:nsid w:val="5DC79EA8"/>
    <w:multiLevelType w:val="hybridMultilevel"/>
    <w:lvl w:ilvl="0">
      <w:lvlJc w:val="left"/>
      <w:lvlText w:val="•"/>
      <w:numFmt w:val="bullet"/>
      <w:start w:val="1"/>
    </w:lvl>
  </w:abstractNum>
  <w:abstractNum w:abstractNumId="3">
    <w:nsid w:val="540A471C"/>
    <w:multiLevelType w:val="hybridMultilevel"/>
    <w:lvl w:ilvl="0">
      <w:lvlJc w:val="left"/>
      <w:lvlText w:val="•"/>
      <w:numFmt w:val="bullet"/>
      <w:start w:val="1"/>
    </w:lvl>
  </w:abstractNum>
  <w:abstractNum w:abstractNumId="4">
    <w:nsid w:val="7BD3EE7B"/>
    <w:multiLevelType w:val="hybridMultilevel"/>
    <w:lvl w:ilvl="0">
      <w:lvlJc w:val="left"/>
      <w:lvlText w:val="•"/>
      <w:numFmt w:val="bullet"/>
      <w:start w:val="1"/>
    </w:lvl>
  </w:abstractNum>
  <w:abstractNum w:abstractNumId="5">
    <w:nsid w:val="51D9C564"/>
    <w:multiLevelType w:val="hybridMultilevel"/>
    <w:lvl w:ilvl="0">
      <w:lvlJc w:val="left"/>
      <w:lvlText w:val="•"/>
      <w:numFmt w:val="bullet"/>
      <w:start w:val="1"/>
    </w:lvl>
  </w:abstractNum>
  <w:abstractNum w:abstractNumId="6">
    <w:nsid w:val="613EFDC5"/>
    <w:multiLevelType w:val="hybridMultilevel"/>
    <w:lvl w:ilvl="0">
      <w:lvlJc w:val="left"/>
      <w:lvlText w:val="•"/>
      <w:numFmt w:val="bullet"/>
      <w:start w:val="1"/>
    </w:lvl>
  </w:abstractNum>
  <w:abstractNum w:abstractNumId="7">
    <w:nsid w:val="BF72B14"/>
    <w:multiLevelType w:val="hybridMultilevel"/>
    <w:lvl w:ilvl="0">
      <w:lvlJc w:val="left"/>
      <w:lvlText w:val="•"/>
      <w:numFmt w:val="bullet"/>
      <w:start w:val="1"/>
    </w:lvl>
  </w:abstractNum>
  <w:abstractNum w:abstractNumId="8">
    <w:nsid w:val="11447B73"/>
    <w:multiLevelType w:val="hybridMultilevel"/>
    <w:lvl w:ilvl="0">
      <w:lvlJc w:val="left"/>
      <w:lvlText w:val="•"/>
      <w:numFmt w:val="bullet"/>
      <w:start w:val="1"/>
    </w:lvl>
  </w:abstractNum>
  <w:abstractNum w:abstractNumId="9">
    <w:nsid w:val="42963E5A"/>
    <w:multiLevelType w:val="hybridMultilevel"/>
    <w:lvl w:ilvl="0">
      <w:lvlJc w:val="left"/>
      <w:lvlText w:val="•"/>
      <w:numFmt w:val="bullet"/>
      <w:start w:val="1"/>
    </w:lvl>
  </w:abstractNum>
  <w:abstractNum w:abstractNumId="10">
    <w:nsid w:val="A0382C5"/>
    <w:multiLevelType w:val="hybridMultilevel"/>
    <w:lvl w:ilvl="0">
      <w:lvlJc w:val="left"/>
      <w:lvlText w:val="•"/>
      <w:numFmt w:val="bullet"/>
      <w:start w:val="1"/>
    </w:lvl>
  </w:abstractNum>
  <w:abstractNum w:abstractNumId="11">
    <w:nsid w:val="8F2B15E"/>
    <w:multiLevelType w:val="hybridMultilevel"/>
    <w:lvl w:ilvl="0">
      <w:lvlJc w:val="left"/>
      <w:lvlText w:val="•"/>
      <w:numFmt w:val="bullet"/>
      <w:start w:val="1"/>
    </w:lvl>
  </w:abstractNum>
  <w:abstractNum w:abstractNumId="12">
    <w:nsid w:val="1A32234B"/>
    <w:multiLevelType w:val="hybridMultilevel"/>
    <w:lvl w:ilvl="0">
      <w:lvlJc w:val="left"/>
      <w:lvlText w:val="•"/>
      <w:numFmt w:val="bullet"/>
      <w:start w:val="1"/>
    </w:lvl>
  </w:abstractNum>
  <w:abstractNum w:abstractNumId="13">
    <w:nsid w:val="3B0FD379"/>
    <w:multiLevelType w:val="hybridMultilevel"/>
    <w:lvl w:ilvl="0">
      <w:lvlJc w:val="left"/>
      <w:lvlText w:val="•"/>
      <w:numFmt w:val="bullet"/>
      <w:start w:val="1"/>
    </w:lvl>
  </w:abstractNum>
  <w:abstractNum w:abstractNumId="14">
    <w:nsid w:val="68EB2F63"/>
    <w:multiLevelType w:val="hybridMultilevel"/>
    <w:lvl w:ilvl="0">
      <w:lvlJc w:val="left"/>
      <w:lvlText w:val="•"/>
      <w:numFmt w:val="bullet"/>
      <w:start w:val="1"/>
    </w:lvl>
  </w:abstractNum>
  <w:abstractNum w:abstractNumId="15">
    <w:nsid w:val="4962813B"/>
    <w:multiLevelType w:val="hybridMultilevel"/>
    <w:lvl w:ilvl="0">
      <w:lvlJc w:val="left"/>
      <w:lvlText w:val="•"/>
      <w:numFmt w:val="bullet"/>
      <w:start w:val="1"/>
    </w:lvl>
  </w:abstractNum>
  <w:abstractNum w:abstractNumId="16">
    <w:nsid w:val="60B6DF70"/>
    <w:multiLevelType w:val="hybridMultilevel"/>
    <w:lvl w:ilvl="0">
      <w:lvlJc w:val="left"/>
      <w:lvlText w:val="•"/>
      <w:numFmt w:val="bullet"/>
      <w:start w:val="1"/>
    </w:lvl>
  </w:abstractNum>
  <w:abstractNum w:abstractNumId="17">
    <w:nsid w:val="6A5EE64"/>
    <w:multiLevelType w:val="hybridMultilevel"/>
    <w:lvl w:ilvl="0">
      <w:lvlJc w:val="left"/>
      <w:lvlText w:val="•"/>
      <w:numFmt w:val="bullet"/>
      <w:start w:val="1"/>
    </w:lvl>
  </w:abstractNum>
  <w:abstractNum w:abstractNumId="18">
    <w:nsid w:val="14330624"/>
    <w:multiLevelType w:val="hybridMultilevel"/>
    <w:lvl w:ilvl="0">
      <w:lvlJc w:val="left"/>
      <w:lvlText w:val="•"/>
      <w:numFmt w:val="bullet"/>
      <w:start w:val="1"/>
    </w:lvl>
  </w:abstractNum>
  <w:abstractNum w:abstractNumId="19">
    <w:nsid w:val="7FFFCA11"/>
    <w:multiLevelType w:val="hybridMultilevel"/>
    <w:lvl w:ilvl="0">
      <w:lvlJc w:val="left"/>
      <w:lvlText w:val="•"/>
      <w:numFmt w:val="bullet"/>
      <w:start w:val="1"/>
    </w:lvl>
  </w:abstractNum>
  <w:abstractNum w:abstractNumId="20">
    <w:nsid w:val="1A27709E"/>
    <w:multiLevelType w:val="hybridMultilevel"/>
    <w:lvl w:ilvl="0">
      <w:lvlJc w:val="left"/>
      <w:lvlText w:val="•"/>
      <w:numFmt w:val="bullet"/>
      <w:start w:val="1"/>
    </w:lvl>
  </w:abstractNum>
  <w:abstractNum w:abstractNumId="21">
    <w:nsid w:val="71EA1109"/>
    <w:multiLevelType w:val="hybridMultilevel"/>
    <w:lvl w:ilvl="0">
      <w:lvlJc w:val="left"/>
      <w:lvlText w:val="•"/>
      <w:numFmt w:val="bullet"/>
      <w:start w:val="1"/>
    </w:lvl>
  </w:abstractNum>
  <w:abstractNum w:abstractNumId="22">
    <w:nsid w:val="100F59DC"/>
    <w:multiLevelType w:val="hybridMultilevel"/>
    <w:lvl w:ilvl="0">
      <w:lvlJc w:val="left"/>
      <w:lvlText w:val="•"/>
      <w:numFmt w:val="bullet"/>
      <w:start w:val="1"/>
    </w:lvl>
  </w:abstractNum>
  <w:abstractNum w:abstractNumId="23">
    <w:nsid w:val="7FB7E0AA"/>
    <w:multiLevelType w:val="hybridMultilevel"/>
    <w:lvl w:ilvl="0">
      <w:lvlJc w:val="left"/>
      <w:lvlText w:val="•"/>
      <w:numFmt w:val="bullet"/>
      <w:start w:val="1"/>
    </w:lvl>
  </w:abstractNum>
  <w:abstractNum w:abstractNumId="24">
    <w:nsid w:val="6EB5BD4"/>
    <w:multiLevelType w:val="hybridMultilevel"/>
    <w:lvl w:ilvl="0">
      <w:lvlJc w:val="left"/>
      <w:lvlText w:val="•"/>
      <w:numFmt w:val="bullet"/>
      <w:start w:val="1"/>
    </w:lvl>
  </w:abstractNum>
  <w:abstractNum w:abstractNumId="25">
    <w:nsid w:val="6F6DD9AC"/>
    <w:multiLevelType w:val="hybridMultilevel"/>
    <w:lvl w:ilvl="0">
      <w:lvlJc w:val="left"/>
      <w:lvlText w:val="•"/>
      <w:numFmt w:val="bullet"/>
      <w:start w:val="1"/>
    </w:lvl>
  </w:abstractNum>
  <w:abstractNum w:abstractNumId="26">
    <w:nsid w:val="94211F2"/>
    <w:multiLevelType w:val="hybridMultilevel"/>
    <w:lvl w:ilvl="0">
      <w:lvlJc w:val="left"/>
      <w:lvlText w:val="•"/>
      <w:numFmt w:val="bullet"/>
      <w:start w:val="1"/>
    </w:lvl>
  </w:abstractNum>
  <w:abstractNum w:abstractNumId="27">
    <w:nsid w:val="885E1B"/>
    <w:multiLevelType w:val="hybridMultilevel"/>
    <w:lvl w:ilvl="0">
      <w:lvlJc w:val="left"/>
      <w:lvlText w:val="•"/>
      <w:numFmt w:val="bullet"/>
      <w:start w:val="1"/>
    </w:lvl>
  </w:abstractNum>
  <w:abstractNum w:abstractNumId="28">
    <w:nsid w:val="76272110"/>
    <w:multiLevelType w:val="hybridMultilevel"/>
    <w:lvl w:ilvl="0">
      <w:lvlJc w:val="left"/>
      <w:lvlText w:val="•"/>
      <w:numFmt w:val="bullet"/>
      <w:start w:val="1"/>
    </w:lvl>
  </w:abstractNum>
  <w:abstractNum w:abstractNumId="29">
    <w:nsid w:val="4C04A8AF"/>
    <w:multiLevelType w:val="hybridMultilevel"/>
    <w:lvl w:ilvl="0">
      <w:lvlJc w:val="left"/>
      <w:lvlText w:val="•"/>
      <w:numFmt w:val="bullet"/>
      <w:start w:val="1"/>
    </w:lvl>
  </w:abstractNum>
  <w:abstractNum w:abstractNumId="30">
    <w:nsid w:val="1716703B"/>
    <w:multiLevelType w:val="hybridMultilevel"/>
    <w:lvl w:ilvl="0">
      <w:lvlJc w:val="left"/>
      <w:lvlText w:val="(%1)"/>
      <w:numFmt w:val="decimal"/>
      <w:start w:val="1"/>
    </w:lvl>
  </w:abstractNum>
  <w:abstractNum w:abstractNumId="31">
    <w:nsid w:val="14E17E33"/>
    <w:multiLevelType w:val="hybridMultilevel"/>
    <w:lvl w:ilvl="0">
      <w:lvlJc w:val="left"/>
      <w:lvlText w:val="(%1)"/>
      <w:numFmt w:val="lowerLetter"/>
      <w:start w:val="1"/>
    </w:lvl>
  </w:abstractNum>
  <w:abstractNum w:abstractNumId="32">
    <w:nsid w:val="3222E7CD"/>
    <w:multiLevelType w:val="hybridMultilevel"/>
    <w:lvl w:ilvl="0">
      <w:lvlJc w:val="left"/>
      <w:lvlText w:val="(%1)"/>
      <w:numFmt w:val="decimal"/>
      <w:start w:val="1"/>
    </w:lvl>
  </w:abstractNum>
  <w:abstractNum w:abstractNumId="33">
    <w:nsid w:val="74DE0EE3"/>
    <w:multiLevelType w:val="hybridMultilevel"/>
    <w:lvl w:ilvl="0">
      <w:lvlJc w:val="left"/>
      <w:lvlText w:val="(%1)"/>
      <w:numFmt w:val="decimal"/>
      <w:start w:val="4"/>
    </w:lvl>
  </w:abstractNum>
  <w:abstractNum w:abstractNumId="34">
    <w:nsid w:val="68EBC550"/>
    <w:multiLevelType w:val="hybridMultilevel"/>
    <w:lvl w:ilvl="0">
      <w:lvlJc w:val="left"/>
      <w:lvlText w:val="•"/>
      <w:numFmt w:val="bullet"/>
      <w:start w:val="1"/>
    </w:lvl>
  </w:abstractNum>
  <w:abstractNum w:abstractNumId="35">
    <w:nsid w:val="2DF6D648"/>
    <w:multiLevelType w:val="hybridMultilevel"/>
    <w:lvl w:ilvl="0">
      <w:lvlJc w:val="left"/>
      <w:lvlText w:val="%1."/>
      <w:numFmt w:val="decimal"/>
      <w:start w:val="1"/>
    </w:lvl>
  </w:abstractNum>
  <w:abstractNum w:abstractNumId="36">
    <w:nsid w:val="46B7D447"/>
    <w:multiLevelType w:val="hybridMultilevel"/>
    <w:lvl w:ilvl="0">
      <w:lvlJc w:val="left"/>
      <w:lvlText w:val="•"/>
      <w:numFmt w:val="bullet"/>
      <w:start w:val="1"/>
    </w:lvl>
  </w:abstractNum>
  <w:abstractNum w:abstractNumId="37">
    <w:nsid w:val="4A2AC315"/>
    <w:multiLevelType w:val="hybridMultilevel"/>
    <w:lvl w:ilvl="0">
      <w:lvlJc w:val="left"/>
      <w:lvlText w:val="(%1)"/>
      <w:numFmt w:val="decimal"/>
      <w:start w:val="1"/>
    </w:lvl>
  </w:abstractNum>
  <w:abstractNum w:abstractNumId="38">
    <w:nsid w:val="39EE015C"/>
    <w:multiLevelType w:val="hybridMultilevel"/>
    <w:lvl w:ilvl="0">
      <w:lvlJc w:val="left"/>
      <w:lvlText w:val="(%1)"/>
      <w:numFmt w:val="decimal"/>
      <w:start w:val="1"/>
    </w:lvl>
  </w:abstractNum>
  <w:abstractNum w:abstractNumId="39">
    <w:nsid w:val="57FC4FBB"/>
    <w:multiLevelType w:val="hybridMultilevel"/>
    <w:lvl w:ilvl="0">
      <w:lvlJc w:val="left"/>
      <w:lvlText w:val="(%1)"/>
      <w:numFmt w:val="decimal"/>
      <w:start w:val="4"/>
    </w:lvl>
  </w:abstractNum>
  <w:abstractNum w:abstractNumId="40">
    <w:nsid w:val="CC1016F"/>
    <w:multiLevelType w:val="hybridMultilevel"/>
    <w:lvl w:ilvl="0">
      <w:lvlJc w:val="left"/>
      <w:lvlText w:val="(%1)"/>
      <w:numFmt w:val="decimal"/>
      <w:start w:val="1"/>
    </w:lvl>
  </w:abstractNum>
  <w:abstractNum w:abstractNumId="41">
    <w:nsid w:val="43F18422"/>
    <w:multiLevelType w:val="hybridMultilevel"/>
    <w:lvl w:ilvl="0">
      <w:lvlJc w:val="left"/>
      <w:lvlText w:val="%1"/>
      <w:numFmt w:val="decimal"/>
      <w:start w:val="1"/>
    </w:lvl>
    <w:lvl w:ilvl="1">
      <w:lvlJc w:val="left"/>
      <w:lvlText w:val="(%2)"/>
      <w:numFmt w:val="decimal"/>
      <w:start w:val="1"/>
    </w:lvl>
  </w:abstractNum>
  <w:abstractNum w:abstractNumId="42">
    <w:nsid w:val="60EF0119"/>
    <w:multiLevelType w:val="hybridMultilevel"/>
    <w:lvl w:ilvl="0">
      <w:lvlJc w:val="left"/>
      <w:lvlText w:val="%1."/>
      <w:numFmt w:val="decimal"/>
      <w:start w:val="15"/>
    </w:lvl>
    <w:lvl w:ilvl="1">
      <w:lvlJc w:val="left"/>
      <w:lvlText w:val="%2"/>
      <w:numFmt w:val="decimal"/>
      <w:start w:val="1"/>
    </w:lvl>
  </w:abstractNum>
  <w:abstractNum w:abstractNumId="43">
    <w:nsid w:val="26F324BA"/>
    <w:multiLevelType w:val="hybridMultilevel"/>
    <w:lvl w:ilvl="0">
      <w:lvlJc w:val="left"/>
      <w:lvlText w:val="•"/>
      <w:numFmt w:val="bullet"/>
      <w:start w:val="1"/>
    </w:lvl>
  </w:abstractNum>
  <w:abstractNum w:abstractNumId="44">
    <w:nsid w:val="7F01579B"/>
    <w:multiLevelType w:val="hybridMultilevel"/>
    <w:lvl w:ilvl="0">
      <w:lvlJc w:val="left"/>
      <w:lvlText w:val="(%1)"/>
      <w:numFmt w:val="decimal"/>
      <w:start w:val="1"/>
    </w:lvl>
  </w:abstractNum>
  <w:abstractNum w:abstractNumId="45">
    <w:nsid w:val="49DA307D"/>
    <w:multiLevelType w:val="hybridMultilevel"/>
    <w:lvl w:ilvl="0">
      <w:lvlJc w:val="left"/>
      <w:lvlText w:val="(%1)"/>
      <w:numFmt w:val="decimal"/>
      <w:start w:val="1"/>
    </w:lvl>
  </w:abstractNum>
  <w:abstractNum w:abstractNumId="46">
    <w:nsid w:val="7055A5F5"/>
    <w:multiLevelType w:val="hybridMultilevel"/>
    <w:lvl w:ilvl="0">
      <w:lvlJc w:val="left"/>
      <w:lvlText w:val="•"/>
      <w:numFmt w:val="bullet"/>
      <w:start w:val="1"/>
    </w:lvl>
  </w:abstractNum>
  <w:abstractNum w:abstractNumId="47">
    <w:nsid w:val="5FB8370B"/>
    <w:multiLevelType w:val="hybridMultilevel"/>
    <w:lvl w:ilvl="0">
      <w:lvlJc w:val="left"/>
      <w:lvlText w:val="(%1)"/>
      <w:numFmt w:val="decimal"/>
      <w:start w:val="1"/>
    </w:lvl>
  </w:abstractNum>
  <w:abstractNum w:abstractNumId="48">
    <w:nsid w:val="50801EE1"/>
    <w:multiLevelType w:val="hybridMultilevel"/>
    <w:lvl w:ilvl="0">
      <w:lvlJc w:val="left"/>
      <w:lvlText w:val="(%1)"/>
      <w:numFmt w:val="lowerLetter"/>
      <w:start w:val="1"/>
    </w:lvl>
  </w:abstractNum>
  <w:abstractNum w:abstractNumId="49">
    <w:nsid w:val="488AC1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0">
    <w:nsid w:val="5FB8011C"/>
    <w:multiLevelType w:val="hybridMultilevel"/>
    <w:lvl w:ilvl="0">
      <w:lvlJc w:val="left"/>
      <w:lvlText w:val="(%1)"/>
      <w:numFmt w:val="lowerRoman"/>
      <w:start w:val="1"/>
    </w:lvl>
    <w:lvl w:ilvl="1">
      <w:lvlJc w:val="left"/>
      <w:lvlText w:val="(%2)"/>
      <w:numFmt w:val="upperLetter"/>
      <w:start w:val="1"/>
    </w:lvl>
  </w:abstractNum>
  <w:abstractNum w:abstractNumId="51">
    <w:nsid w:val="6AA78F7F"/>
    <w:multiLevelType w:val="hybridMultilevel"/>
    <w:lvl w:ilvl="0">
      <w:lvlJc w:val="left"/>
      <w:lvlText w:val="(%1)"/>
      <w:numFmt w:val="upperLetter"/>
      <w:start w:val="3"/>
    </w:lvl>
  </w:abstractNum>
  <w:abstractNum w:abstractNumId="52">
    <w:nsid w:val="7672BD23"/>
    <w:multiLevelType w:val="hybridMultilevel"/>
    <w:lvl w:ilvl="0">
      <w:lvlJc w:val="left"/>
      <w:lvlText w:val="(%1)"/>
      <w:numFmt w:val="upperLetter"/>
      <w:start w:val="10"/>
    </w:lvl>
  </w:abstractNum>
  <w:abstractNum w:abstractNumId="53">
    <w:nsid w:val="6FC75AF8"/>
    <w:multiLevelType w:val="hybridMultilevel"/>
    <w:lvl w:ilvl="0">
      <w:lvlJc w:val="left"/>
      <w:lvlText w:val="(%1)"/>
      <w:numFmt w:val="lowerRoman"/>
      <w:start w:val="1"/>
    </w:lvl>
  </w:abstractNum>
  <w:abstractNum w:abstractNumId="54">
    <w:nsid w:val="6A5F7029"/>
    <w:multiLevelType w:val="hybridMultilevel"/>
    <w:lvl w:ilvl="0">
      <w:lvlJc w:val="left"/>
      <w:lvlText w:val="(%1)"/>
      <w:numFmt w:val="lowerRoman"/>
      <w:start w:val="3"/>
    </w:lvl>
    <w:lvl w:ilvl="1">
      <w:lvlJc w:val="left"/>
      <w:lvlText w:val="(%2)"/>
      <w:numFmt w:val="upperLetter"/>
      <w:start w:val="1"/>
    </w:lvl>
  </w:abstractNum>
  <w:abstractNum w:abstractNumId="55">
    <w:nsid w:val="7D5E18F8"/>
    <w:multiLevelType w:val="hybridMultilevel"/>
    <w:lvl w:ilvl="0">
      <w:lvlJc w:val="left"/>
      <w:lvlText w:val="(%1)"/>
      <w:numFmt w:val="upperLetter"/>
      <w:start w:val="9"/>
    </w:lvl>
  </w:abstractNum>
  <w:abstractNum w:abstractNumId="56">
    <w:nsid w:val="5F3534A4"/>
    <w:multiLevelType w:val="hybridMultilevel"/>
    <w:lvl w:ilvl="0">
      <w:lvlJc w:val="left"/>
      <w:lvlText w:val="(%1)"/>
      <w:numFmt w:val="decimal"/>
      <w:start w:val="30"/>
    </w:lvl>
  </w:abstractNum>
  <w:abstractNum w:abstractNumId="57">
    <w:nsid w:val="73A1821B"/>
    <w:multiLevelType w:val="hybridMultilevel"/>
    <w:lvl w:ilvl="0">
      <w:lvlJc w:val="left"/>
      <w:lvlText w:val="(%1)"/>
      <w:numFmt w:val="lowerLetter"/>
      <w:start w:val="2"/>
    </w:lvl>
  </w:abstractNum>
  <w:abstractNum w:abstractNumId="58">
    <w:nsid w:val="7DE67713"/>
    <w:multiLevelType w:val="hybridMultilevel"/>
    <w:lvl w:ilvl="0">
      <w:lvlJc w:val="left"/>
      <w:lvlText w:val="%1"/>
      <w:numFmt w:val="lowerRoman"/>
      <w:start w:val="1"/>
    </w:lvl>
    <w:lvl w:ilvl="1">
      <w:lvlJc w:val="left"/>
      <w:lvlText w:val="(%2)"/>
      <w:numFmt w:val="upperLetter"/>
      <w:start w:val="1"/>
    </w:lvl>
  </w:abstractNum>
  <w:abstractNum w:abstractNumId="59">
    <w:nsid w:val="555C55B5"/>
    <w:multiLevelType w:val="hybridMultilevel"/>
    <w:lvl w:ilvl="0">
      <w:lvlJc w:val="left"/>
      <w:lvlText w:val="(%1)"/>
      <w:numFmt w:val="lowerRoman"/>
      <w:start w:val="3"/>
    </w:lvl>
    <w:lvl w:ilvl="1">
      <w:lvlJc w:val="left"/>
      <w:lvlText w:val="%2"/>
      <w:numFmt w:val="upperLetter"/>
      <w:start w:val="1"/>
    </w:lvl>
  </w:abstractNum>
  <w:abstractNum w:abstractNumId="60">
    <w:nsid w:val="3FA62ACA"/>
    <w:multiLevelType w:val="hybridMultilevel"/>
    <w:lvl w:ilvl="0">
      <w:lvlJc w:val="left"/>
      <w:lvlText w:val="(%1)"/>
      <w:numFmt w:val="lowerRoman"/>
      <w:start w:val="1"/>
    </w:lvl>
  </w:abstractNum>
  <w:abstractNum w:abstractNumId="61">
    <w:nsid w:val="14FCE74E"/>
    <w:multiLevelType w:val="hybridMultilevel"/>
    <w:lvl w:ilvl="0">
      <w:lvlJc w:val="left"/>
      <w:lvlText w:val="%1."/>
      <w:numFmt w:val="decimal"/>
      <w:start w:val="1"/>
    </w:lvl>
  </w:abstractNum>
  <w:abstractNum w:abstractNumId="62">
    <w:nsid w:val="6A3DD3E8"/>
    <w:multiLevelType w:val="hybridMultilevel"/>
    <w:lvl w:ilvl="0">
      <w:lvlJc w:val="left"/>
      <w:lvlText w:val="%1."/>
      <w:numFmt w:val="decimal"/>
      <w:start w:val="3"/>
    </w:lvl>
  </w:abstractNum>
  <w:abstractNum w:abstractNumId="63">
    <w:nsid w:val="71C91298"/>
    <w:multiLevelType w:val="hybridMultilevel"/>
    <w:lvl w:ilvl="0">
      <w:lvlJc w:val="left"/>
      <w:lvlText w:val="%1."/>
      <w:numFmt w:val="decimal"/>
      <w:start w:val="4"/>
    </w:lvl>
    <w:lvl w:ilvl="1">
      <w:lvlJc w:val="left"/>
      <w:lvlText w:val="(%2)"/>
      <w:numFmt w:val="lowerLetter"/>
      <w:start w:val="1"/>
    </w:lvl>
  </w:abstractNum>
  <w:abstractNum w:abstractNumId="64">
    <w:nsid w:val="9DAF632"/>
    <w:multiLevelType w:val="hybridMultilevel"/>
    <w:lvl w:ilvl="0">
      <w:lvlJc w:val="left"/>
      <w:lvlText w:val="%1"/>
      <w:numFmt w:val="upperLetter"/>
      <w:start w:val="1"/>
    </w:lvl>
    <w:lvl w:ilvl="1">
      <w:lvlJc w:val="left"/>
      <w:lvlText w:val="(%2)"/>
      <w:numFmt w:val="lowerLetter"/>
      <w:start w:val="3"/>
    </w:lvl>
  </w:abstractNum>
  <w:abstractNum w:abstractNumId="65">
    <w:nsid w:val="53299938"/>
    <w:multiLevelType w:val="hybridMultilevel"/>
    <w:lvl w:ilvl="0">
      <w:lvlJc w:val="left"/>
      <w:lvlText w:val="(%1)"/>
      <w:numFmt w:val="upperLetter"/>
      <w:start w:val="2"/>
    </w:lvl>
    <w:lvl w:ilvl="1">
      <w:lvlJc w:val="left"/>
      <w:lvlText w:val="%2"/>
      <w:numFmt w:val="lowerLetter"/>
      <w:start w:val="1"/>
    </w:lvl>
  </w:abstractNum>
  <w:abstractNum w:abstractNumId="66">
    <w:nsid w:val="1FBFE8E0"/>
    <w:multiLevelType w:val="hybridMultilevel"/>
    <w:lvl w:ilvl="0">
      <w:lvlJc w:val="left"/>
      <w:lvlText w:val="%1."/>
      <w:numFmt w:val="decimal"/>
      <w:start w:val="5"/>
    </w:lvl>
  </w:abstractNum>
  <w:abstractNum w:abstractNumId="67">
    <w:nsid w:val="5092CA79"/>
    <w:multiLevelType w:val="hybridMultilevel"/>
    <w:lvl w:ilvl="0">
      <w:lvlJc w:val="left"/>
      <w:lvlText w:val="%1."/>
      <w:numFmt w:val="decimal"/>
      <w:start w:val="6"/>
    </w:lvl>
    <w:lvl w:ilvl="1">
      <w:lvlJc w:val="left"/>
      <w:lvlText w:val="(%2)"/>
      <w:numFmt w:val="lowerLetter"/>
      <w:start w:val="1"/>
    </w:lvl>
  </w:abstractNum>
  <w:abstractNum w:abstractNumId="68">
    <w:nsid w:val="1D545C4D"/>
    <w:multiLevelType w:val="hybridMultilevel"/>
    <w:lvl w:ilvl="0">
      <w:lvlJc w:val="left"/>
      <w:lvlText w:val="(%1)"/>
      <w:numFmt w:val="lowerLetter"/>
      <w:start w:val="3"/>
    </w:lvl>
  </w:abstractNum>
  <w:abstractNum w:abstractNumId="69">
    <w:nsid w:val="59ADEA3D"/>
    <w:multiLevelType w:val="hybridMultilevel"/>
    <w:lvl w:ilvl="0">
      <w:lvlJc w:val="left"/>
      <w:lvlText w:val="%1."/>
      <w:numFmt w:val="decimal"/>
      <w:start w:val="9"/>
    </w:lvl>
  </w:abstractNum>
  <w:abstractNum w:abstractNumId="70">
    <w:nsid w:val="288F1A34"/>
    <w:multiLevelType w:val="hybridMultilevel"/>
    <w:lvl w:ilvl="0">
      <w:lvlJc w:val="left"/>
      <w:lvlText w:val="%1."/>
      <w:numFmt w:val="decimal"/>
      <w:start w:val="12"/>
    </w:lvl>
  </w:abstractNum>
  <w:abstractNum w:abstractNumId="71">
    <w:nsid w:val="2A155DBC"/>
    <w:multiLevelType w:val="hybridMultilevel"/>
    <w:lvl w:ilvl="0">
      <w:lvlJc w:val="left"/>
      <w:lvlText w:val="%1."/>
      <w:numFmt w:val="decimal"/>
      <w:start w:val="18"/>
    </w:lvl>
  </w:abstractNum>
  <w:abstractNum w:abstractNumId="72">
    <w:nsid w:val="1D9F6E5F"/>
    <w:multiLevelType w:val="hybridMultilevel"/>
    <w:lvl w:ilvl="0">
      <w:lvlJc w:val="left"/>
      <w:lvlText w:val="%1."/>
      <w:numFmt w:val="decimal"/>
      <w:start w:val="21"/>
    </w:lvl>
  </w:abstractNum>
  <w:abstractNum w:abstractNumId="73">
    <w:nsid w:val="97E1B4E"/>
    <w:multiLevelType w:val="hybridMultilevel"/>
    <w:lvl w:ilvl="0">
      <w:lvlJc w:val="left"/>
      <w:lvlText w:val="%1."/>
      <w:numFmt w:val="decimal"/>
      <w:start w:val="24"/>
    </w:lvl>
  </w:abstractNum>
  <w:abstractNum w:abstractNumId="74">
    <w:nsid w:val="51088277"/>
    <w:multiLevelType w:val="hybridMultilevel"/>
    <w:lvl w:ilvl="0">
      <w:lvlJc w:val="left"/>
      <w:lvlText w:val="%1."/>
      <w:numFmt w:val="decimal"/>
      <w:start w:val="27"/>
    </w:lvl>
  </w:abstractNum>
  <w:abstractNum w:abstractNumId="75">
    <w:nsid w:val="1CA0C5F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76">
    <w:nsid w:val="53584BCB"/>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77">
    <w:nsid w:val="415E286C"/>
    <w:multiLevelType w:val="hybridMultilevel"/>
    <w:lvl w:ilvl="0">
      <w:lvlJc w:val="left"/>
      <w:lvlText w:val="%1"/>
      <w:numFmt w:val="decimal"/>
      <w:start w:val="1"/>
    </w:lvl>
    <w:lvl w:ilvl="1">
      <w:lvlJc w:val="left"/>
      <w:lvlText w:val="(%2)"/>
      <w:numFmt w:val="lowerLetter"/>
      <w:start w:val="1"/>
    </w:lvl>
  </w:abstractNum>
  <w:abstractNum w:abstractNumId="78">
    <w:nsid w:val="7C58FD05"/>
    <w:multiLevelType w:val="hybridMultilevel"/>
    <w:lvl w:ilvl="0">
      <w:lvlJc w:val="left"/>
      <w:lvlText w:val="%1."/>
      <w:numFmt w:val="decimal"/>
      <w:start w:val="3"/>
    </w:lvl>
    <w:lvl w:ilvl="1">
      <w:lvlJc w:val="left"/>
      <w:lvlText w:val="%2"/>
      <w:numFmt w:val="lowerLetter"/>
      <w:start w:val="1"/>
    </w:lvl>
  </w:abstractNum>
  <w:abstractNum w:abstractNumId="79">
    <w:nsid w:val="23D86AAC"/>
    <w:multiLevelType w:val="hybridMultilevel"/>
    <w:lvl w:ilvl="0">
      <w:lvlJc w:val="left"/>
      <w:lvlText w:val="(%1)"/>
      <w:numFmt w:val="decimal"/>
      <w:start w:val="6"/>
    </w:lvl>
  </w:abstractNum>
  <w:abstractNum w:abstractNumId="80">
    <w:nsid w:val="45E6D486"/>
    <w:multiLevelType w:val="hybridMultilevel"/>
    <w:lvl w:ilvl="0">
      <w:lvlJc w:val="left"/>
      <w:lvlText w:val="(%1)"/>
      <w:numFmt w:val="decimal"/>
      <w:start w:val="3"/>
    </w:lvl>
  </w:abstractNum>
  <w:abstractNum w:abstractNumId="81">
    <w:nsid w:val="5C10FE21"/>
    <w:multiLevelType w:val="hybridMultilevel"/>
    <w:lvl w:ilvl="0">
      <w:lvlJc w:val="left"/>
      <w:lvlText w:val="%1."/>
      <w:numFmt w:val="decimal"/>
      <w:start w:val="1"/>
    </w:lvl>
  </w:abstractNum>
  <w:abstractNum w:abstractNumId="82">
    <w:nsid w:val="E7FFA2B"/>
    <w:multiLevelType w:val="hybridMultilevel"/>
    <w:lvl w:ilvl="0">
      <w:lvlJc w:val="left"/>
      <w:lvlText w:val="%1."/>
      <w:numFmt w:val="decimal"/>
      <w:start w:val="4"/>
    </w:lvl>
    <w:lvl w:ilvl="1">
      <w:lvlJc w:val="left"/>
      <w:lvlText w:val="(%2)"/>
      <w:numFmt w:val="lowerLetter"/>
      <w:start w:val="1"/>
    </w:lvl>
  </w:abstractNum>
  <w:abstractNum w:abstractNumId="83">
    <w:nsid w:val="3C5991AA"/>
    <w:multiLevelType w:val="hybridMultilevel"/>
    <w:lvl w:ilvl="0">
      <w:lvlJc w:val="left"/>
      <w:lvlText w:val="%1"/>
      <w:numFmt w:val="lowerLetter"/>
      <w:start w:val="1"/>
    </w:lvl>
    <w:lvl w:ilvl="1">
      <w:lvlJc w:val="left"/>
      <w:lvlText w:val="(%2)"/>
      <w:numFmt w:val="lowerLetter"/>
      <w:start w:val="3"/>
    </w:lvl>
  </w:abstractNum>
  <w:abstractNum w:abstractNumId="84">
    <w:nsid w:val="4BD8591A"/>
    <w:multiLevelType w:val="hybridMultilevel"/>
    <w:lvl w:ilvl="0">
      <w:lvlJc w:val="left"/>
      <w:lvlText w:val="(%1)"/>
      <w:numFmt w:val="lowerLetter"/>
      <w:start w:val="25"/>
    </w:lvl>
    <w:lvl w:ilvl="1">
      <w:lvlJc w:val="left"/>
      <w:lvlText w:val="%2"/>
      <w:numFmt w:val="lowerLetter"/>
      <w:start w:val="1"/>
    </w:lvl>
  </w:abstractNum>
  <w:abstractNum w:abstractNumId="85">
    <w:nsid w:val="78DF6A55"/>
    <w:multiLevelType w:val="hybridMultilevel"/>
    <w:lvl w:ilvl="0">
      <w:lvlJc w:val="left"/>
      <w:lvlText w:val="%1."/>
      <w:numFmt w:val="decimal"/>
      <w:start w:val="6"/>
    </w:lvl>
  </w:abstractNum>
  <w:abstractNum w:abstractNumId="86">
    <w:nsid w:val="39B7AAA2"/>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87">
    <w:nsid w:val="2B0D8DBE"/>
    <w:multiLevelType w:val="hybridMultilevel"/>
    <w:lvl w:ilvl="0">
      <w:lvlJc w:val="left"/>
      <w:lvlText w:val="%1."/>
      <w:numFmt w:val="decimal"/>
      <w:start w:val="10"/>
    </w:lvl>
  </w:abstractNum>
  <w:abstractNum w:abstractNumId="88">
    <w:nsid w:val="6C80EC70"/>
    <w:multiLevelType w:val="hybridMultilevel"/>
    <w:lvl w:ilvl="0">
      <w:lvlJc w:val="left"/>
      <w:lvlText w:val="(%1)"/>
      <w:numFmt w:val="lowerLetter"/>
      <w:start w:val="4"/>
    </w:lvl>
  </w:abstractNum>
  <w:abstractNum w:abstractNumId="89">
    <w:nsid w:val="379E21B5"/>
    <w:multiLevelType w:val="hybridMultilevel"/>
    <w:lvl w:ilvl="0">
      <w:lvlJc w:val="left"/>
      <w:lvlText w:val="%1."/>
      <w:numFmt w:val="decimal"/>
      <w:start w:val="18"/>
    </w:lvl>
  </w:abstractNum>
  <w:abstractNum w:abstractNumId="90">
    <w:nsid w:val="69E373"/>
    <w:multiLevelType w:val="hybridMultilevel"/>
    <w:lvl w:ilvl="0">
      <w:lvlJc w:val="left"/>
      <w:lvlText w:val="%1."/>
      <w:numFmt w:val="decimal"/>
      <w:start w:val="24"/>
    </w:lvl>
  </w:abstractNum>
  <w:abstractNum w:abstractNumId="91">
    <w:nsid w:val="2C27173B"/>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92">
    <w:nsid w:val="4C9B090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93">
    <w:nsid w:val="6AA7B75C"/>
    <w:multiLevelType w:val="hybridMultilevel"/>
    <w:lvl w:ilvl="0">
      <w:lvlJc w:val="left"/>
      <w:lvlText w:val="(%1)"/>
      <w:numFmt w:val="lowerLetter"/>
      <w:start w:val="7"/>
    </w:lvl>
  </w:abstractNum>
  <w:abstractNum w:abstractNumId="94">
    <w:nsid w:val="1DF029D3"/>
    <w:multiLevelType w:val="hybridMultilevel"/>
    <w:lvl w:ilvl="0">
      <w:lvlJc w:val="left"/>
      <w:lvlText w:val="%1."/>
      <w:numFmt w:val="decimal"/>
      <w:start w:val="2"/>
    </w:lvl>
    <w:lvl w:ilvl="1">
      <w:lvlJc w:val="left"/>
      <w:lvlText w:val="(%2)"/>
      <w:numFmt w:val="lowerLetter"/>
      <w:start w:val="1"/>
    </w:lvl>
  </w:abstractNum>
  <w:abstractNum w:abstractNumId="95">
    <w:nsid w:val="5675FF36"/>
    <w:multiLevelType w:val="hybridMultilevel"/>
    <w:lvl w:ilvl="0">
      <w:lvlJc w:val="left"/>
      <w:lvlText w:val="%1."/>
      <w:numFmt w:val="decimal"/>
      <w:start w:val="4"/>
    </w:lvl>
  </w:abstractNum>
  <w:abstractNum w:abstractNumId="96">
    <w:nsid w:val="3DD15094"/>
    <w:multiLevelType w:val="hybridMultilevel"/>
    <w:lvl w:ilvl="0">
      <w:lvlJc w:val="left"/>
      <w:lvlText w:val="%1."/>
      <w:numFmt w:val="decimal"/>
      <w:start w:val="1"/>
    </w:lvl>
  </w:abstractNum>
  <w:abstractNum w:abstractNumId="97">
    <w:nsid w:val="3DB012B3"/>
    <w:multiLevelType w:val="hybridMultilevel"/>
    <w:lvl w:ilvl="0">
      <w:lvlJc w:val="left"/>
      <w:lvlText w:val="%1."/>
      <w:numFmt w:val="decimal"/>
      <w:start w:val="3"/>
    </w:lvl>
    <w:lvl w:ilvl="1">
      <w:lvlJc w:val="left"/>
      <w:lvlText w:val="(%2)"/>
      <w:numFmt w:val="lowerLetter"/>
      <w:start w:val="1"/>
    </w:lvl>
  </w:abstractNum>
  <w:abstractNum w:abstractNumId="98">
    <w:nsid w:val="2708C9AF"/>
    <w:multiLevelType w:val="hybridMultilevel"/>
    <w:lvl w:ilvl="0">
      <w:lvlJc w:val="left"/>
      <w:lvlText w:val="%1"/>
      <w:numFmt w:val="lowerLetter"/>
      <w:start w:val="1"/>
    </w:lvl>
    <w:lvl w:ilvl="1">
      <w:lvlJc w:val="left"/>
      <w:lvlText w:val="(%2)"/>
      <w:numFmt w:val="lowerLetter"/>
      <w:start w:val="3"/>
    </w:lvl>
  </w:abstractNum>
  <w:abstractNum w:abstractNumId="99">
    <w:nsid w:val="5B25ACE2"/>
    <w:multiLevelType w:val="hybridMultilevel"/>
    <w:lvl w:ilvl="0">
      <w:lvlJc w:val="left"/>
      <w:lvlText w:val="(%1)"/>
      <w:numFmt w:val="lowerLetter"/>
      <w:start w:val="25"/>
    </w:lvl>
    <w:lvl w:ilvl="1">
      <w:lvlJc w:val="left"/>
      <w:lvlText w:val="%2"/>
      <w:numFmt w:val="lowerLetter"/>
      <w:start w:val="1"/>
    </w:lvl>
  </w:abstractNum>
  <w:abstractNum w:abstractNumId="100">
    <w:nsid w:val="175DFCF0"/>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101">
    <w:nsid w:val="4F97E3E4"/>
    <w:multiLevelType w:val="hybridMultilevel"/>
    <w:lvl w:ilvl="0">
      <w:lvlJc w:val="left"/>
      <w:lvlText w:val="%1"/>
      <w:numFmt w:val="decimal"/>
      <w:start w:val="1"/>
    </w:lvl>
    <w:lvl w:ilvl="1">
      <w:lvlJc w:val="left"/>
      <w:lvlText w:val="(%2)"/>
      <w:numFmt w:val="lowerLetter"/>
      <w:start w:val="4"/>
    </w:lvl>
  </w:abstractNum>
  <w:abstractNum w:abstractNumId="102">
    <w:nsid w:val="53B0A9E"/>
    <w:multiLevelType w:val="hybridMultilevel"/>
    <w:lvl w:ilvl="0">
      <w:lvlJc w:val="left"/>
      <w:lvlText w:val="%1."/>
      <w:numFmt w:val="decimal"/>
      <w:start w:val="8"/>
    </w:lvl>
    <w:lvl w:ilvl="1">
      <w:lvlJc w:val="left"/>
      <w:lvlText w:val="%2"/>
      <w:numFmt w:val="lowerLetter"/>
      <w:start w:val="1"/>
    </w:lvl>
  </w:abstractNum>
  <w:abstractNum w:abstractNumId="103">
    <w:nsid w:val="34FD6B4F"/>
    <w:multiLevelType w:val="hybridMultilevel"/>
    <w:lvl w:ilvl="0">
      <w:lvlJc w:val="left"/>
      <w:lvlText w:val="%1."/>
      <w:numFmt w:val="decimal"/>
      <w:start w:val="15"/>
    </w:lvl>
  </w:abstractNum>
  <w:abstractNum w:abstractNumId="104">
    <w:nsid w:val="5915FF32"/>
    <w:multiLevelType w:val="hybridMultilevel"/>
    <w:lvl w:ilvl="0">
      <w:lvlJc w:val="left"/>
      <w:lvlText w:val="%1."/>
      <w:numFmt w:val="decimal"/>
      <w:start w:val="23"/>
    </w:lvl>
  </w:abstractNum>
  <w:abstractNum w:abstractNumId="105">
    <w:nsid w:val="56438D15"/>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06">
    <w:nsid w:val="519E314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107">
    <w:nsid w:val="2C6E4AFD"/>
    <w:multiLevelType w:val="hybridMultilevel"/>
    <w:lvl w:ilvl="0">
      <w:lvlJc w:val="left"/>
      <w:lvlText w:val="(%1)"/>
      <w:numFmt w:val="lowerLetter"/>
      <w:start w:val="7"/>
    </w:lvl>
  </w:abstractNum>
  <w:abstractNum w:abstractNumId="108">
    <w:nsid w:val="17A1B582"/>
    <w:multiLevelType w:val="hybridMultilevel"/>
    <w:lvl w:ilvl="0">
      <w:lvlJc w:val="left"/>
      <w:lvlText w:val="%1."/>
      <w:numFmt w:val="decimal"/>
      <w:start w:val="2"/>
    </w:lvl>
    <w:lvl w:ilvl="1">
      <w:lvlJc w:val="left"/>
      <w:lvlText w:val="(%2)"/>
      <w:numFmt w:val="lowerLetter"/>
      <w:start w:val="1"/>
    </w:lvl>
  </w:abstractNum>
  <w:abstractNum w:abstractNumId="109">
    <w:nsid w:val="4DF72E4E"/>
    <w:multiLevelType w:val="hybridMultilevel"/>
    <w:lvl w:ilvl="0">
      <w:lvlJc w:val="left"/>
      <w:lvlText w:val="%1."/>
      <w:numFmt w:val="decimal"/>
      <w:start w:val="4"/>
    </w:lvl>
  </w:abstractNum>
  <w:abstractNum w:abstractNumId="110">
    <w:nsid w:val="5046B5A9"/>
    <w:multiLevelType w:val="hybridMultilevel"/>
    <w:lvl w:ilvl="0">
      <w:lvlJc w:val="left"/>
      <w:lvlText w:val="%1."/>
      <w:numFmt w:val="decimal"/>
      <w:start w:val="1"/>
    </w:lvl>
  </w:abstractNum>
  <w:abstractNum w:abstractNumId="111">
    <w:nsid w:val="5D888A08"/>
    <w:multiLevelType w:val="hybridMultilevel"/>
    <w:lvl w:ilvl="0">
      <w:lvlJc w:val="left"/>
      <w:lvlText w:val="%1."/>
      <w:numFmt w:val="decimal"/>
      <w:start w:val="3"/>
    </w:lvl>
    <w:lvl w:ilvl="1">
      <w:lvlJc w:val="left"/>
      <w:lvlText w:val="(%2)"/>
      <w:numFmt w:val="lowerLetter"/>
      <w:start w:val="1"/>
    </w:lvl>
  </w:abstractNum>
  <w:abstractNum w:abstractNumId="112">
    <w:nsid w:val="2A082C70"/>
    <w:multiLevelType w:val="hybridMultilevel"/>
    <w:lvl w:ilvl="0">
      <w:lvlJc w:val="left"/>
      <w:lvlText w:val="(%1)"/>
      <w:numFmt w:val="lowerLetter"/>
      <w:start w:val="3"/>
    </w:lvl>
  </w:abstractNum>
  <w:abstractNum w:abstractNumId="113">
    <w:nsid w:val="5EC6AFD4"/>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114">
    <w:nsid w:val="19E21BB2"/>
    <w:multiLevelType w:val="hybridMultilevel"/>
    <w:lvl w:ilvl="0">
      <w:lvlJc w:val="left"/>
      <w:lvlText w:val="%1"/>
      <w:numFmt w:val="decimal"/>
      <w:start w:val="1"/>
    </w:lvl>
    <w:lvl w:ilvl="1">
      <w:lvlJc w:val="left"/>
      <w:lvlText w:val="(%2)"/>
      <w:numFmt w:val="lowerLetter"/>
      <w:start w:val="4"/>
    </w:lvl>
  </w:abstractNum>
  <w:abstractNum w:abstractNumId="115">
    <w:nsid w:val="75E0858A"/>
    <w:multiLevelType w:val="hybridMultilevel"/>
    <w:lvl w:ilvl="0">
      <w:lvlJc w:val="left"/>
      <w:lvlText w:val="%1."/>
      <w:numFmt w:val="decimal"/>
      <w:start w:val="8"/>
    </w:lvl>
    <w:lvl w:ilvl="1">
      <w:lvlJc w:val="left"/>
      <w:lvlText w:val="%2"/>
      <w:numFmt w:val="lowerLetter"/>
      <w:start w:val="1"/>
    </w:lvl>
  </w:abstractNum>
  <w:abstractNum w:abstractNumId="116">
    <w:nsid w:val="57A61A29"/>
    <w:multiLevelType w:val="hybridMultilevel"/>
    <w:lvl w:ilvl="0">
      <w:lvlJc w:val="left"/>
      <w:lvlText w:val="%1."/>
      <w:numFmt w:val="decimal"/>
      <w:start w:val="14"/>
    </w:lvl>
  </w:abstractNum>
  <w:abstractNum w:abstractNumId="117">
    <w:nsid w:val="5399C654"/>
    <w:multiLevelType w:val="hybridMultilevel"/>
    <w:lvl w:ilvl="0">
      <w:lvlJc w:val="left"/>
      <w:lvlText w:val="%1."/>
      <w:numFmt w:val="decimal"/>
      <w:start w:val="23"/>
    </w:lvl>
  </w:abstractNum>
  <w:abstractNum w:abstractNumId="118">
    <w:nsid w:val="20EE1348"/>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19">
    <w:nsid w:val="4427069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120">
    <w:nsid w:val="B37E80A"/>
    <w:multiLevelType w:val="hybridMultilevel"/>
    <w:lvl w:ilvl="0">
      <w:lvlJc w:val="left"/>
      <w:lvlText w:val="(%1)"/>
      <w:numFmt w:val="lowerLetter"/>
      <w:start w:val="7"/>
    </w:lvl>
  </w:abstractNum>
  <w:abstractNum w:abstractNumId="121">
    <w:nsid w:val="2157F6BC"/>
    <w:multiLevelType w:val="hybridMultilevel"/>
    <w:lvl w:ilvl="0">
      <w:lvlJc w:val="left"/>
      <w:lvlText w:val="%1."/>
      <w:numFmt w:val="decimal"/>
      <w:start w:val="2"/>
    </w:lvl>
    <w:lvl w:ilvl="1">
      <w:lvlJc w:val="left"/>
      <w:lvlText w:val="(%2)"/>
      <w:numFmt w:val="lowerLetter"/>
      <w:start w:val="1"/>
    </w:lvl>
  </w:abstractNum>
  <w:abstractNum w:abstractNumId="122">
    <w:nsid w:val="704E1DD5"/>
    <w:multiLevelType w:val="hybridMultilevel"/>
    <w:lvl w:ilvl="0">
      <w:lvlJc w:val="left"/>
      <w:lvlText w:val="%1."/>
      <w:numFmt w:val="decimal"/>
      <w:start w:val="4"/>
    </w:lvl>
  </w:abstractNum>
  <w:abstractNum w:abstractNumId="123">
    <w:nsid w:val="57D2F10E"/>
    <w:multiLevelType w:val="hybridMultilevel"/>
    <w:lvl w:ilvl="0">
      <w:lvlJc w:val="left"/>
      <w:lvlText w:val="(%1)"/>
      <w:numFmt w:val="lowerLetter"/>
      <w:start w:val="1"/>
    </w:lvl>
  </w:abstractNum>
  <w:abstractNum w:abstractNumId="124">
    <w:nsid w:val="BFFAE1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25">
    <w:nsid w:val="E3E47A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6">
    <w:nsid w:val="2E48F044"/>
    <w:multiLevelType w:val="hybridMultilevel"/>
    <w:lvl w:ilvl="0">
      <w:lvlJc w:val="left"/>
      <w:lvlText w:val="%1."/>
      <w:numFmt w:val="decimal"/>
      <w:start w:val="2"/>
    </w:lvl>
  </w:abstractNum>
  <w:abstractNum w:abstractNumId="127">
    <w:nsid w:val="49D0FEA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28">
    <w:nsid w:val="4BEE5A5B"/>
    <w:multiLevelType w:val="hybridMultilevel"/>
    <w:lvl w:ilvl="0">
      <w:lvlJc w:val="left"/>
      <w:lvlText w:val="%1."/>
      <w:numFmt w:val="lowerRoman"/>
      <w:start w:val="4"/>
    </w:lvl>
  </w:abstractNum>
  <w:abstractNum w:abstractNumId="129">
    <w:nsid w:val="5551B9F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30">
    <w:nsid w:val="24F6AB8E"/>
    <w:multiLevelType w:val="hybridMultilevel"/>
    <w:lvl w:ilvl="0">
      <w:lvlJc w:val="left"/>
      <w:lvlText w:val="%1"/>
      <w:numFmt w:val="lowerLetter"/>
      <w:start w:val="1"/>
    </w:lvl>
    <w:lvl w:ilvl="1">
      <w:lvlJc w:val="left"/>
      <w:lvlText w:val="%2."/>
      <w:numFmt w:val="lowerLetter"/>
      <w:start w:val="61"/>
    </w:lvl>
  </w:abstractNum>
  <w:abstractNum w:abstractNumId="131">
    <w:nsid w:val="634C574C"/>
    <w:multiLevelType w:val="hybridMultilevel"/>
    <w:lvl w:ilvl="0">
      <w:lvlJc w:val="left"/>
      <w:lvlText w:val="%1."/>
      <w:numFmt w:val="lowerLetter"/>
      <w:start w:val="3"/>
    </w:lvl>
    <w:lvl w:ilvl="1">
      <w:lvlJc w:val="left"/>
      <w:lvlText w:val="%2."/>
      <w:numFmt w:val="lowerLetter"/>
      <w:start w:val="9"/>
    </w:lvl>
  </w:abstractNum>
  <w:abstractNum w:abstractNumId="132">
    <w:nsid w:val="24E99DD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33">
    <w:nsid w:val="2A31B62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34">
    <w:nsid w:val="1849C29B"/>
    <w:multiLevelType w:val="hybridMultilevel"/>
    <w:lvl w:ilvl="0">
      <w:lvlJc w:val="left"/>
      <w:lvlText w:val="%1."/>
      <w:numFmt w:val="lowerRoman"/>
      <w:start w:val="2"/>
    </w:lvl>
  </w:abstractNum>
  <w:abstractNum w:abstractNumId="135">
    <w:nsid w:val="7DFF9D09"/>
    <w:multiLevelType w:val="hybridMultilevel"/>
    <w:lvl w:ilvl="0">
      <w:lvlJc w:val="left"/>
      <w:lvlText w:val="1"/>
      <w:numFmt w:val="bullet"/>
      <w:start w:val="1"/>
    </w:lvl>
  </w:abstractNum>
  <w:abstractNum w:abstractNumId="136">
    <w:nsid w:val="754342"/>
    <w:multiLevelType w:val="hybridMultilevel"/>
    <w:lvl w:ilvl="0">
      <w:lvlJc w:val="left"/>
      <w:lvlText w:val="%1."/>
      <w:numFmt w:val="lowerLetter"/>
      <w:start w:val="2"/>
    </w:lvl>
  </w:abstractNum>
  <w:abstractNum w:abstractNumId="137">
    <w:nsid w:val="69E7F3E5"/>
    <w:multiLevelType w:val="hybridMultilevel"/>
    <w:lvl w:ilvl="0">
      <w:lvlJc w:val="left"/>
      <w:lvlText w:val="%1."/>
      <w:numFmt w:val="lowerLetter"/>
      <w:start w:val="5"/>
    </w:lvl>
    <w:lvl w:ilvl="1">
      <w:lvlJc w:val="left"/>
      <w:lvlText w:val="•"/>
      <w:numFmt w:val="bullet"/>
      <w:start w:val="1"/>
    </w:lvl>
  </w:abstractNum>
  <w:abstractNum w:abstractNumId="138">
    <w:nsid w:val="2A6DE806"/>
    <w:multiLevelType w:val="hybridMultilevel"/>
    <w:lvl w:ilvl="0">
      <w:lvlJc w:val="left"/>
      <w:lvlText w:val="•"/>
      <w:numFmt w:val="bullet"/>
      <w:start w:val="1"/>
    </w:lvl>
  </w:abstractNum>
  <w:abstractNum w:abstractNumId="139">
    <w:nsid w:val="1816F8C4"/>
    <w:multiLevelType w:val="hybridMultilevel"/>
    <w:lvl w:ilvl="0">
      <w:lvlJc w:val="left"/>
      <w:lvlText w:val="%1."/>
      <w:numFmt w:val="lowerLetter"/>
      <w:start w:val="6"/>
    </w:lvl>
  </w:abstractNum>
  <w:abstractNum w:abstractNumId="140">
    <w:nsid w:val="37DF2233"/>
    <w:multiLevelType w:val="hybridMultilevel"/>
    <w:lvl w:ilvl="0">
      <w:lvlJc w:val="left"/>
      <w:lvlText w:val="%1."/>
      <w:numFmt w:val="lowerRoman"/>
      <w:start w:val="1"/>
    </w:lvl>
    <w:lvl w:ilvl="1">
      <w:lvlJc w:val="left"/>
      <w:lvlText w:val="%2."/>
      <w:numFmt w:val="lowerRoman"/>
      <w:start w:val="1"/>
    </w:lvl>
  </w:abstractNum>
  <w:abstractNum w:abstractNumId="141">
    <w:nsid w:val="7AB49DAF"/>
    <w:multiLevelType w:val="hybridMultilevel"/>
    <w:lvl w:ilvl="0">
      <w:lvlJc w:val="left"/>
      <w:lvlText w:val="%1."/>
      <w:numFmt w:val="lowerRoman"/>
      <w:start w:val="4"/>
    </w:lvl>
  </w:abstractNum>
  <w:abstractNum w:abstractNumId="142">
    <w:nsid w:val="759F82CD"/>
    <w:multiLevelType w:val="hybridMultilevel"/>
    <w:lvl w:ilvl="0">
      <w:lvlJc w:val="left"/>
      <w:lvlText w:val="%1."/>
      <w:numFmt w:val="lowerLetter"/>
      <w:start w:val="10"/>
    </w:lvl>
  </w:abstractNum>
  <w:abstractNum w:abstractNumId="143">
    <w:nsid w:val="61E74EA3"/>
    <w:multiLevelType w:val="hybridMultilevel"/>
    <w:lvl w:ilvl="0">
      <w:lvlJc w:val="left"/>
      <w:lvlText w:val="%1."/>
      <w:numFmt w:val="decimal"/>
      <w:start w:val="1"/>
    </w:lvl>
    <w:lvl w:ilvl="1">
      <w:lvlJc w:val="left"/>
      <w:lvlText w:val="%2)"/>
      <w:numFmt w:val="lowerLetter"/>
      <w:start w:val="1"/>
    </w:lvl>
  </w:abstractNum>
  <w:abstractNum w:abstractNumId="144">
    <w:nsid w:val="597B4D8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27" Type="http://schemas.openxmlformats.org/officeDocument/2006/relationships/image" Target="media/image107.png"/><Relationship Id="rId145" Type="http://schemas.openxmlformats.org/officeDocument/2006/relationships/image" Target="media/image108.png"/><Relationship Id="rId155" Type="http://schemas.openxmlformats.org/officeDocument/2006/relationships/image" Target="media/image109.png"/><Relationship Id="rId156" Type="http://schemas.openxmlformats.org/officeDocument/2006/relationships/image" Target="media/image110.png"/><Relationship Id="rId157" Type="http://schemas.openxmlformats.org/officeDocument/2006/relationships/image" Target="media/image111.png"/><Relationship Id="rId158" Type="http://schemas.openxmlformats.org/officeDocument/2006/relationships/image" Target="media/image112.png"/><Relationship Id="rId159" Type="http://schemas.openxmlformats.org/officeDocument/2006/relationships/image" Target="media/image113.png"/><Relationship Id="rId160" Type="http://schemas.openxmlformats.org/officeDocument/2006/relationships/image" Target="media/image114.png"/><Relationship Id="rId161" Type="http://schemas.openxmlformats.org/officeDocument/2006/relationships/image" Target="media/image115.png"/><Relationship Id="rId162" Type="http://schemas.openxmlformats.org/officeDocument/2006/relationships/image" Target="media/image116.png"/><Relationship Id="rId163" Type="http://schemas.openxmlformats.org/officeDocument/2006/relationships/image" Target="media/image117.png"/><Relationship Id="rId164" Type="http://schemas.openxmlformats.org/officeDocument/2006/relationships/image" Target="media/image118.png"/><Relationship Id="rId165" Type="http://schemas.openxmlformats.org/officeDocument/2006/relationships/image" Target="media/image119.png"/><Relationship Id="rId166" Type="http://schemas.openxmlformats.org/officeDocument/2006/relationships/image" Target="media/image120.png"/><Relationship Id="rId167" Type="http://schemas.openxmlformats.org/officeDocument/2006/relationships/image" Target="media/image121.png"/><Relationship Id="rId168" Type="http://schemas.openxmlformats.org/officeDocument/2006/relationships/image" Target="media/image122.jpeg"/><Relationship Id="rId169" Type="http://schemas.openxmlformats.org/officeDocument/2006/relationships/image" Target="media/image123.png"/><Relationship Id="rId170" Type="http://schemas.openxmlformats.org/officeDocument/2006/relationships/image" Target="media/image124.png"/><Relationship Id="rId171" Type="http://schemas.openxmlformats.org/officeDocument/2006/relationships/image" Target="media/image125.png"/><Relationship Id="rId172" Type="http://schemas.openxmlformats.org/officeDocument/2006/relationships/image" Target="media/image126.png"/><Relationship Id="rId173" Type="http://schemas.openxmlformats.org/officeDocument/2006/relationships/image" Target="media/image127.png"/><Relationship Id="rId174" Type="http://schemas.openxmlformats.org/officeDocument/2006/relationships/image" Target="media/image128.png"/><Relationship Id="rId175" Type="http://schemas.openxmlformats.org/officeDocument/2006/relationships/image" Target="media/image129.png"/><Relationship Id="rId176" Type="http://schemas.openxmlformats.org/officeDocument/2006/relationships/image" Target="media/image130.png"/><Relationship Id="rId177" Type="http://schemas.openxmlformats.org/officeDocument/2006/relationships/image" Target="media/image131.png"/><Relationship Id="rId178" Type="http://schemas.openxmlformats.org/officeDocument/2006/relationships/image" Target="media/image132.png"/><Relationship Id="rId179" Type="http://schemas.openxmlformats.org/officeDocument/2006/relationships/image" Target="media/image133.png"/><Relationship Id="rId180" Type="http://schemas.openxmlformats.org/officeDocument/2006/relationships/image" Target="media/image134.png"/><Relationship Id="rId181" Type="http://schemas.openxmlformats.org/officeDocument/2006/relationships/image" Target="media/image135.png"/><Relationship Id="rId114" Type="http://schemas.openxmlformats.org/officeDocument/2006/relationships/hyperlink" Target="https://www.sec.gov/Archives/edgar/data/1047127/000089322004001612/w99531exv2w3.txt" TargetMode="External"/><Relationship Id="rId115" Type="http://schemas.openxmlformats.org/officeDocument/2006/relationships/hyperlink" Target="https://www.sec.gov/Archives/edgar/data/1047127/0000891618-97-004025.txt" TargetMode="External"/><Relationship Id="rId116" Type="http://schemas.openxmlformats.org/officeDocument/2006/relationships/hyperlink" Target="https://www.sec.gov/Archives/edgar/data/1047127/0000891618-98-004062.txt" TargetMode="External"/><Relationship Id="rId117" Type="http://schemas.openxmlformats.org/officeDocument/2006/relationships/hyperlink" Target="https://www.sec.gov/Archives/edgar/data/1047127/0000891618-98-001449.txt" TargetMode="External"/><Relationship Id="rId118" Type="http://schemas.openxmlformats.org/officeDocument/2006/relationships/hyperlink" Target="https://www.sec.gov/Archives/edgar/data/1047127/000119312519076193/d712238dex41.htm" TargetMode="External"/><Relationship Id="rId119" Type="http://schemas.openxmlformats.org/officeDocument/2006/relationships/hyperlink" Target="https://www.sec.gov/Archives/edgar/data/1047127/000104712720000006/amkr123119ex43.htm" TargetMode="External"/><Relationship Id="rId120" Type="http://schemas.openxmlformats.org/officeDocument/2006/relationships/hyperlink" Target="https://www.sec.gov/Archives/edgar/data/1047127/000095015309000248/p14626exv10w1.htm" TargetMode="External"/><Relationship Id="rId121" Type="http://schemas.openxmlformats.org/officeDocument/2006/relationships/hyperlink" Target="https://www.sec.gov/Archives/edgar/data/1047127/000104712717000023/amkr33117ex102.htm" TargetMode="External"/><Relationship Id="rId122" Type="http://schemas.openxmlformats.org/officeDocument/2006/relationships/hyperlink" Target="https://www.sec.gov/Archives/edgar/data/1047127/000104712717000023/amkr33117ex103.htm" TargetMode="External"/><Relationship Id="rId123" Type="http://schemas.openxmlformats.org/officeDocument/2006/relationships/hyperlink" Target="https://www.sec.gov/Archives/edgar/data/1047127/000104712717000023/amkr33117ex104.htm" TargetMode="External"/><Relationship Id="rId124" Type="http://schemas.openxmlformats.org/officeDocument/2006/relationships/hyperlink" Target="https://www.sec.gov/Archives/edgar/data/1047127/000104712717000025/amkorarequityplanexhibit10.htm" TargetMode="External"/><Relationship Id="rId125" Type="http://schemas.openxmlformats.org/officeDocument/2006/relationships/hyperlink" Target="https://www.sec.gov/Archives/edgar/data/1047127/000104712719000036/amkr63019ex103.htm" TargetMode="External"/><Relationship Id="rId126" Type="http://schemas.openxmlformats.org/officeDocument/2006/relationships/hyperlink" Target="https://www.sec.gov/Archives/edgar/data/1047127/000104712720000037/a101-amkorglobalformof.htm" TargetMode="External"/><Relationship Id="rId128" Type="http://schemas.openxmlformats.org/officeDocument/2006/relationships/hyperlink" Target="https://www.sec.gov/Archives/edgar/data/1047127/000104712720000037/a102-exhibitamkorxglob.htm" TargetMode="External"/><Relationship Id="rId129" Type="http://schemas.openxmlformats.org/officeDocument/2006/relationships/hyperlink" Target="https://www.sec.gov/Archives/edgar/data/1047127/000104712720000057/a101globalformofstocko.htm" TargetMode="External"/><Relationship Id="rId130" Type="http://schemas.openxmlformats.org/officeDocument/2006/relationships/hyperlink" Target="https://www.sec.gov/Archives/edgar/data/1047127/000104712720000057/a102globalformofrestri.htm" TargetMode="External"/><Relationship Id="rId131" Type="http://schemas.openxmlformats.org/officeDocument/2006/relationships/hyperlink" Target="https://www.sec.gov/Archives/edgar/data/1047127/000104712721000003/exhibit101-formofperforman.htm" TargetMode="External"/><Relationship Id="rId132" Type="http://schemas.openxmlformats.org/officeDocument/2006/relationships/hyperlink" Target="https://www.sec.gov/Archives/edgar/data/1047127/000104712721000003/exhibit102-formofrestricte.htm" TargetMode="External"/><Relationship Id="rId133" Type="http://schemas.openxmlformats.org/officeDocument/2006/relationships/hyperlink" Target="https://www.sec.gov/Archives/edgar/data/0001047127/000119312521167936/d182081dex101.htm" TargetMode="External"/><Relationship Id="rId134" Type="http://schemas.openxmlformats.org/officeDocument/2006/relationships/hyperlink" Target="https://www.sec.gov/Archives/edgar/data/1047127/000104712722000006/amkr123121ex1036.htm" TargetMode="External"/><Relationship Id="rId135" Type="http://schemas.openxmlformats.org/officeDocument/2006/relationships/hyperlink" Target="https://www.sec.gov/Archives/edgar/data/1047127/000119312521167936/d182081dex102.htm" TargetMode="External"/><Relationship Id="rId136" Type="http://schemas.openxmlformats.org/officeDocument/2006/relationships/hyperlink" Target="https://www.sec.gov/Archives/edgar/data/0001047127/000119312521167936/d182081dex103.htm" TargetMode="External"/><Relationship Id="rId137" Type="http://schemas.openxmlformats.org/officeDocument/2006/relationships/hyperlink" Target="https://www.sec.gov/Archives/edgar/data/0001047127/000119312521167936/d182081dex104.htm" TargetMode="External"/><Relationship Id="rId138" Type="http://schemas.openxmlformats.org/officeDocument/2006/relationships/hyperlink" Target="https://www.sec.gov/Archives/edgar/data/0001047127/000119312521167936/d182081dex105.htm" TargetMode="External"/><Relationship Id="rId139" Type="http://schemas.openxmlformats.org/officeDocument/2006/relationships/hyperlink" Target="https://www.sec.gov/Archives/edgar/data/0001047127/000119312521167936/d182081dex106.htm" TargetMode="External"/><Relationship Id="rId140" Type="http://schemas.openxmlformats.org/officeDocument/2006/relationships/hyperlink" Target="https://www.sec.gov/Archives/edgar/data/1047127/000104712724000019/amkr123123ex1021.htm" TargetMode="External"/><Relationship Id="rId141" Type="http://schemas.openxmlformats.org/officeDocument/2006/relationships/hyperlink" Target="https://www.sec.gov/Archives/edgar/data/1047127/000104712724000019/amkr123123ex1022.htm" TargetMode="External"/><Relationship Id="rId142" Type="http://schemas.openxmlformats.org/officeDocument/2006/relationships/hyperlink" Target="https://www.sec.gov/Archives/edgar/data/1047127/000104712722000006/amkr123121ex1035.htm" TargetMode="External"/><Relationship Id="rId143" Type="http://schemas.openxmlformats.org/officeDocument/2006/relationships/hyperlink" Target="https://www.sec.gov/Archives/edgar/data/1047127/000104712723000009/amkr123122ex1025.htm" TargetMode="External"/><Relationship Id="rId144" Type="http://schemas.openxmlformats.org/officeDocument/2006/relationships/hyperlink" Target="https://www.sec.gov/Archives/edgar/data/1047127/000104712724000159/amkr6302024ex101.htm" TargetMode="External"/><Relationship Id="rId146" Type="http://schemas.openxmlformats.org/officeDocument/2006/relationships/hyperlink" Target="https://www.sec.gov/Archives/edgar/data/1047127/000104712717000025/amkorarexecutiveincentiveb.htm" TargetMode="External"/><Relationship Id="rId147" Type="http://schemas.openxmlformats.org/officeDocument/2006/relationships/hyperlink" Target="https://www.sec.gov/Archives/edgar/data/1047127/000104712720000037/a103-exhibitamkorrutte.htm" TargetMode="External"/><Relationship Id="rId148" Type="http://schemas.openxmlformats.org/officeDocument/2006/relationships/hyperlink" Target="https://www.sec.gov/Archives/edgar/data/1047127/000104712723000009/amkr123122ex1030.htm" TargetMode="External"/><Relationship Id="rId149" Type="http://schemas.openxmlformats.org/officeDocument/2006/relationships/hyperlink" Target="https://www.sec.gov/Archives/edgar/data/1047127/000104712723000009/amkr123122ex1031.htm" TargetMode="External"/><Relationship Id="rId150" Type="http://schemas.openxmlformats.org/officeDocument/2006/relationships/hyperlink" Target="https://www.sec.gov/Archives/edgar/data/1047127/000104712723000009/amkr123122ex1032.htm" TargetMode="External"/><Relationship Id="rId151" Type="http://schemas.openxmlformats.org/officeDocument/2006/relationships/hyperlink" Target="https://www.sec.gov/Archives/edgar/data/1047127/000104712723000009/amkr123122ex1033.htm" TargetMode="External"/><Relationship Id="rId152" Type="http://schemas.openxmlformats.org/officeDocument/2006/relationships/hyperlink" Target="https://www.sec.gov/Archives/edgar/data/1047127/000104712723000009/amkr123122ex1034.htm" TargetMode="External"/><Relationship Id="rId153" Type="http://schemas.openxmlformats.org/officeDocument/2006/relationships/hyperlink" Target="https://www.sec.gov/Archives/edgar/data/1047127/000119312522088294/d315757dex101.htm" TargetMode="External"/><Relationship Id="rId154" Type="http://schemas.openxmlformats.org/officeDocument/2006/relationships/hyperlink" Target="https://www.sec.gov/Archives/edgar/data/1047127/000104712724000019/amkr123123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2025-02-21T15:14:10Z</dcterms:created>
  <dcterms:modified xsi:type="dcterms:W3CDTF">2025-02-21T15:14:10Z</dcterms:modified>
</cp:coreProperties>
</file>