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ANNUAL REPORT PURSUANT TO SECTION 13 OR 15(d)</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000-29472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Amkor Technology,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873" w:right="239" w:bottom="1440" w:gutter="0" w:footer="0" w:header="0"/>
        </w:sectPr>
      </w:pPr>
    </w:p>
    <w:p>
      <w:pPr>
        <w:spacing w:after="0" w:line="156"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23-1722724</w:t>
      </w:r>
    </w:p>
    <w:p>
      <w:pPr>
        <w:spacing w:after="0" w:line="49" w:lineRule="exact"/>
        <w:rPr>
          <w:sz w:val="24"/>
          <w:szCs w:val="24"/>
          <w:color w:val="auto"/>
        </w:rPr>
      </w:pPr>
    </w:p>
    <w:p>
      <w:pPr>
        <w:sectPr>
          <w:pgSz w:w="11900" w:h="16838" w:orient="portrait"/>
          <w:cols w:equalWidth="0" w:num="2">
            <w:col w:w="7000" w:space="720"/>
            <w:col w:w="3700"/>
          </w:cols>
          <w:pgMar w:left="240" w:top="873" w:right="239" w:bottom="1440" w:gutter="0" w:footer="0" w:header="0"/>
          <w:type w:val="continuous"/>
        </w:sectPr>
      </w:pPr>
    </w:p>
    <w:p>
      <w:pPr>
        <w:jc w:val="center"/>
        <w:ind w:left="640"/>
        <w:spacing w:after="0"/>
        <w:rPr>
          <w:sz w:val="20"/>
          <w:szCs w:val="20"/>
          <w:color w:val="auto"/>
        </w:rPr>
      </w:pPr>
      <w:r>
        <w:rPr>
          <w:rFonts w:ascii="Arial" w:cs="Arial" w:eastAsia="Arial" w:hAnsi="Arial"/>
          <w:sz w:val="13"/>
          <w:szCs w:val="13"/>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20" w:lineRule="exact"/>
        <w:rPr>
          <w:sz w:val="24"/>
          <w:szCs w:val="24"/>
          <w:color w:val="auto"/>
        </w:rPr>
      </w:pPr>
    </w:p>
    <w:p>
      <w:pPr>
        <w:sectPr>
          <w:pgSz w:w="11900" w:h="16838" w:orient="portrait"/>
          <w:cols w:equalWidth="0" w:num="2">
            <w:col w:w="6240" w:space="720"/>
            <w:col w:w="4460"/>
          </w:cols>
          <w:pgMar w:left="240" w:top="873"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2045 East Innovation Circle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Tempe, AZ 85284</w:t>
      </w:r>
    </w:p>
    <w:p>
      <w:pPr>
        <w:jc w:val="center"/>
        <w:spacing w:after="0"/>
        <w:rPr>
          <w:sz w:val="20"/>
          <w:szCs w:val="20"/>
          <w:color w:val="auto"/>
        </w:rPr>
      </w:pPr>
      <w:r>
        <w:rPr>
          <w:rFonts w:ascii="Arial" w:cs="Arial" w:eastAsia="Arial" w:hAnsi="Arial"/>
          <w:sz w:val="16"/>
          <w:szCs w:val="16"/>
          <w:b w:val="1"/>
          <w:bCs w:val="1"/>
          <w:color w:val="auto"/>
        </w:rPr>
        <w:t>(480) 821-5000</w:t>
      </w:r>
    </w:p>
    <w:p>
      <w:pPr>
        <w:jc w:val="center"/>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160" w:type="dxa"/>
        <w:tblCellMar>
          <w:top w:w="0" w:type="dxa"/>
          <w:left w:w="0" w:type="dxa"/>
          <w:bottom w:w="0" w:type="dxa"/>
          <w:right w:w="0" w:type="dxa"/>
        </w:tblCellMar>
      </w:tblPr>
      <w:tr>
        <w:trPr>
          <w:trHeight w:val="192"/>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6"/>
                <w:szCs w:val="16"/>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3"/>
        </w:trPr>
        <w:tc>
          <w:tcPr>
            <w:tcW w:w="46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$0.001 par value</w:t>
            </w:r>
          </w:p>
        </w:tc>
        <w:tc>
          <w:tcPr>
            <w:tcW w:w="4580" w:type="dxa"/>
            <w:vAlign w:val="bottom"/>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873" w:right="239" w:bottom="1440" w:gutter="0" w:footer="0" w:header="0"/>
          <w:type w:val="continuous"/>
        </w:sectPr>
      </w:pPr>
    </w:p>
    <w:p>
      <w:pPr>
        <w:spacing w:after="0" w:line="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color w:val="auto"/>
        </w:rPr>
        <w:t>No o</w:t>
      </w:r>
    </w:p>
    <w:p>
      <w:pPr>
        <w:spacing w:after="0" w:line="52" w:lineRule="exact"/>
        <w:rPr>
          <w:sz w:val="24"/>
          <w:szCs w:val="24"/>
          <w:color w:val="auto"/>
        </w:rPr>
      </w:pPr>
    </w:p>
    <w:p>
      <w:pPr>
        <w:sectPr>
          <w:pgSz w:w="11900" w:h="16838" w:orient="portrait"/>
          <w:cols w:equalWidth="0" w:num="2">
            <w:col w:w="8120" w:space="200"/>
            <w:col w:w="3100"/>
          </w:cols>
          <w:pgMar w:left="240" w:top="873"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2">
            <w:col w:w="8200" w:space="200"/>
            <w:col w:w="3020"/>
          </w:cols>
          <w:pgMar w:left="240" w:top="873" w:right="239" w:bottom="1440" w:gutter="0" w:footer="0" w:header="0"/>
          <w:type w:val="continuous"/>
        </w:sect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20"/>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73" w:right="239" w:bottom="1440" w:gutter="0" w:footer="0" w:header="0"/>
          <w:type w:val="continuous"/>
        </w:sectPr>
      </w:pPr>
    </w:p>
    <w:p>
      <w:pPr>
        <w:spacing w:after="0" w:line="99"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 o</w:t>
      </w:r>
    </w:p>
    <w:p>
      <w:pPr>
        <w:spacing w:after="0" w:line="96" w:lineRule="exact"/>
        <w:rPr>
          <w:sz w:val="24"/>
          <w:szCs w:val="24"/>
          <w:color w:val="auto"/>
        </w:rPr>
      </w:pPr>
    </w:p>
    <w:p>
      <w:pPr>
        <w:sectPr>
          <w:pgSz w:w="11900" w:h="16838" w:orient="portrait"/>
          <w:cols w:equalWidth="0" w:num="5">
            <w:col w:w="1920" w:space="580"/>
            <w:col w:w="1200" w:space="600"/>
            <w:col w:w="1500" w:space="640"/>
            <w:col w:w="1960" w:space="720"/>
            <w:col w:w="2300"/>
          </w:cols>
          <w:pgMar w:left="240" w:top="873"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873" w:right="239" w:bottom="1440" w:gutter="0" w:footer="0" w:header="0"/>
          <w:type w:val="continuous"/>
        </w:sectPr>
      </w:pPr>
    </w:p>
    <w:p>
      <w:pPr>
        <w:spacing w:after="0" w:line="69" w:lineRule="exact"/>
        <w:rPr>
          <w:sz w:val="24"/>
          <w:szCs w:val="24"/>
          <w:color w:val="auto"/>
        </w:rPr>
      </w:pPr>
    </w:p>
    <w:p>
      <w:pPr>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73" w:lineRule="exact"/>
        <w:tabs>
          <w:tab w:leader="none" w:pos="7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1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2017, based upon the closing price of the common stock as reported by the NASDAQ Global Select Market on that date, was approximately $988.4 million.</w:t>
      </w:r>
    </w:p>
    <w:p>
      <w:pPr>
        <w:spacing w:after="0" w:line="6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number of shares outstanding of each of the issuer’s classes of common equity, as of February 16, 2018, was as follows: 239,373,301 shares of Common Stock, $0.001 par value.</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320"/>
        <w:spacing w:after="0" w:line="311" w:lineRule="auto"/>
        <w:rPr>
          <w:sz w:val="20"/>
          <w:szCs w:val="20"/>
          <w:color w:val="auto"/>
        </w:rPr>
      </w:pPr>
      <w:r>
        <w:rPr>
          <w:rFonts w:ascii="Arial" w:cs="Arial" w:eastAsia="Arial" w:hAnsi="Arial"/>
          <w:sz w:val="16"/>
          <w:szCs w:val="16"/>
          <w:color w:val="auto"/>
        </w:rPr>
        <w:t>Portions of the registrant’s Proxy Statement relating to its 2018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15"/>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gridSpan w:val="11"/>
          </w:tcPr>
          <w:p>
            <w:pPr>
              <w:jc w:val="center"/>
              <w:ind w:right="4740"/>
              <w:spacing w:after="0" w:line="189"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42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7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8">
              <w:r>
                <w:rPr>
                  <w:rFonts w:ascii="Arial" w:cs="Arial" w:eastAsia="Arial" w:hAnsi="Arial"/>
                  <w:sz w:val="18"/>
                  <w:szCs w:val="18"/>
                  <w:color w:val="0000FF"/>
                  <w:w w:val="80"/>
                </w:rPr>
                <w:t>Item 1A.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33">
              <w:r>
                <w:rPr>
                  <w:rFonts w:ascii="Arial" w:cs="Arial" w:eastAsia="Arial" w:hAnsi="Arial"/>
                  <w:sz w:val="18"/>
                  <w:szCs w:val="18"/>
                  <w:color w:val="0000FF"/>
                  <w:w w:val="80"/>
                </w:rPr>
                <w:t>Item 1B.</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Unresolved Staff Comments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98"/>
              </w:rPr>
              <w:t>Item 2.</w:t>
            </w:r>
          </w:p>
        </w:tc>
        <w:tc>
          <w:tcPr>
            <w:tcW w:w="560" w:type="dxa"/>
            <w:vAlign w:val="bottom"/>
          </w:tcPr>
          <w:p>
            <w:pPr>
              <w:spacing w:after="0"/>
              <w:rPr>
                <w:sz w:val="21"/>
                <w:szCs w:val="21"/>
                <w:color w:val="auto"/>
              </w:rPr>
            </w:pP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752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47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5.</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956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Item 7.</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48">
              <w:r>
                <w:rPr>
                  <w:rFonts w:ascii="Arial" w:cs="Arial" w:eastAsia="Arial" w:hAnsi="Arial"/>
                  <w:sz w:val="18"/>
                  <w:szCs w:val="18"/>
                  <w:color w:val="0000FF"/>
                  <w:w w:val="80"/>
                </w:rPr>
                <w:t>Item 7A.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8.</w:t>
              </w:r>
            </w:hyperlink>
          </w:p>
        </w:tc>
        <w:tc>
          <w:tcPr>
            <w:tcW w:w="56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Financial Statements and Supplementary Data</w:t>
              </w:r>
            </w:hyperlink>
          </w:p>
        </w:tc>
        <w:tc>
          <w:tcPr>
            <w:tcW w:w="52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Item 9.</w:t>
              </w:r>
            </w:hyperlink>
          </w:p>
        </w:tc>
        <w:tc>
          <w:tcPr>
            <w:tcW w:w="9560" w:type="dxa"/>
            <w:vAlign w:val="bottom"/>
            <w:gridSpan w:val="2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93">
              <w:r>
                <w:rPr>
                  <w:rFonts w:ascii="Arial" w:cs="Arial" w:eastAsia="Arial" w:hAnsi="Arial"/>
                  <w:sz w:val="18"/>
                  <w:szCs w:val="18"/>
                  <w:color w:val="0000FF"/>
                  <w:w w:val="80"/>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w w:val="88"/>
              </w:rPr>
            </w:pPr>
            <w:hyperlink w:anchor="page93">
              <w:r>
                <w:rPr>
                  <w:rFonts w:ascii="Arial" w:cs="Arial" w:eastAsia="Arial" w:hAnsi="Arial"/>
                  <w:sz w:val="18"/>
                  <w:szCs w:val="18"/>
                  <w:color w:val="0000FF"/>
                  <w:w w:val="88"/>
                </w:rPr>
                <w:t>Controls and Procedures</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94">
              <w:r>
                <w:rPr>
                  <w:rFonts w:ascii="Arial" w:cs="Arial" w:eastAsia="Arial" w:hAnsi="Arial"/>
                  <w:sz w:val="18"/>
                  <w:szCs w:val="18"/>
                  <w:color w:val="0000FF"/>
                  <w:w w:val="80"/>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92</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PART III</w:t>
              </w:r>
            </w:hyperlink>
          </w:p>
        </w:tc>
        <w:tc>
          <w:tcPr>
            <w:tcW w:w="46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4">
              <w:r>
                <w:rPr>
                  <w:rFonts w:ascii="Arial" w:cs="Arial" w:eastAsia="Arial" w:hAnsi="Arial"/>
                  <w:sz w:val="18"/>
                  <w:szCs w:val="18"/>
                  <w:color w:val="0000FF"/>
                  <w:w w:val="82"/>
                </w:rPr>
                <w:t>Item 10.</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Directors, Executive Officers and Corporate Governance</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4">
              <w:r>
                <w:rPr>
                  <w:rFonts w:ascii="Arial" w:cs="Arial" w:eastAsia="Arial" w:hAnsi="Arial"/>
                  <w:sz w:val="18"/>
                  <w:szCs w:val="18"/>
                  <w:color w:val="0000FF"/>
                  <w:w w:val="82"/>
                </w:rPr>
                <w:t>Item 11.</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Executive Compensation</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92</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4">
              <w:r>
                <w:rPr>
                  <w:rFonts w:ascii="Arial" w:cs="Arial" w:eastAsia="Arial" w:hAnsi="Arial"/>
                  <w:sz w:val="18"/>
                  <w:szCs w:val="18"/>
                  <w:color w:val="0000FF"/>
                  <w:w w:val="82"/>
                </w:rPr>
                <w:t>Item 12.</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92</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5">
              <w:r>
                <w:rPr>
                  <w:rFonts w:ascii="Arial" w:cs="Arial" w:eastAsia="Arial" w:hAnsi="Arial"/>
                  <w:sz w:val="18"/>
                  <w:szCs w:val="18"/>
                  <w:color w:val="0000FF"/>
                  <w:w w:val="82"/>
                </w:rPr>
                <w:t>Item 13.</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93</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5">
              <w:r>
                <w:rPr>
                  <w:rFonts w:ascii="Arial" w:cs="Arial" w:eastAsia="Arial" w:hAnsi="Arial"/>
                  <w:sz w:val="18"/>
                  <w:szCs w:val="18"/>
                  <w:color w:val="0000FF"/>
                  <w:w w:val="82"/>
                </w:rPr>
                <w:t>Item 14.</w:t>
              </w:r>
            </w:hyperlink>
          </w:p>
        </w:tc>
        <w:tc>
          <w:tcPr>
            <w:tcW w:w="560" w:type="dxa"/>
            <w:vAlign w:val="bottom"/>
          </w:tcPr>
          <w:p>
            <w:pPr>
              <w:spacing w:after="0"/>
              <w:rPr>
                <w:sz w:val="21"/>
                <w:szCs w:val="21"/>
                <w:color w:val="auto"/>
              </w:rPr>
            </w:pPr>
          </w:p>
        </w:tc>
        <w:tc>
          <w:tcPr>
            <w:tcW w:w="5400" w:type="dxa"/>
            <w:vAlign w:val="bottom"/>
            <w:gridSpan w:val="2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Principal Accountant Fees and Services</w:t>
              </w:r>
            </w:hyperlink>
          </w:p>
        </w:tc>
        <w:tc>
          <w:tcPr>
            <w:tcW w:w="416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13"/>
          </w:tcPr>
          <w:p>
            <w:pPr>
              <w:jc w:val="center"/>
              <w:ind w:right="4660"/>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IV</w:t>
              </w:r>
            </w:hyperlink>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5">
              <w:r>
                <w:rPr>
                  <w:rFonts w:ascii="Arial" w:cs="Arial" w:eastAsia="Arial" w:hAnsi="Arial"/>
                  <w:sz w:val="18"/>
                  <w:szCs w:val="18"/>
                  <w:color w:val="0000FF"/>
                  <w:w w:val="82"/>
                </w:rPr>
                <w:t>Item 15.</w:t>
              </w:r>
            </w:hyperlink>
          </w:p>
        </w:tc>
        <w:tc>
          <w:tcPr>
            <w:tcW w:w="560" w:type="dxa"/>
            <w:vAlign w:val="bottom"/>
          </w:tcPr>
          <w:p>
            <w:pPr>
              <w:spacing w:after="0"/>
              <w:rPr>
                <w:sz w:val="21"/>
                <w:szCs w:val="21"/>
                <w:color w:val="auto"/>
              </w:rPr>
            </w:pPr>
          </w:p>
        </w:tc>
        <w:tc>
          <w:tcPr>
            <w:tcW w:w="4200" w:type="dxa"/>
            <w:vAlign w:val="bottom"/>
            <w:gridSpan w:val="1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Exhibits and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6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93</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5">
              <w:r>
                <w:rPr>
                  <w:rFonts w:ascii="Arial" w:cs="Arial" w:eastAsia="Arial" w:hAnsi="Arial"/>
                  <w:sz w:val="18"/>
                  <w:szCs w:val="18"/>
                  <w:color w:val="0000EE"/>
                  <w:w w:val="82"/>
                </w:rPr>
                <w:t>Item 16.</w:t>
              </w:r>
            </w:hyperlink>
          </w:p>
        </w:tc>
        <w:tc>
          <w:tcPr>
            <w:tcW w:w="56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640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All references in this Annual Report on Form 10-K to “Amkor,” “we,” “us,” “our” or the “company” are to Amkor Technology, Inc. and its subsidiaries. We refer to the Republic of Korea, which is also commonly known as South Korea, as “Korea”. All references to "J-Devices", "Toshiba" and "Qualcomm" are to J-Devices Corporation, our wholly owned subsidiary in Japan, Toshiba Corporation and Qualcomm Incorporated, respectively. We also refer to our new factory and research and development facility in Incheon, Korea as "K5". Amounts preceded by ¥ are in Japanese yen, and amounts preceded by ₩ are in Korean won. Amkor</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Amkor Technology</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ChipArray</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FusionQuad</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J-Devices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Micro</w:t>
      </w:r>
      <w:r>
        <w:rPr>
          <w:rFonts w:ascii="Arial" w:cs="Arial" w:eastAsia="Arial" w:hAnsi="Arial"/>
          <w:sz w:val="17"/>
          <w:szCs w:val="17"/>
          <w:color w:val="auto"/>
        </w:rPr>
        <w:t>LeadFrame</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TMV</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SWIFT</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and SLIM</w:t>
      </w:r>
      <w:r>
        <w:rPr>
          <w:rFonts w:ascii="Arial" w:cs="Arial" w:eastAsia="Arial" w:hAnsi="Arial"/>
          <w:sz w:val="24"/>
          <w:szCs w:val="24"/>
          <w:color w:val="auto"/>
          <w:vertAlign w:val="superscript"/>
        </w:rPr>
        <w:t>TM</w:t>
      </w:r>
      <w:r>
        <w:rPr>
          <w:rFonts w:ascii="Arial" w:cs="Arial" w:eastAsia="Arial" w:hAnsi="Arial"/>
          <w:sz w:val="17"/>
          <w:szCs w:val="17"/>
          <w:color w:val="auto"/>
        </w:rPr>
        <w:t>, among others, are trademarks of Amkor Technology, Inc. All other trademarks appearing herein are held by their respective owners. Subsequent use of the above trademarks in this report may occur without the respective superscript symbol (</w:t>
      </w:r>
      <w:r>
        <w:rPr>
          <w:rFonts w:ascii="Arial" w:cs="Arial" w:eastAsia="Arial" w:hAnsi="Arial"/>
          <w:sz w:val="24"/>
          <w:szCs w:val="24"/>
          <w:color w:val="auto"/>
          <w:vertAlign w:val="superscript"/>
        </w:rPr>
        <w:t>®</w:t>
      </w:r>
      <w:r>
        <w:rPr>
          <w:rFonts w:ascii="Arial" w:cs="Arial" w:eastAsia="Arial" w:hAnsi="Arial"/>
          <w:sz w:val="17"/>
          <w:szCs w:val="17"/>
          <w:color w:val="auto"/>
        </w:rPr>
        <w:t xml:space="preserve">and </w:t>
      </w:r>
      <w:r>
        <w:rPr>
          <w:rFonts w:ascii="Arial" w:cs="Arial" w:eastAsia="Arial" w:hAnsi="Arial"/>
          <w:sz w:val="24"/>
          <w:szCs w:val="24"/>
          <w:color w:val="auto"/>
          <w:vertAlign w:val="superscript"/>
        </w:rPr>
        <w:t>TM</w:t>
      </w:r>
      <w:r>
        <w:rPr>
          <w:rFonts w:ascii="Arial" w:cs="Arial" w:eastAsia="Arial" w:hAnsi="Arial"/>
          <w:sz w:val="17"/>
          <w:szCs w:val="17"/>
          <w:color w:val="auto"/>
        </w:rPr>
        <w:t>) in order to facilitate the readability of the report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2018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devices and our technology leadership and potential growth in this market, (18) our expected forfeiture rate for outstanding stock options and restricted shares, (19) our expected rate of return for pension plan assets, and (20)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 Item 1A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services are designed to meet application and chip specific requirements including the required type of interconnect technology; size; thickness and electrical, mechanical and thermal performance. We are able to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our services to integrated device manufacturers (“IDMs”), “fabless” semiconductor companies and contract foundries. IDMs generally design, manufacture, package and test semiconductors in their own facilities. However, the availability of technologically advanced outsourced manufacturing services has encouraged IDMs to outsource a portion of their manufacturing. Fabless semiconductor companies do not have factories and focus exclusively on the semiconductor design process and outsource virtually every step of the manufacturing process. Fabless semiconductor companies utilize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Our fabless customers include: Broadcom Limited, Qualcomm Incorporated and Socionext Inc. Our contract foundry customers include: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Inc. and Taiwan Semiconductor Manufacturing Company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Amkor files annual, quarterly and current reports, proxy statements and other information with the U.S. Securities and Exchange Commission (the “SEC”). You may read and copy any document we file at the SEC’s Public Reference Room, 100 F Street, NE, Washington, D.C. 20549. Please call the SEC at 1-800-SEC-0330 for information on the Public Reference Room. The SEC maintains a website that contains annual, quarterly and current reports, proxy statements and other information that issuers (including Amkor) file electronically with the SEC. The SEC’s website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Amkor’s website is </w:t>
      </w:r>
      <w:r>
        <w:rPr>
          <w:rFonts w:ascii="Arial" w:cs="Arial" w:eastAsia="Arial" w:hAnsi="Arial"/>
          <w:sz w:val="18"/>
          <w:szCs w:val="18"/>
          <w:i w:val="1"/>
          <w:iCs w:val="1"/>
          <w:color w:val="auto"/>
        </w:rPr>
        <w:t>https://www.amkor.com.</w:t>
      </w:r>
      <w:r>
        <w:rPr>
          <w:rFonts w:ascii="Arial" w:cs="Arial" w:eastAsia="Arial" w:hAnsi="Arial"/>
          <w:sz w:val="18"/>
          <w:szCs w:val="18"/>
          <w:color w:val="auto"/>
        </w:rPr>
        <w:t xml:space="preserve"> Amkor makes available, free of charge, through its website, our annual reports on Form 10-K; quarterly reports on Form 10-Q; current reports on Form 8-K; Forms 3, 4 and 5 filed on behalf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Semiconductor devices are the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7" w:lineRule="exact"/>
        <w:rPr>
          <w:sz w:val="20"/>
          <w:szCs w:val="20"/>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increasing demand for mobile and internet-connected devices, including the world-wide adoption of “smart” phones, tablets and other consumer electronic devices that can access the internet and provide multimedia capabilities.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mobility and connectivity capabilities and growing digital content driving demand for new broadband wired and wireless networking equipment.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proliferation of semiconductor devices into well-established end products such as automotive systems due to increased use of electronics for safety, navigation, fuel efficiency, emission reduction and entertainment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overall increase in the semiconductor content within electronic products to provide greater functionality and higher levels of performance.</w:t>
      </w:r>
    </w:p>
    <w:p>
      <w:pPr>
        <w:spacing w:after="0" w:line="182"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of advanced System-in-Package ("SiP") modules where multiple semiconductor and other electronic components with different functionalities are combined into a single package. The increasing demand for miniaturization and higher functionality at competitive cost is driving the adoption of advanced SiP in new products. Advanced SiPs are the primary vehicle for package-level integration, which allow customers to combine ICs from different silicon nodes and different foundries.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supplier in the semiconductor industry, our business is cyclical by nature and impacted by broad economic factors, such as world-wide gross domestic product and consumer spending. Historical trends indicate there has been a strong correlation between world-wide gross domestic product levels, consumer spending and semiconductor industry cycles.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Trends in Semiconductor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Semiconductor companies outsource their packaging and test needs to service providers such as Amkor for the following reasons: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have developed expertise in advanced technologies.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and customized. This trend has led many semiconductor companies and OEMs to view packaging and test as enabling technologies requiring the kind of leading-edge expertise for technological innovation found in the leading outsourced assembly and test companies. At the same time, these companies are often looking to reduce the internal manufacturing and research and development costs in packaging and test. As a result, many of these companies are increasingly relying on packaging and test service providers as key sources for new package designs and advanced interconnect technologies.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offer a cost effective solution in a highly cyclical, capital intensive industry.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resources. As a result of this cyclicality and the large investments required, manufacturing facilities must operate at consistently high levels of utilization to be cost effective. Shorter product life cycles, coupled with the need to update or replace packaging and test equipment to accommodate new package types, make it more difficult for integrated semiconductor companies to maintain cost effective utilization of their packaging and test assets throughout semiconductor industry cycles. Packaging and test service providers, on the other hand, can typically use their assets to support a broad range of customers, potentially generating more efficient use of their production assets and a more cost effective solution.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can facilitate a more efficient supply chain and help shorten time-to-market for new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semiconductor companies, together with their customers, are seeking to shorten the time-to-market for their new products, and that having an effective supply chain is a critical factor in facilitating timely and successful product introductions. Packaging and test service providers have the resources and expertise to timely develop their capabilities and implement new packaging technology in volume. For this reason, semiconductor companies and OEMs are leveraging the capabilities of packaging and test service providers to deliver their new products to market more quickly.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quality packaging and test service providers enable semiconductor manufacturers to focus their resources on semiconductor design and wafer fabrication.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semiconductor process technology migrates to larger wafers and smaller feature sizes, the cost of building a state-of-the-art wafer fabrication factory has risen significantly and can now be several billions of dollars.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packaging and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goals are sales growth and improved profitability, and we are focusing on the following strategies to achieve these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Investment in Services for Advanced Technologies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An important factor for success in the advanced packaging and test area is to generate reasonably quick returns on investments made in support of customers seeking leading-edge technologies.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we have made significant investments in state-of-the-art facilities and equipment to provide services for the industry’s most complex devices. With approximately 600 employees engaged in research and development of new semiconductor packaging and test technologies, we are a technology leader in areas such as fine pitch bumping, advanced flip chip and wafer-level processing. During 2017, we had success capitalizing on our advanced technology to achieve design wins and new product introductions in areas such as chips fabricated at 10, 14 and 16 nanometer geometries; advanced SiP products including radio frequency ("RF"), front end modules and micro-electro-mechanical systems ("MEMS") devices; and wafer-level Chip Scale Packaging ("CSP") and wafer-level fan-out packages.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work closely with our customers to develop cost-effective leading-edge packages for the next generation of devices, and we are making substantial progress in a number of areas. These include integrated technologies such as advanced SiP,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wafer-level fan-out, and Silicon Wafer Integrated Fan-out Technology ("SWIFT") solutions which enable very thin, very small products combining application processors, memory, baseband and other peripheral integrated circuits ("ICs"). They also include packages utilizing Through Silicon Via ("TSV") interconnects and silicon interposers which enable the integration of high performance chips such as high bandwidth memory and graphics processors into a single package.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advanced packaging services will continue to grow as our customers and leading electronics OEMs strive for smaller device geometries, higher levels of speed and performance and lower power consumption. We intend to continue to leverage our investment in advanced technology to meet the demand for these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Utilization of Existing Assets and Broaden Our Customer Base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Another key to our success is to improve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more effectively utilize these assets over a longer period of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we are devoting substantial resources to increasing our sales to Chinese and Taiwanese fabless chip companies which have a significant portion of the fast-growing mid-tier and entry-level segments of the mobile device market where much of the growth is occurring.</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key element of our Greater China strategy is our world-class factory in Shanghai. In 2016, we expanded our clean room space at this facility by nearly 45%, to a total of about 625,000 square feet. Our Shanghai facility serves both international and local customers, with a heavy emphasis on wafer-level packaging, wafer bumping, stacked die packaging and advanced test services.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expanded Shanghai facility houses Qualcomm Communication Technologies (Shanghai) Co. Ltd., Qualcomm’s new semiconductor test facility. This new test center combines Amkor’s extensive test services experience and state-of-the-art cleanroom facilities with Qualcomm's industry leadership in cutting-edge product engineering and development. The co-location of the test center at our Shanghai factory helps to strengthen our close business relationship with a key customer.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completed our factory consolidation efforts in Japan in 2017. We closed multiple factories and transferred the business to other Japanese facilities. We believe that this consolidation will better align our manufacturing footprint with the demand environment and reduce our fixed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Balanced Growth</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growth is a significant objective for Amkor. We strive to grow in a balanced way and avoid over-reliance on any single market or customer. Our goal is to achieve more consistent financial performance through all phases of the business cycle. Our balanced growth strategy has four components, as follows:</w:t>
      </w:r>
    </w:p>
    <w:p>
      <w:pPr>
        <w:spacing w:after="0" w:line="124" w:lineRule="exact"/>
        <w:rPr>
          <w:sz w:val="20"/>
          <w:szCs w:val="20"/>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First, we are increasing our revenue in markets other than smartphones and tablets, such as automotive, which now drives approximately 26% of Amkor's total revenue. Revenue from these markets tends to be more stable, with less pronounced highs and lows from year to year. Sales in these other markets now account for 57% of our overall revenue, up from 47% in 2015, prior to the acquisition of J-Devices.</w:t>
      </w:r>
    </w:p>
    <w:p>
      <w:pPr>
        <w:spacing w:after="0" w:line="111"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Second, we are expanding our customer base in the smartphone and tablet market, primarily by engaging with fabless companies in Greater China. This allows us to more fully utilize our existing assets and broadens our participation in all tiers of the mobile device market.</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we continue to make share gains in the iOS and high-end Android ecosystems, leveraging our expertise in advanced SiP, MEMS and other advanced packages to expand our content in flagship phones.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Finally, we are focused on building and utilizing manufacturing lines which support multiple customers, and increasing factory utilization through more sophisticated planning processes and more intensive efficiency improvement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Grow Our Scale and Scope through Strategic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see attractive opportunities to grow our customer base and expand markets through strategic investments. For example, in 2017 we completed the acquisition of Nanium, S.A. ("Nanium"), a provider of wafer-level fan-out semiconductor packaging solutions. We believe that this acquisition strengthens our position in the market for wafer-level packaging. In 2015 we completed the acquisition of 100% of J-Devices, our outsourced semiconductor assembly and test ("OSAT") joint venture in Japan. We believe that with this acquisition we are the largest OSAT by revenue for the automotive market, with over $1 billion in automotive-based revenues in 2017. In addition, Renesas agreed to transfer most of its Singapore-based automotive microcontroller production to J-Devices’ factories. That transfer began in 2015 and was completed in 2016.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selective growth through joint ventures, acquisitions and other strategic investments can help diversify our revenue streams, improve our profits and maintain our technological leadership.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allow us to build upon our industry position and to remain one of the preferred providers of semiconductor packaging and test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Technology Innovator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leader in developing and deploying advanced semiconductor packaging and test solutions. We have designed and developed several state-of-the-art package formats and technologies including our Package-on-Package (“PoP”) platform with Through Mold Via (“TMV”) technology, molded embedded packages, FusionQuad, flip chip ball grid array, multi-chip modules with a silicon interposer placed between the module chips and substrate, copper pillar bumping and fine pitch copper pillar flip chip packaging technologies. In addition, we believe that as semiconductor technology continues to achieve smaller device geometries with higher levels of speed and performance, packages will increasingly require wafer-level chip scale packaging, wafer-level fan-out, SWIFT and flip chip interconnect solutions and advanced SiP products. We have been investing in our technology leadership in these packaging technologies. We have also been a leader in developing environmentally friendly IC packaging, which involves the elimination of lead and certain other materials.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semiconductor industry is now in a period of packaging development where integrated wafer-level fan-out and TSV interconnect technologies will be used to create the next generation of advanced packages. We continue to invest in developing the key processes and packaging and test technologies required for our customers to deliver advanced integrated and modular solutions to market. We are a leader in wafer thinning, micro-bumping, die stacking, hybrid packaging and TSV-based flip chip innovation.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Relationships and Collaboration with Prominent Semiconductor Companies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most of the world’s largest semiconductor companies and over the last four decades, we have developed long-standing relationships with many of these companies. We believe that our production excellence has been a key factor in our success in attracting and retaining customers. We work with our customers and our suppliers to develop proprietary process technologies to enhance our existing capabilities, reduce time-to-market, increase quality and lower costs.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our focus on research and product development will enable us to enter new markets early, capture market share and promote the adoption of our new package designs as industry standards. We collaborate with customers and leading OEMs to develop comprehensive packaging solutions that make it easier for next-generation semiconductors to be designed into next-generation end products. By collaborating with leading semiconductor companies and OEM electronic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we gain access to technology roadmaps for next generation semiconductor designs and obtain the opportunity to develop new packages that satisfy their future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 Offering of Semiconductor Package Design, Packaging and Test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Creating successful interconnect solutions for advanced semiconductor devices often poses unique thermal, electrical and mechanical design challenges, and we employ a large number of engineers to solve these challenges. We provide services for a wide variety of products. This wide variety of packaging offerings is necessary to meet the diverse needs of our customers for the optimal combination of performance, size and cost attributes. Our solutions enable our customers to focus on semiconductor design and wafer fabrication while utilizing Amkor as their turnkey design, packaging and test services provider and, in many cases, their packaging technology innovator.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offer an extensive line of advanced probe and final test services for analog, digital, logic, mixed signal and RF semiconductor devices. We believe that the breadth of our design, packaging and test services is important to customers seeking to limit the number of their suppliers.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Diversified Operating Base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broad and geographically diversified operating footprint strategically located in seven countries in many of the world’s important electronics manufacturing regions. We believe that our scale and scope allow us to provide cost effective solutions to our customers by:</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capacity to absorb large orders and accommodate quick turn-around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favorable pricing on materials and equipment, where possible, by using our purchasing power and leading industry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Qualifying production of customer devices at multiple manufacturing sites to mitigate the risks of supply disruptions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capabilities and solutions for customer-specific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information about geographic areas, see Note 18 to our Consolidated Financial Statements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Cost Structure and Disciplined Capital Investment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 continuous push throughout the entire semiconductor supply chain for lower cost solutions. We work to maintain a competitive cost structure and make disciplined capital investment decisions so that we can provide cost-competitive solutions to our customers and achieve sustainable profitability and cash flow. Some of our cost control efforts have included: (1) improving the utilization of our existing assets; (2) developing new manufacturing methods to reduce processing costs; (3) utilizing flexible manufacturing lines that can accommodate a variety of products and customers; (4) increasing strip densities to drive higher throughput; (5) implementing more cost-effective materials; (6) utilizing our scale to drive world-wide purchasing leverage and (7) increasing labor productivity.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in a cyclical industry. During an industry downturn we seek to reduce our costs and drive greater factory and administrative efficiencies. Cost control efforts can include reducing labor costs by temporarily lowering compensation, reducing employee and contractor headcount, shortening work weeks and obtaining labor-related foreign government subsidies where available.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AND TEST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Semiconductor Manufacturing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semiconductor manufacturing process consists of IC design, wafer fabrication, wafer probe, packaging and final test.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Integrated circuit design involves the laying out of electronic components, such as transistors, resistors, capacitors and the metallic interconnect of these components, to achieve the desired device functionality. Wafer fabrication is a multiple-step sequence of photolithographic and chemical processing steps during which the IC's are gradually created on semiconductor material, typically a silicon wafer. Individual IC's are generally known as a “chip” or “die”, and a single wafer will contain many die. Wafers are fabricated by two types of companies - IDMs which design and fabricate wafers using their own in-house manufacturing facilities, and contract foundries which manufacture wafers that are designed by fabless companies or other customers.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packaging and test services we provide occur subsequent to wafer fabrication. The wafers that we receive from our customers are generally consigned to us; we do not own the consigned wafers or record their value in our financial statements. During wafer probe, each individual die is electrically tested, or probed, for defects. Packaging is the processing of bare die to facilitate electrical connections and heat dissipation and protect the die. The wafer is separated into individual die. Each good die is then assembled into a package that typically encapsulates the die for protection and creates the electrical connections used to connect the package to a printed circuit board, module or other part of the electronic device. In some packages, chips are attached to a substrate or leadframe carrier through wirebonding or flip chip interconnects and then encased in a protective material. Or, for a wafer-level package, the electrical interconnections are created directly on the surface of the die so that the chip may be attached directly to other parts of an electronic device without a substrate or leadframe. The packages are then tested using sophisticated equipment to ensure that each packaged chip meets its design and performance specifications.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and Test Technologies and Processes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employ wirebond, flip chip, copper clip and other interconnect technologies. We use leadframe and substrate package carriers, and we perform a variety of test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Interconnect Technologies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Wirebond: </w:t>
      </w:r>
      <w:r>
        <w:rPr>
          <w:rFonts w:ascii="Arial" w:cs="Arial" w:eastAsia="Arial" w:hAnsi="Arial"/>
          <w:sz w:val="18"/>
          <w:szCs w:val="18"/>
          <w:color w:val="auto"/>
        </w:rPr>
        <w:t>In packages that employ wirebond interconnect technology, the die is mounted face up on the package carrier and the interconnections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die and package carrier are made through very fine gold, silver or copper wires which are attached from the bond pads of the die to the package carrier. The interconnections are placed along the perimeter of the die. Wirebonding is generally considered to be the most cost-effective and flexible interconnect technology and is used to assemble the majority of semiconductor packages.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Flip Chip: </w:t>
      </w:r>
      <w:r>
        <w:rPr>
          <w:rFonts w:ascii="Arial" w:cs="Arial" w:eastAsia="Arial" w:hAnsi="Arial"/>
          <w:sz w:val="17"/>
          <w:szCs w:val="17"/>
          <w:color w:val="auto"/>
        </w:rPr>
        <w:t>In packages that employ flip chip interconnect technology, the interconnections between the die and package carrier are made through conductive</w:t>
      </w:r>
      <w:r>
        <w:rPr>
          <w:rFonts w:ascii="Arial" w:cs="Arial" w:eastAsia="Arial" w:hAnsi="Arial"/>
          <w:sz w:val="17"/>
          <w:szCs w:val="17"/>
          <w:i w:val="1"/>
          <w:iCs w:val="1"/>
          <w:color w:val="auto"/>
        </w:rPr>
        <w:t xml:space="preserve"> </w:t>
      </w:r>
      <w:r>
        <w:rPr>
          <w:rFonts w:ascii="Arial" w:cs="Arial" w:eastAsia="Arial" w:hAnsi="Arial"/>
          <w:sz w:val="17"/>
          <w:szCs w:val="17"/>
          <w:color w:val="auto"/>
        </w:rPr>
        <w:t>“bumps” that are placed directly on the die surface utilizing a process called wafer bumping. The bumped die is then “flipped over” and placed face down, with the bumps connecting directly to the package carrier. Flip chip allows a higher number of interconnects than wirebond as it uses the entire surface area of the die, and sometimes the perimeter as well, instead of just the perimeter as used by most wirebond packages. Flip chip also provides enhanced thermal and electrical performance, and enables smaller die and thinner, smaller form factors (or physical package dimensions).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wafer bumping process consists of preparing the wafer for bumping and forming or placing the bumps. Preparation may include cleaning, removing insulating oxides and providing a pad metallurgy that will protect the interconnections while making good mechanical and electrical connection between the bump and the wafer.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Copper Clip</w:t>
      </w:r>
      <w:r>
        <w:rPr>
          <w:rFonts w:ascii="Arial" w:cs="Arial" w:eastAsia="Arial" w:hAnsi="Arial"/>
          <w:sz w:val="18"/>
          <w:szCs w:val="18"/>
          <w:color w:val="auto"/>
        </w:rPr>
        <w:t>: Copper clip interconnect technology uses a solid copper bridge or “clip” to connect the die to the package carrier. The clip allows a higher level</w:t>
      </w:r>
      <w:r>
        <w:rPr>
          <w:rFonts w:ascii="Arial" w:cs="Arial" w:eastAsia="Arial" w:hAnsi="Arial"/>
          <w:sz w:val="18"/>
          <w:szCs w:val="18"/>
          <w:i w:val="1"/>
          <w:iCs w:val="1"/>
          <w:color w:val="auto"/>
        </w:rPr>
        <w:t xml:space="preserve"> </w:t>
      </w:r>
      <w:r>
        <w:rPr>
          <w:rFonts w:ascii="Arial" w:cs="Arial" w:eastAsia="Arial" w:hAnsi="Arial"/>
          <w:sz w:val="18"/>
          <w:szCs w:val="18"/>
          <w:color w:val="auto"/>
        </w:rPr>
        <w:t>of current flow than a wire and also provides a better method of heat transfer from the die. The clip is either spot welded, or more often re-flow soldered, to the die pads and the package carrier pads.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Package Carriers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Leadframe: </w:t>
      </w:r>
      <w:r>
        <w:rPr>
          <w:rFonts w:ascii="Arial" w:cs="Arial" w:eastAsia="Arial" w:hAnsi="Arial"/>
          <w:sz w:val="17"/>
          <w:szCs w:val="17"/>
          <w:color w:val="auto"/>
        </w:rPr>
        <w:t>A leadframe is a miniature sheet of metal, generally made of copper and silver alloys, on which a pattern of electrical connections (or “leads”)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cut. The leads are generally placed around the perimeter of the leadframe and are used to connect the package to the system board. The number of leads on an individual leadframe is limited as electrical shorting can occur if the leads are placed too close together.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Substrate: </w:t>
      </w:r>
      <w:r>
        <w:rPr>
          <w:rFonts w:ascii="Arial" w:cs="Arial" w:eastAsia="Arial" w:hAnsi="Arial"/>
          <w:sz w:val="17"/>
          <w:szCs w:val="17"/>
          <w:color w:val="auto"/>
        </w:rPr>
        <w:t>A substrate is a laminate of either single or multiple layers of epoxy resin, woven glass fibers and metal conductors. Solder bumps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connection to the system board. The bumps are typically distributed evenly across the bottom surface of the substrate (called a “ball grid array” format). This allows less distance between individual leads and a higher number of interconnects than leadframe packages.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Services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provides a complete range of semiconductor testing services including wafer testing or probe and final test. We offer a full range of test software, hardware, integration and product engineering services, and we support a range of business models and test capabilities. Substantially all of our test business is derived from testing packages that we assemble.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Wafer Test Services: </w:t>
      </w:r>
      <w:r>
        <w:rPr>
          <w:rFonts w:ascii="Arial" w:cs="Arial" w:eastAsia="Arial" w:hAnsi="Arial"/>
          <w:sz w:val="16"/>
          <w:szCs w:val="16"/>
          <w:color w:val="auto"/>
        </w:rPr>
        <w:t>Wafer test, also referred to as wafer probe, is performed after wafer fabrication or wafer bumping to screen out defective devices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We offer a range of wafer test coverage that can be tailored based on the cost and complexity of the die, the package and the product. These services range from coarse level screening for major defects all the way up to probing at high digital speeds and can include full radio frequency transmit and receive as well as testing at multiple temperatures. Wafer testing can also involve a range of wafer mapping and inspection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Final Test Services: </w:t>
      </w:r>
      <w:r>
        <w:rPr>
          <w:rFonts w:ascii="Arial" w:cs="Arial" w:eastAsia="Arial" w:hAnsi="Arial"/>
          <w:sz w:val="18"/>
          <w:szCs w:val="18"/>
          <w:color w:val="auto"/>
        </w:rPr>
        <w:t>After the packaging process, final test is performed to ensure that the packaged device meets the customer’s requirements. Final test</w:t>
      </w:r>
      <w:r>
        <w:rPr>
          <w:rFonts w:ascii="Arial" w:cs="Arial" w:eastAsia="Arial" w:hAnsi="Arial"/>
          <w:sz w:val="18"/>
          <w:szCs w:val="18"/>
          <w:i w:val="1"/>
          <w:iCs w:val="1"/>
          <w:color w:val="auto"/>
        </w:rPr>
        <w:t xml:space="preserve"> </w:t>
      </w:r>
      <w:r>
        <w:rPr>
          <w:rFonts w:ascii="Arial" w:cs="Arial" w:eastAsia="Arial" w:hAnsi="Arial"/>
          <w:sz w:val="18"/>
          <w:szCs w:val="18"/>
          <w:color w:val="auto"/>
        </w:rPr>
        <w:t>spans a range of rigor and complexity depending on the device and end market application. More rigorous types of final test include testing multiple times under different electrical and temperature conditions and before and after device reliability stresses, such as burn-in. In addition to electrical testing, specialized solutions are required for packages that also process non-electric stimuli.</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electrical tests are a mix of functional, structural and system-level tests depending on the customer’s requirements and cost and reliability parameters. The electrical test equipment we use includes commercially available automated test equipment, customized and proprietary system level test equipment and innovative types of low cost test equipment developed by Amkor.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Products and Mainstream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offer a broad range of advanced and mainstream packaging and test services to our customers. We refer to our flip chip, wafer-level processing and related test services as “Advanced Products”, and our wirebond packaging and related test services as “Mainstream Products”. The following table sets forth, for the periods indicated, the amount of advanced and mainstream packaging and test net sales and the percentage of such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3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 millions, except percentage of net sales)</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4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2,214</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1,452</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r>
      <w:tr>
        <w:trPr>
          <w:trHeight w:val="27"/>
        </w:trPr>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began consolidating J-Devices in 2016 and approximately 90% of J-Devices' $913.7 million of net sales in 2016 were generated from Mainstream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Advanced Products include flip chip chip scale packages, wafer-level packages and flip chip ball grid array packages. These package families use flip chip interconnect technology so that the die can be connected to a substrate package carrier or, in the case of wafer-level chip scale packages, directly to a printed circuit board.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Flip Chip Chip Scale Package ("FC CSP") Products</w:t>
      </w:r>
      <w:r>
        <w:rPr>
          <w:rFonts w:ascii="Arial" w:cs="Arial" w:eastAsia="Arial" w:hAnsi="Arial"/>
          <w:sz w:val="18"/>
          <w:szCs w:val="18"/>
          <w:color w:val="auto"/>
        </w:rPr>
        <w:t>: FC CSP packages are small form factor packages where the substrate size is not much larger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die itself. The size advantage provided by chip scale packaging technologies has made FC CSP an attractive choice for a wide variety of applications that require very small form factors such as smartphones, tablets and other mobile consumer electronic devices.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Flip chip stacked chip scale packages ("FC SCSP") stack a second die on top of the original flip-chip die. The top die is typically a memory device, and wirebond interconnects are used to attach it to the substrate. FC SCSP is frequently used to stack memory on top of digital baseband and applications processors for use in mobile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drive thinner package solutions for our PoP technology through the development of ultra-thin substrates and enhancing our pre-stacking and thin die handling capabilities.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Flip Chip Ball Grid Array ("FC BGA") Products</w:t>
      </w:r>
      <w:r>
        <w:rPr>
          <w:rFonts w:ascii="Arial" w:cs="Arial" w:eastAsia="Arial" w:hAnsi="Arial"/>
          <w:sz w:val="16"/>
          <w:szCs w:val="16"/>
          <w:color w:val="auto"/>
        </w:rPr>
        <w:t>: FC BGA packages are large form factor substrate-based packages which are used where processing 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speed are needed, and small form factors are not required. Our FC BGA packages are assembled around state-of-the-art substrates. Utilizing multiple high density routing layers, laser drilled vias, and ultra-fine line and space metallization, FC BGA substrates have the highest routing density available. The variety of FC BGA package options allows package selection to be tailored to the specific thermal needs of the end product. We offer FC BGA packaging in a variety of product formats to fit a wide range of end application requirements, including networking, storage, computing and consumer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Wafer-level Package Products</w:t>
      </w:r>
      <w:r>
        <w:rPr>
          <w:rFonts w:ascii="Arial" w:cs="Arial" w:eastAsia="Arial" w:hAnsi="Arial"/>
          <w:sz w:val="18"/>
          <w:szCs w:val="18"/>
          <w:color w:val="auto"/>
        </w:rPr>
        <w:t>: We offer three types of wafer-level packages: Wafer-level CSP, wafer-level fan-out and SWIFT.</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We have seen significant growth in our wafer-level CSP business, driven largely by mobile communications. Applications for wafer-level CSP include power management, transceivers, sensors, wireless charging, codecs, and specialty silicon for new or unique functionality.</w:t>
      </w:r>
    </w:p>
    <w:p>
      <w:pPr>
        <w:spacing w:after="0" w:line="19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Wafer-level fan-out packages (also known as low-density fan-out packages) are utilized for ICs where the die surface area is too small to accommodate all of the bond pads. The fan-out package enlarges the bondable surface area by building a border around the die using low-cost molding compound. Wafer-level CSP and wafer-level fan-out are complementary technologies. Customers can choose between the two package types as their die sizes shrink or grow. With our recent acquisition of Nanium, we are now a leader in low-density fan-out technology.</w:t>
      </w:r>
    </w:p>
    <w:p>
      <w:pPr>
        <w:spacing w:after="0" w:line="17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Silicon Wafer Integrated Fan-out Technology ("SWIFT", also known as high-density fan-out) replaces a laminate substrate with a thinner structure. SWIFT solutions enable very thin, very small products combining application processors, memory, baseband and other peripheral 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Mainstream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Mainstream Products include leadframe packages, substrate-based wirebond packages and MEMS packages. These package families use wirebond interconnect technology to connect a die to a leadframe or substrate package carrier.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Leadframe Packages: </w:t>
      </w:r>
      <w:r>
        <w:rPr>
          <w:rFonts w:ascii="Arial" w:cs="Arial" w:eastAsia="Arial" w:hAnsi="Arial"/>
          <w:sz w:val="17"/>
          <w:szCs w:val="17"/>
          <w:color w:val="auto"/>
        </w:rPr>
        <w:t>Leadframe packages use wirebond or flip chip technology to interconnect a die to a leadframe package carrier. Leadframe packages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many electronic devices and remain the most practical and cost-effective solution for many low to medium pin count applications.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a process of continuous engineering and customization, we have designed several leadframe package types that are thinner and smaller than traditional leadframe packages, and which have the ability to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Arial" w:cs="Arial" w:eastAsia="Arial" w:hAnsi="Arial"/>
          <w:sz w:val="18"/>
          <w:szCs w:val="18"/>
          <w:i w:val="1"/>
          <w:iCs w:val="1"/>
          <w:color w:val="auto"/>
        </w:rPr>
        <w:t>Micro</w:t>
      </w:r>
      <w:r>
        <w:rPr>
          <w:rFonts w:ascii="Arial" w:cs="Arial" w:eastAsia="Arial" w:hAnsi="Arial"/>
          <w:sz w:val="18"/>
          <w:szCs w:val="18"/>
          <w:color w:val="auto"/>
        </w:rPr>
        <w:t>LeadFrame family of quad flat no lead packages.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Substrate-based Wirebond Packages</w:t>
      </w:r>
      <w:r>
        <w:rPr>
          <w:rFonts w:ascii="Arial" w:cs="Arial" w:eastAsia="Arial" w:hAnsi="Arial"/>
          <w:sz w:val="18"/>
          <w:szCs w:val="18"/>
          <w:color w:val="auto"/>
        </w:rPr>
        <w:t>: Substrate-based wirebond packages use wirebond technology to connect a die to a substrate. Some of our packages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stacked CSP, wirebond ball grid array packages and plastic ball grid array ("PBGA") packages.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including NAND, NOR and DRAM memory, and mixed signal applications.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Wirebond ball grid array packages offer a broad selection of ball array pitches, ball counts and body sizes, single and multi-die layouts, stacked die and passive component integration. They are applicable for a wide range of semiconductors requiring a smaller package size than conventional PBGAs or leadframe packages.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Plastic ball grid array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Micro-Electro-Mechanical Systems Packages</w:t>
      </w:r>
      <w:r>
        <w:rPr>
          <w:rFonts w:ascii="Arial" w:cs="Arial" w:eastAsia="Arial" w:hAnsi="Arial"/>
          <w:sz w:val="18"/>
          <w:szCs w:val="18"/>
          <w:color w:val="auto"/>
        </w:rPr>
        <w:t>: MEMS are miniaturized mechanical and electro-mechanical devices that can sense and provide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System-in-Package Modules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passive devices (inductors, capacitors, resistors, filters and diplexers), antennas and mechanical parts.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increasing demand for miniaturization and higher functionality at competitive cost is driving the adoption of advanced SiP in new products. Advanced SiP modules are used for many applications such as RF and front end modules, basebands, connectivity, fingerprint sensors, display and touch screen drivers, sensors and MEMS, NAND memory and solid state drives. Advanced SiP modules are found in many products including smartphones and tablets, automobiles, wearable electronics, high-performance gaming systems, computers and network systems.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and 2016, we had net sales of approximately $825 million and $775 million, respectively, from our advanced SiP modules which are included in either Advanced Products or Mainstream Products depending upon the interconnect technology used in the module.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lists the end markets that use our products and sets forth, for the periods indicated, the percentage of net sales in each end market. Based on our periodic evaluation of end markets, we aggregated our networking end market into our computing end market. All prior periods have been retrospectively recast to conform with current year presentation.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r>
      <w:tr>
        <w:trPr>
          <w:trHeight w:val="20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4"/>
              </w:rPr>
              <w:t xml:space="preserve">End Market Distribution Data </w:t>
            </w:r>
            <w:r>
              <w:rPr>
                <w:rFonts w:ascii="Arial" w:cs="Arial" w:eastAsia="Arial" w:hAnsi="Arial"/>
                <w:sz w:val="16"/>
                <w:szCs w:val="16"/>
                <w:color w:val="auto"/>
                <w:w w:val="94"/>
              </w:rPr>
              <w:t>(an approximation including representative devices and applications based on a sampling of</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our largest customers):</w:t>
            </w: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Communications (smart phones, tablets, handheld devices)</w:t>
            </w: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industrial and other (driver assist, infotainment, safety, performance)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Computing (data center, PC/laptops, infrastructure, storage)</w:t>
            </w: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(televisions, set-top boxes, personal electronics)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Total net sales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efforts focus on developing new packaging solutions and test services, and improving the efficiency and capabilities of our existing production processes. We believe that technology development is one of the keys to success in the semiconductor packaging and test industry. By concentrating our research and development on our customers’ needs for innovative packages, increased performance and lower cost, we gain opportunities to enter markets early, capture market share and promote our new package offerings as industry standards.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One of our top priorities is developing low-cost packaging solutions for the next generation of mobile devices, which minimize material and processing costs, while maximizing yields and reliability. This development effort is particularly important for customers seeking cost-effective alternatives to further silicon-level integration. Another important focus area is the development of wafer-level packages for larger chips. These wafer-level chip-scale packages and wafer-level fan-out (low density) packages are increasingly the preferred package type for many chips used in mobile devices. They provide a very low-profile product at a competitive cost. We are also developing integrated (high density) wafer-level fan-out solutions called SWIFT which enable very thin, very small products by combining application processors, memory, baseband and other peripheral IC’s into one packaged module. Through the use of die partitioning and heterogeneous die integration, these sub-system and system modules provide higher functionality at lower cost versus multi-package options.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employees are located throughout Asia and in the United States. In 2017, we had approximately 600 employees engaged in research and development activities. In 2017, 2016 and 2015, we incurred $166.6 million, $117.2 million and $82.0 million, respectively, of research and development expense. The 2017 increase was primarily due to development and other costs associated with our new K5 factory and research and development facility in Korea. In addition, the consolidation of J-Devices added $18.3 million in research and development expenses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have generally been higher in the second half of the year than in the first half due to the effect of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supply chain or overall demand in any of our end-markets can impact our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we had approximately 275 customers, including many of the largest semiconductor companies in the world. Our ten largest customers accounted for 67% of our net sales in 2017. Toshiba accounted for more than 10% of our net sales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materials are used primarily for packaging activities. Our packaging operations depend upon obtaining adequate supplies of materials on a timely basis. The principal materials used in our packaging process are leadframes, laminate substrates, gold and copper wire, mold compound, epoxy, tubes and trays. The silicon wafer is generally consigned from the customer. We do not take ownership of the customer consigned wafer, and title and risk of loss remains with the customer for these materials. Test materials constitute a very small portion of our total test cost. We purchase materials based on customer forecasts, and our customers are generally responsible for any unused materials which we purchased based on such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 the materials required for packaging services from various suppliers. We source most of our materials, including critical materials such as leadframes, laminate substrates and gold wire, from a limited group of suppliers. We work closely with our primary material suppliers in an effort to ensure consistent quality and that materials are available and delivered on time. We also negotiate world-wide pricing agreements with our major suppliers to take advantage of the scale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types of equipment used in providing our packaging services are wirebonders and die bonders. In addition, we maintain a variety of other packaging equipment, including mold, singulation, die attach, ball attach and wafer backgrind, along with numerous other types of manufacturing equipment. A substantial portion of our packaging equipment base can generally be used and adapted to support the manufacture of many of our packages through the use of relatively low cost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tooling, although equipment used in advanced packaging can be more difficult to redeploy than equipment used in traditional wirebond packaging.</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purchase wafer bumping equipment to facilitate our flip chip and wafer level packaging services. Wafer bump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primary equipment used in the testing process includes testers, handlers and probers. Handlers are used to transfer individual or small groups of packaged IC's to a tester. Test equipment is generally a more capital intensive portion of the process and tends to have longer delivery lead times than most types of packaging equipment. We focus our capital expenditures on standardized tester platforms in order to maximize test equipment utilization where possible. In some cases, our customers will consign test equipment to us. In those cases, we operate the equipment on their behalf but do not own 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packaging process uses chemicals, materials and gases and generates byproducts that are subject to extensive governmental regulations. For example,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The usage of lead (Pb) has decreased over the past few years, as we have ramped volume production of alternative lead (Pb)-free processes. Our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semiconductor packaging and test industry and may require additional capital investment.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engaged in a continuing program to assure compliance with federal, state and local environmental laws and regulations. We do not expect that capital expenditures or other costs attributable to compliance with environmental laws and regulations will have a material adverse effect on our business, liquidity, results of operations, financial condition or cash flows.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committed to sound and responsible environmental practices in conducting our business. We are an active member of the Responsible Business Alliance (formerly known as the Electronics Industry Citizenship Coalition, or "EICC"), the largest industry organization dedicated to supply chain responsibility. We also continuously engage with our customers and suppliers to improve the sustainability of our operations around the world.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Advanced Semiconductor Engineering, Inc., Siliconware Precision Industries Co., Ltd. and Jiangsu Changjiang Electronics Technology Co., Ltd.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companies also have developed relationships with most of the world’s largest semiconductor companies, including current or potential customers of Amkor. We also compete with the internal semiconductor packaging and test capabilities of many of our customers and the contract foundries.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only test services and not packaging.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competition in the semiconductor packaging and test services market include:</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competence;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packaging and test services offered, including turnkey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package and test design, technology innovation and implementation;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cycle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service and</w:t>
      </w:r>
    </w:p>
    <w:p>
      <w:pPr>
        <w:spacing w:after="0" w:line="171" w:lineRule="exact"/>
        <w:rPr>
          <w:rFonts w:ascii="Arial" w:cs="Arial" w:eastAsia="Arial" w:hAnsi="Arial"/>
          <w:sz w:val="18"/>
          <w:szCs w:val="18"/>
          <w:color w:val="auto"/>
        </w:rPr>
      </w:pPr>
    </w:p>
    <w:p>
      <w:pPr>
        <w:ind w:right="3620" w:firstLine="332"/>
        <w:spacing w:after="0" w:line="465"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available capacity and ability to invest in capacity, geographic location and scale of manufacturing. We believe that we compete favorably with respect to each of these elements.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abroad, and their durations vary depending on the jurisdiction in which each patent is filed. Although our patents are an important element of our intellectual property strategy as a whole, we are not materially dependent on any one patent or any one technology. We expect to continue to file patent applications when appropriate to protect our proprietary technologies, but we cannot assure you that we will receive patents from pending or future applications. In addition, any patents we obtain may be challenged, invalidated or circumvented and may not provide meaningful protection or other commercial advantage to us.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Further, to distinguish our products from our competitors’ products, we have obtained certain trademarks and service marks and may promote our particular brands through advertising and other marketing techniques.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Amkor had approximately 29,300 full-time employees. We believe that our relations with our employees are good, and we have not experienced a work stoppage in any of our factories. Our employees in the Philippines, Taiwan and the U.S. are not represented by any union. Certain employees at our factories in China, Japan, Korea, Malaysia and Portugal are members of a union, and we operate subject to collective bargaining agreements that we have entered into with these unions.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Annual Report on Form 10-K.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For example, the financial crisis and global recession in 2008 and 2009 resulted in a downturn in the semiconductor industry that adversely affected our business and results of operations during those periods. The economic recovery since that time has been slow and uneven. If the industry or markets we compete in experience slower, or even negative growth, our business and results of operations may be adversely affected.</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events, such as the United Kingdom's vote to leave the European Union, political instability, civil disturbances or environmental or natural events, such as earthquakes like the recent ones in Japan, that impact our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 downturn in the global economy and the semiconductor industry in 2009 increased the risks associated with the foregoing factors as customer forecasts became more volatile, and there was less visibility regarding future demand and significantly increased uncertainty regarding the economy, credit markets and consumer demand. The slow rate of economic growth in the U.S. and elsewhere and economic uncertainty worldwide could continue to cause volatility in customer forecasts and reduce our visibility regarding future demand in the semiconductor industry. These factors may have a material and adverse effect on our business, liquidity, results of operations, financial condition and cash flows or lead to significant variability of quarterly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operating results. In addition, these factors may adversely affect our credit ratings which could make it more difficult and expensive for us to raise capital and could adversely affect the price of our securities.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and policies imposed by U.S. or foreign governments, such as tariffs, customs, duties and other restrictive trade barriers, antitrust and competition, tax, currency and banking, privacy, labor, environmental, health and safety;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with the recent acquisition of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have announced that they are scheduled to become sister companies under a new joint holding company in April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December 31, 2017, our total debt balance was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$1,364.4 million, of which $123.8 million was classified as a current liability and $559.4 million was collateralized indebtedness at our subsidiaries. We may consider investments in joint ventures, increased capital expenditures or acquisitions which may increase our indebtedness. If new debt is added to our consolidated debt level, the related risks that we face could intensify.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a capital-intensive industry. We had capital expenditures of $550.9 million in 2017.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2018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the banking system and capital markets could also make it difficult or more expensive for us to maintain our existing credit facilities or refinance our debt.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Indentures and Agreements Governing Our Current and Future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our future debt agreements may contain financial covenants and ratios.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subsidiary in Korea maintains an unfunded severance plan under which we have an accrued liability of $153.7 million as of December 31, 2017.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See Note 14 to our Consolidated Financial Statements in Part II, Item 8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and integrated the acquired operations of Amkor Technology Malaysia Sdn. Bhd. into our overall internal control over financial reporting.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May 2017, we completed our acquisition of Nanium. We are continuing to integrate the acquired operations into our overall internal control over financial reporting. Although we have extended our oversight and monitoring processes that support internal control over financial reporting to include the acquired operations, there is a risk that deficiencies may occur that could constitute significant deficiencies or in the aggregate a material weakness.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Management Information Systems.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our management information systems for many aspects of our business. Some of our key software has been developed by our own programmers, and this software may not be easily integrated with other software and systems. Our systems may be susceptible to damage, disruptions or shutdowns due to failures during the process of upgrading, replacing or maintaining software, databases or components thereof, power outages, hardware failures, computer viruses, attacks by computer hackers, telecommunication failures, user errors, malfeasance or catastrophic events. In addition, security breaches could result in unauthorized disclosure of confidential information. From time to time we make additions or changes to our management information systems. For example, we have implemented new shop floor systems in certain of our factories, and we are integrating J-Devices' management information systems with our existing systems and processes. In addition, in May 2017, we acquired a factory in Portugal, and have begun to integrate its management information systems into our existing systems and processes. We face risks in connection with current and future projects to install or integrate new management information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management information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and Retain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July 2013 and May 2017, we completed the purchase of Amkor Technology Malaysia Sdn. Bhd. and Nanium, respectively. Additionally, we increased our investment in J-Devices to 100% in 2015 through the exercise of additional options. We are now integrating these acquired entities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67% of our net sales for the year ended December 31, 2017, and one customer accounted for more than 10% of our consolidated net sales during the period. In addition, we have significant customer concentration within our end markets. The loss of a significant customer, a business combination among our customers, a reduction in orders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year to year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had capital expenditures of $550.9 million in 2017, $650.0 million in 2016 and $538.0 million in 2015.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we started the construction of K5. The land purchase agreement includes various construction, investment, hiring, regulatory and other compliance obligations. While we completed the initial phase of construction in December 2016, there can be no assurance regarding when K5 will be fully utilized, or that the actual scope, costs, timeline or benefits of the project will be consistent with our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expense will increase as income from those jurisdictions becomes subject to higher statutory income tax rates, thereby reducing our liquidity and cash flow.</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 for the Period Ending December 31, 2017 and for Subsequent Periods.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22, 2017, the Tax Cuts and Jobs Act (the “Tax Act”) was signed into law. The Tax Act made significant changes to the U.S. Tax Code. Changes include a reduced corporate tax rate from 35% to 21%, a one-time transition tax on unremitted foreign earnings and profits applicable for our fiscal year ended December 31, 2017, limited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now expect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tax rate of 21%. Our provisional estimates and preliminary view of the impact of the Tax Act are uncertain and may be adjusted in future periods as a result of the ongoing analysis of our tax positions and any new guidance from regulators and other interpretations of the law.</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17 to our Consolidated Financial Statements in Part II, Item 8 of this Annual Report on Form 10-K. Unfavorable outcomes in any legal proceedings involving intellectual property could result in significant liabilities and could have a material adverse effect on our business, liquidity, results of operations, financial condition and cash flows. The potential impact from the legal proceedings referred to in this Annual Report on Form 10-K on our results of operations, financial condition and cash flows could change in the future.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has also been an increase in public attention and focus on the materials contained in semiconductor products, the environmental impact of semiconductor operations and the risk of chemical releases from such operations, climate change and related environmental concerns. This increased focus on the environmental impact of semiconductor operations and products has caused industry groups and customers to impose additional requirements on us and our suppliers, sometimes exceeding regulatory standards. These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example, in April 2016, our Kumamoto factory was damaged by earthquakes in Japan. While production was restored at Kumamoto in the second quarter, our sales in the second quarter were reduced due to the temporary disruption in operations. We also incurred earthquake related costs for damaged inventory, buildings and equipment.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Also, Japan experienced a severe earthquake and tsunami in 2011 that resulted in significant disruption in the electronics industry supply chain and adversely affected Japan's economy and consumer spending. In addition, in October 2011, Thailand experienced substantial flooding which affected the facilities and operations of customers and suppliers in our industry. In addition, some of the processes that we utilize in our operations place us at risk of fire and other damage. For example, highly flammable gases are used in the preparation of wafers holding semiconductor devices for flip chip packaging.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Mr. James J. Kim, the Executive Chairman of our Board of Directors, members of Mr. Kim’s immediate family and affiliates owned approximately 137.6 million shares, or approximately 57%, of our outstanding common stock. The Kim family also has options to acquire approximately 0.5 million shares. If the options are exercised, the Kim family's total ownership would be an aggregate of approximately 138.1 million shares of our outstanding common stock or approximately 58% of our outstanding common stock.</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offices, which are leased, are located in Tempe, Arizona. 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Approximate Facility Size</w:t>
            </w:r>
          </w:p>
        </w:tc>
        <w:tc>
          <w:tcPr>
            <w:tcW w:w="1580" w:type="dxa"/>
            <w:vAlign w:val="bottom"/>
          </w:tcPr>
          <w:p>
            <w:pPr>
              <w:spacing w:after="0"/>
              <w:rPr>
                <w:sz w:val="14"/>
                <w:szCs w:val="14"/>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(Square Feet)</w:t>
            </w:r>
          </w:p>
        </w:tc>
        <w:tc>
          <w:tcPr>
            <w:tcW w:w="1580" w:type="dxa"/>
            <w:vAlign w:val="bottom"/>
            <w:tcBorders>
              <w:bottom w:val="single" w:sz="8" w:color="auto"/>
            </w:tcBorders>
          </w:tcPr>
          <w:p>
            <w:pPr>
              <w:spacing w:after="0"/>
              <w:rPr>
                <w:sz w:val="16"/>
                <w:szCs w:val="16"/>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Owned</w:t>
            </w:r>
          </w:p>
        </w:tc>
        <w:tc>
          <w:tcPr>
            <w:tcW w:w="1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Leased</w:t>
            </w:r>
          </w:p>
        </w:tc>
        <w:tc>
          <w:tcPr>
            <w:tcW w:w="15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Total</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China (1)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1,317,000</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1,317,000</w:t>
            </w:r>
          </w:p>
        </w:tc>
      </w:tr>
      <w:tr>
        <w:trPr>
          <w:trHeight w:val="27"/>
        </w:trPr>
        <w:tc>
          <w:tcPr>
            <w:tcW w:w="6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1,687,000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Korea</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2,979,000</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2,979,000</w:t>
            </w:r>
          </w:p>
        </w:tc>
      </w:tr>
      <w:tr>
        <w:trPr>
          <w:trHeight w:val="27"/>
        </w:trPr>
        <w:tc>
          <w:tcPr>
            <w:tcW w:w="6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 (1)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Philippines (2)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661,000</w:t>
            </w:r>
          </w:p>
        </w:tc>
        <w:tc>
          <w:tcPr>
            <w:tcW w:w="12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658,000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1,319,000</w:t>
            </w:r>
          </w:p>
        </w:tc>
      </w:tr>
      <w:tr>
        <w:trPr>
          <w:trHeight w:val="27"/>
        </w:trPr>
        <w:tc>
          <w:tcPr>
            <w:tcW w:w="6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Portugal</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Taiwan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864,000</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864,000</w:t>
            </w:r>
          </w:p>
        </w:tc>
      </w:tr>
      <w:tr>
        <w:trPr>
          <w:trHeight w:val="27"/>
        </w:trPr>
        <w:tc>
          <w:tcPr>
            <w:tcW w:w="6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628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57"/>
        </w:trPr>
        <w:tc>
          <w:tcPr>
            <w:tcW w:w="6280" w:type="dxa"/>
            <w:vAlign w:val="bottom"/>
          </w:tcPr>
          <w:p>
            <w:pPr>
              <w:ind w:left="280"/>
              <w:spacing w:after="0"/>
              <w:rPr>
                <w:sz w:val="20"/>
                <w:szCs w:val="20"/>
                <w:color w:val="auto"/>
              </w:rPr>
            </w:pPr>
            <w:r>
              <w:rPr>
                <w:rFonts w:ascii="Arial" w:cs="Arial" w:eastAsia="Arial" w:hAnsi="Arial"/>
                <w:sz w:val="18"/>
                <w:szCs w:val="18"/>
                <w:color w:val="auto"/>
              </w:rPr>
              <w:t>Total all facilities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8,391,000</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1,183,000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9,574,000</w:t>
            </w:r>
          </w:p>
        </w:tc>
      </w:tr>
      <w:tr>
        <w:trPr>
          <w:trHeight w:val="20"/>
        </w:trPr>
        <w:tc>
          <w:tcPr>
            <w:tcW w:w="6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40" w:hanging="40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 is leased.</w:t>
      </w:r>
    </w:p>
    <w:p>
      <w:pPr>
        <w:spacing w:after="0" w:line="171"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foreign ownership restrictions in the Philippines, the land is leased. A portion of the land we lease is owned by realty companies in which we own a 40%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and that the productive capacity of such properties is substantially being utilized or we have plans to utilize it.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various disputes and litigation matters that arise in the ordinary course of our business. These include disputes and lawsuits related to intellectual property, acquisitions, licensing, contracts, tax, regulatory, employee relations and other matters. For a discussion of “Legal Proceedings,” see Note 17 to our Consolidated Financial Statements in Part II, Item 8 of this Annual Report on Form 10-K.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“AMKR.” The following table sets forth, for the periods indicated, the high and low sale prices per share of our common stock as quoted on the NASDAQ Global Select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127 holders of record of our common stock as of February 16,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public offering in 1998, we have never paid a dividend to our stockholders, and we do not have any present plans for doing so. In addition, our U.S. revolving credit agreement and the indentures governing our senior notes limit our ability to pay dividends. Refer to the Liquidity and Capital Resources section in Item 7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equity compensation plans is set forth in Part III,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9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 Per Share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(a)</w:t>
            </w: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1-October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1-November 30</w:t>
            </w:r>
          </w:p>
        </w:tc>
        <w:tc>
          <w:tcPr>
            <w:tcW w:w="1920" w:type="dxa"/>
            <w:vAlign w:val="bottom"/>
          </w:tcPr>
          <w:p>
            <w:pPr>
              <w:jc w:val="right"/>
              <w:spacing w:after="0"/>
              <w:rPr>
                <w:sz w:val="20"/>
                <w:szCs w:val="20"/>
                <w:color w:val="auto"/>
              </w:rPr>
            </w:pPr>
            <w:r>
              <w:rPr>
                <w:rFonts w:ascii="Arial" w:cs="Arial" w:eastAsia="Arial" w:hAnsi="Arial"/>
                <w:sz w:val="18"/>
                <w:szCs w:val="18"/>
                <w:color w:val="auto"/>
              </w:rPr>
              <w:t>5,750</w:t>
            </w:r>
          </w:p>
        </w:tc>
        <w:tc>
          <w:tcPr>
            <w:tcW w:w="5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11.39</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1-December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660" w:type="dxa"/>
            <w:vAlign w:val="bottom"/>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5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11.39</w:t>
            </w: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During 2016 and 2017, we made no common stock purchases, and at December 31, 2017, approximately $91.6 million was available pursuant to the stock repurchase program.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154940</wp:posOffset>
            </wp:positionV>
            <wp:extent cx="5556885" cy="4476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885"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the cumulative total returns included in the preceding Stock Performance Graph for the years ended December 31, 2012 through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Amkor Technology,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167.42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248.77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236.98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150.51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170.84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208.14</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PHLX Semiconductor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167.68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208.23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292.66</w:t>
            </w:r>
          </w:p>
        </w:tc>
      </w:tr>
      <w:tr>
        <w:trPr>
          <w:trHeight w:val="33"/>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and our Consolidated Financial Statements in Part II, Item 7 and Item 8, respectively, of this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3"/>
                <w:szCs w:val="13"/>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14"/>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48"/>
              <w:spacing w:after="0"/>
              <w:rPr>
                <w:sz w:val="20"/>
                <w:szCs w:val="20"/>
                <w:color w:val="auto"/>
              </w:rPr>
            </w:pPr>
            <w:r>
              <w:rPr>
                <w:rFonts w:ascii="Arial" w:cs="Arial" w:eastAsia="Arial" w:hAnsi="Arial"/>
                <w:sz w:val="13"/>
                <w:szCs w:val="13"/>
                <w:b w:val="1"/>
                <w:bCs w:val="1"/>
                <w:color w:val="auto"/>
              </w:rPr>
              <w:t>2017 (f)</w:t>
            </w:r>
          </w:p>
        </w:tc>
        <w:tc>
          <w:tcPr>
            <w:tcW w:w="320" w:type="dxa"/>
            <w:vAlign w:val="bottom"/>
          </w:tcPr>
          <w:p>
            <w:pPr>
              <w:spacing w:after="0"/>
              <w:rPr>
                <w:sz w:val="18"/>
                <w:szCs w:val="18"/>
                <w:color w:val="auto"/>
              </w:rPr>
            </w:pPr>
          </w:p>
        </w:tc>
        <w:tc>
          <w:tcPr>
            <w:tcW w:w="940" w:type="dxa"/>
            <w:vAlign w:val="bottom"/>
          </w:tcPr>
          <w:p>
            <w:pPr>
              <w:jc w:val="right"/>
              <w:ind w:right="309"/>
              <w:spacing w:after="0"/>
              <w:rPr>
                <w:sz w:val="20"/>
                <w:szCs w:val="20"/>
                <w:color w:val="auto"/>
              </w:rPr>
            </w:pPr>
            <w:r>
              <w:rPr>
                <w:rFonts w:ascii="Arial" w:cs="Arial" w:eastAsia="Arial" w:hAnsi="Arial"/>
                <w:sz w:val="13"/>
                <w:szCs w:val="13"/>
                <w:b w:val="1"/>
                <w:bCs w:val="1"/>
                <w:color w:val="auto"/>
              </w:rPr>
              <w:t>2016 (g)</w:t>
            </w:r>
          </w:p>
        </w:tc>
        <w:tc>
          <w:tcPr>
            <w:tcW w:w="340" w:type="dxa"/>
            <w:vAlign w:val="bottom"/>
          </w:tcPr>
          <w:p>
            <w:pPr>
              <w:spacing w:after="0"/>
              <w:rPr>
                <w:sz w:val="18"/>
                <w:szCs w:val="18"/>
                <w:color w:val="auto"/>
              </w:rPr>
            </w:pPr>
          </w:p>
        </w:tc>
        <w:tc>
          <w:tcPr>
            <w:tcW w:w="920" w:type="dxa"/>
            <w:vAlign w:val="bottom"/>
          </w:tcPr>
          <w:p>
            <w:pPr>
              <w:jc w:val="right"/>
              <w:ind w:right="308"/>
              <w:spacing w:after="0"/>
              <w:rPr>
                <w:sz w:val="20"/>
                <w:szCs w:val="20"/>
                <w:color w:val="auto"/>
              </w:rPr>
            </w:pPr>
            <w:r>
              <w:rPr>
                <w:rFonts w:ascii="Arial" w:cs="Arial" w:eastAsia="Arial" w:hAnsi="Arial"/>
                <w:sz w:val="13"/>
                <w:szCs w:val="13"/>
                <w:b w:val="1"/>
                <w:bCs w:val="1"/>
                <w:color w:val="auto"/>
              </w:rPr>
              <w:t>2015 (g)</w:t>
            </w:r>
          </w:p>
        </w:tc>
        <w:tc>
          <w:tcPr>
            <w:tcW w:w="400" w:type="dxa"/>
            <w:vAlign w:val="bottom"/>
          </w:tcPr>
          <w:p>
            <w:pPr>
              <w:spacing w:after="0"/>
              <w:rPr>
                <w:sz w:val="18"/>
                <w:szCs w:val="18"/>
                <w:color w:val="auto"/>
              </w:rPr>
            </w:pPr>
          </w:p>
        </w:tc>
        <w:tc>
          <w:tcPr>
            <w:tcW w:w="820" w:type="dxa"/>
            <w:vAlign w:val="bottom"/>
          </w:tcPr>
          <w:p>
            <w:pPr>
              <w:jc w:val="right"/>
              <w:ind w:right="288"/>
              <w:spacing w:after="0"/>
              <w:rPr>
                <w:sz w:val="20"/>
                <w:szCs w:val="20"/>
                <w:color w:val="auto"/>
              </w:rPr>
            </w:pPr>
            <w:r>
              <w:rPr>
                <w:rFonts w:ascii="Arial" w:cs="Arial" w:eastAsia="Arial" w:hAnsi="Arial"/>
                <w:sz w:val="13"/>
                <w:szCs w:val="13"/>
                <w:b w:val="1"/>
                <w:bCs w:val="1"/>
                <w:color w:val="auto"/>
                <w:w w:val="90"/>
              </w:rPr>
              <w:t>2014 (e)</w:t>
            </w:r>
          </w:p>
        </w:tc>
        <w:tc>
          <w:tcPr>
            <w:tcW w:w="320" w:type="dxa"/>
            <w:vAlign w:val="bottom"/>
          </w:tcPr>
          <w:p>
            <w:pPr>
              <w:spacing w:after="0"/>
              <w:rPr>
                <w:sz w:val="18"/>
                <w:szCs w:val="18"/>
                <w:color w:val="auto"/>
              </w:rPr>
            </w:pPr>
          </w:p>
        </w:tc>
        <w:tc>
          <w:tcPr>
            <w:tcW w:w="900" w:type="dxa"/>
            <w:vAlign w:val="bottom"/>
          </w:tcPr>
          <w:p>
            <w:pPr>
              <w:jc w:val="right"/>
              <w:ind w:right="268"/>
              <w:spacing w:after="0"/>
              <w:rPr>
                <w:sz w:val="20"/>
                <w:szCs w:val="20"/>
                <w:color w:val="auto"/>
              </w:rPr>
            </w:pPr>
            <w:r>
              <w:rPr>
                <w:rFonts w:ascii="Arial" w:cs="Arial" w:eastAsia="Arial" w:hAnsi="Arial"/>
                <w:sz w:val="13"/>
                <w:szCs w:val="13"/>
                <w:b w:val="1"/>
                <w:bCs w:val="1"/>
                <w:color w:val="auto"/>
              </w:rPr>
              <w:t>2013 (h)</w:t>
            </w:r>
          </w:p>
        </w:tc>
      </w:tr>
      <w:tr>
        <w:trPr>
          <w:trHeight w:val="57"/>
        </w:trPr>
        <w:tc>
          <w:tcPr>
            <w:tcW w:w="5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gridSpan w:val="4"/>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 except per share data)</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4,186,497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3,893,635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2,884,603</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3,129,440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2,956,450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 (a)</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757,273</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695,477</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479,265</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552,822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544,513</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Gain on sale of real estate (b)</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(108,109)</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401,313</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293,940</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164,839</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221,460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232,109</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Loss on debt retirement (c)</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4,835</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9,560</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12,330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(d)</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38,982</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47,853</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28,035</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33,845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Equity in earnings of J-Devices (e)</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14,016</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31,007</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9,452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 (e)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264,888</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167,304</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53,893</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133,240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110,793</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attributable to Amkor</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260,706</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164,190</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51,098</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129,739</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108,432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Amkor per common share: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0.69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0.58</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r>
      <w:tr>
        <w:trPr>
          <w:trHeight w:val="284"/>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581,940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555,186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494,200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464,706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410,346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property, plant and equipment</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550,943</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650,038</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537,975</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681,120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566,256</w:t>
            </w:r>
          </w:p>
        </w:tc>
      </w:tr>
      <w:tr>
        <w:trPr>
          <w:trHeight w:val="284"/>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596,364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549,518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523,172</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449,946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610,442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289,081</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404,035</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299,296</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497,358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541,480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4,521,509</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4,092,086</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4,026,428</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3,633,918</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3,426,166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 including debt</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1,468,941</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1,683,021</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1,790,708</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1,803,879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1,771,422</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Total Amkor stockholders’ equity</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1,667,328</w:t>
            </w:r>
          </w:p>
        </w:tc>
        <w:tc>
          <w:tcPr>
            <w:tcW w:w="3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1,383,588</w:t>
            </w:r>
          </w:p>
        </w:tc>
        <w:tc>
          <w:tcPr>
            <w:tcW w:w="3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1,200,286</w:t>
            </w:r>
          </w:p>
        </w:tc>
        <w:tc>
          <w:tcPr>
            <w:tcW w:w="4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1,114,748</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952,608</w:t>
            </w:r>
          </w:p>
        </w:tc>
      </w:tr>
    </w:tbl>
    <w:p>
      <w:pPr>
        <w:spacing w:after="0" w:line="160" w:lineRule="exact"/>
        <w:rPr>
          <w:sz w:val="20"/>
          <w:szCs w:val="20"/>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2015, we reached a resolution to a patent license dispute and entered into a settlement agreement. During 2014 and 2013 we recorded charges of $75.3 million and $10.0 million, respectively, to cost of sales and $13.7 million and $1.8 million, respectively, to interest expense relating to this patent license dispute.</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17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July 2017, we recorded a loss on debt retirement of $4.4 million relating to the partial early repayment of our 6.625% Senior Notes due 2021. During 2015, we recorded a loss on debt retirement of $8.9 million relating to the early repayment of our 7.375% Senior Notes due May 2018. During 2013, we exchanged debt for shares of our common stock and a cash payment and recorded a charge of $11.6 million.</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2017, income tax expense includes an estimated net tax benefit of $41.6 million primarily due to the reversal of a valuation allowance on certain U.S. deferred tax assets as a result of the enactment of the Tax Act.</w:t>
      </w:r>
    </w:p>
    <w:p>
      <w:pPr>
        <w:spacing w:after="0" w:line="11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30, 2014, we sold 100% of the shares of our then wholly-owned subsidiary in Japan to J-Devices, our then unconsolidated equity-method joint venture in Japan. Subsequent to June 30, 2014, the results of the divested entity are included in J-Devices' financial results and in our corresponding equity in earnings of J-Devices. We recognized a net gain on the sale of $9.2 million in other (income) expense, net. In addition, J-Devices recognized a gain on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which increased our equity in earnings of J-Devices by $8.8 million. The combined net gain we recognized was $18.0 million.</w:t>
      </w:r>
    </w:p>
    <w:p>
      <w:pPr>
        <w:spacing w:after="0" w:line="185"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May 22, 2017, we completed the purchase of Nanium. Their financial results have been included in our Consolidated Financial Statements from the date of acquisition.</w:t>
      </w:r>
    </w:p>
    <w:p>
      <w:pPr>
        <w:spacing w:after="0" w:line="116"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increased our investment in J-Devices to 60% in 2013 and to 100% on December 30, 2015 through the exercise of additional options. As a result, our accounting for J-Devices changed from the equity method to the consolidation method effective December 30, 2015. Our balance sheet data as of December 31, 2015 reflects the consolidation of J-Devices. We began consolidating the operating results of J-Devices in 2016. We recognized a net loss of $13.5 million in other (income) expense, net in connection with the acquisition in 2015. The net loss resulted from a loss of $29.6 million related to the release of certain accumulated foreign currency translation adjustments related to J-Devices, offset by a gain of $16.1 million related to the step-up to fair value of our previous investments in J-Devices.</w:t>
      </w:r>
    </w:p>
    <w:p>
      <w:pPr>
        <w:spacing w:after="0" w:line="139"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31, 2013, we completed the purchase of Amkor Technology Malaysia Sdn. Bhd. Their financial results have been included in our Consolidated Financial Statements from the date of acquisition.</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and selectively growing our scale and scope through strategic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We believe that our technology leadership and this technology transition create significant growth opportunities for 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currently working to expand our sales to Chinese and Taiwanese fabless chip companies that make up a significant portion of the mid-tier and entry-level segments of the mobile device market where much of the growth is occurring.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we identify attractive opportunities to grow our customer base and expand the markets we serve. For example, in May 2017, we acquired Nanium, which we expect will strengthen our position in the market for wafer-level fan-out packaging. In 2009, we invested in J-Devices, a joint venture to provide semiconductor packaging and test services in Japan. We increased our investment in J-Devices to 60% in 2013 and to 100% in 2015 through the exercise of additional options. J-Devices is the largest provider of outsourced semiconductor assembly and test services in Japan and is primarily focused in the automotive, industrial and consumer end markets. We believe that selective growth through joint ventures, acquisitions and other strategic investments can help diversify our revenue streams, improve our profits, broaden our portfolio of services and continue our technological leadership.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Our fabless customers include: Broadcom Limited, Qualcomm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Incorporated and Socionext Inc. Our contract foundry customers include: GlobalFoundries Inc. and Taiwan Semiconductor Manufacturing Company Limited.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economic slowdown or subsequent economic recovery.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1, Item 1A of this Annual Report on Form 10-K.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 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 business, our capital expenditure levels and our ability to repay debt out of our operating cash flows or proceeds from debt or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Financial Highlights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increased $292.9 million or 7.5% to $4,186.5 million in 2017 from $3,893.6 million in 2016. The increase was attributable to strong demand in all of our end markets, particularly mobile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$61.8 million in 2017 compared to 2016, attributable to the increase in net sales.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May 2017, we completed the acquisition of Nanium, a provider of wafer-level fan-out semiconductor packaging solutions. Nanium's financial results have been included in our Consolidated Financial Statements from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December 2017, we recognized an estimated one-time net tax benefit of $41.6 million, due to the enactment of the Tax Act. The tax benefit is driven by the reversal of a valuation allowance against certain deferred tax assets.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2017, our capital expenditures totaled $550.9 million, or 13.2% of net sales compared to $650.0 million, or 16.7% of net sales in 2016. The decrease is primarily related to the completion of construction of our K5 facility in Korea which started operations in 2017.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operating activities was $618.3 million for the year ended December 31, 2017, compared to $729.4 million for the year ended December 31, 2016. This decrease was primarily due to changes in working capital.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6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 and equity in earnings of unconsolidated affiliate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Amkor</w:t>
            </w: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2017 over 2016</w:t>
            </w:r>
          </w:p>
        </w:tc>
        <w:tc>
          <w:tcPr>
            <w:tcW w:w="9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 over 2015</w:t>
            </w:r>
          </w:p>
        </w:tc>
        <w:tc>
          <w:tcPr>
            <w:tcW w:w="560" w:type="dxa"/>
            <w:vAlign w:val="bottom"/>
            <w:tcBorders>
              <w:bottom w:val="single" w:sz="8" w:color="auto"/>
            </w:tcBorders>
          </w:tcPr>
          <w:p>
            <w:pPr>
              <w:spacing w:after="0"/>
              <w:rPr>
                <w:sz w:val="22"/>
                <w:szCs w:val="22"/>
                <w:color w:val="auto"/>
              </w:rPr>
            </w:pPr>
          </w:p>
        </w:tc>
      </w:tr>
      <w:tr>
        <w:trPr>
          <w:trHeight w:val="250"/>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 except percentages)</w:t>
            </w:r>
          </w:p>
        </w:tc>
        <w:tc>
          <w:tcPr>
            <w:tcW w:w="9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4,186,497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3,893,635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2,884,603</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292,862</w:t>
            </w: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7.5%  $</w:t>
            </w:r>
          </w:p>
        </w:tc>
        <w:tc>
          <w:tcPr>
            <w:tcW w:w="140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1,009,032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2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sales in 2017 compared to 2016 was due to strong demand across all end markets. The mobile communications market was particularly strong due to an increase in our content in flagship smartphones and improved sales with Greater China fabless customers. We also experienced growth in the automotive and computing end markets.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net sales in 2016 compared to 2015 was primarily attributable to the consolidation of J-Devices. J-Devices contributed $913.7 million of net sales for the year ended December 31, 2016. Excluding J-Devices, net sales increased by $95.3 million primarily due to higher sales in the automotive and mobile communications markets. The increase in the automotive market was driven by increased market share with existing customers and increasing semiconductor content in vehicles. The increase in the mobile communications market was attributable to strength in smartphones across multiple tiers.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r>
      <w:tr>
        <w:trPr>
          <w:trHeight w:val="264"/>
        </w:trPr>
        <w:tc>
          <w:tcPr>
            <w:tcW w:w="4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6"/>
              </w:rPr>
              <w:t>2017 over 2016</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2"/>
              </w:rPr>
              <w:t>2016 over 2015</w:t>
            </w:r>
          </w:p>
        </w:tc>
      </w:tr>
      <w:tr>
        <w:trPr>
          <w:trHeight w:val="250"/>
        </w:trPr>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5"/>
          </w:tcPr>
          <w:p>
            <w:pPr>
              <w:jc w:val="right"/>
              <w:ind w:right="943"/>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757,273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695,477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479,265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61,796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216,212</w:t>
            </w: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18.1%</w:t>
            </w:r>
          </w:p>
        </w:tc>
        <w:tc>
          <w:tcPr>
            <w:tcW w:w="36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17.9%</w:t>
            </w:r>
          </w:p>
        </w:tc>
        <w:tc>
          <w:tcPr>
            <w:tcW w:w="3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20"/>
                <w:szCs w:val="20"/>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where relatively modest increases or decreases can have a significant effect.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and gross margin for 2017 increased compared to 2016, primarily due to the increase in net sales. Manufacturing costs increased due to higher unit volumes, increased employee compensation costs, and our factory consolidation efforts in Japan.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for 2016 increased compared to 2015, primarily due to the increase in net sales and favorable foreign currency movements. J-Devices contributed $137.9 million in gross profit for the year ended December 31, 2016. Gross margin increased for 2016 compared to 2015, primarily due to higher net sales and favorable foreign currency movements.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increase was partially offset by higher net sales generated from mainstream packages, which have lower gross margin, as a result of the consolidation of J-Devices.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2017 over 2016</w:t>
            </w:r>
          </w:p>
        </w:tc>
        <w:tc>
          <w:tcPr>
            <w:tcW w:w="10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 over 2015</w:t>
            </w:r>
          </w:p>
        </w:tc>
        <w:tc>
          <w:tcPr>
            <w:tcW w:w="560" w:type="dxa"/>
            <w:vAlign w:val="bottom"/>
            <w:tcBorders>
              <w:bottom w:val="single" w:sz="8" w:color="auto"/>
            </w:tcBorders>
          </w:tcPr>
          <w:p>
            <w:pPr>
              <w:spacing w:after="0"/>
              <w:rPr>
                <w:sz w:val="22"/>
                <w:szCs w:val="22"/>
                <w:color w:val="auto"/>
              </w:rPr>
            </w:pPr>
          </w:p>
        </w:tc>
      </w:tr>
      <w:tr>
        <w:trPr>
          <w:trHeight w:val="250"/>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gridSpan w:val="3"/>
          </w:tcPr>
          <w:p>
            <w:pPr>
              <w:jc w:val="right"/>
              <w:ind w:right="303"/>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297,455</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284,331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232,409</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13,124</w:t>
            </w:r>
          </w:p>
        </w:tc>
        <w:tc>
          <w:tcPr>
            <w:tcW w:w="108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4.6%  $</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51,922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2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in 2017 compared to 2016 primarily due to higher employee compensation costs, partially offset by net proceeds received from a one-time legal settlement in April 2017.</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increased in 2016 compared to 2015 as a result of the consolidation of J-Devices, which accounted for $56.3 million in selling, general and administrative expenses. Excluding J-Devices, selling, general and administrative expenses for 2016 decreased primarily due to general cost savings and lower depreciation expense. These decreases were partially offset by higher employee incentive compensation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 over 2016</w:t>
            </w:r>
          </w:p>
        </w:tc>
        <w:tc>
          <w:tcPr>
            <w:tcW w:w="1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 over 2015</w:t>
            </w:r>
          </w:p>
        </w:tc>
        <w:tc>
          <w:tcPr>
            <w:tcW w:w="560" w:type="dxa"/>
            <w:vAlign w:val="bottom"/>
            <w:tcBorders>
              <w:bottom w:val="single" w:sz="8" w:color="auto"/>
            </w:tcBorders>
          </w:tcPr>
          <w:p>
            <w:pPr>
              <w:spacing w:after="0"/>
              <w:rPr>
                <w:sz w:val="22"/>
                <w:szCs w:val="22"/>
                <w:color w:val="auto"/>
              </w:rPr>
            </w:pPr>
          </w:p>
        </w:tc>
      </w:tr>
      <w:tr>
        <w:trPr>
          <w:trHeight w:val="250"/>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166,614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117,206</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82,017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49,408</w:t>
            </w:r>
          </w:p>
        </w:tc>
        <w:tc>
          <w:tcPr>
            <w:tcW w:w="112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42.2%  $</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35,189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33"/>
        </w:trPr>
        <w:tc>
          <w:tcPr>
            <w:tcW w:w="2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activities are focused on developing new packaging solutions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goods sold, including ongoing depreciation for the equipment previously held for research and development activities. Research and development expenses increased in 2017 over 2016, and 2016 over 2015, primarily due to increases in development activities and the related employee compensation costs and depreciation resulting from continued investments in equipment, in each of those periods. The increase in 2017 over 2016 was primarily due to development and other costs associated with our new K5 factory and research and development facility in Korea. The increase in each period was partially offset by the reduction in costs for projects that moved into production. In addition, the consolidation of J-Devices added $18.3 million in research and development expenses for the year ended December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2017 over 2016</w:t>
            </w:r>
          </w:p>
        </w:tc>
        <w:tc>
          <w:tcPr>
            <w:tcW w:w="4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4"/>
                <w:szCs w:val="14"/>
                <w:b w:val="1"/>
                <w:bCs w:val="1"/>
                <w:color w:val="auto"/>
              </w:rPr>
              <w:t>2016 over 2015</w:t>
            </w: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w w:val="91"/>
              </w:rPr>
              <w:t>(In thousands, except percentages)</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including related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85,554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84,637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86,376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917</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11,823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15,415</w:t>
            </w:r>
          </w:p>
        </w:tc>
        <w:tc>
          <w:tcPr>
            <w:tcW w:w="260" w:type="dxa"/>
            <w:vAlign w:val="bottom"/>
          </w:tcPr>
          <w:p>
            <w:pPr>
              <w:spacing w:after="0"/>
              <w:rPr>
                <w:sz w:val="20"/>
                <w:szCs w:val="20"/>
                <w:color w:val="auto"/>
              </w:rPr>
            </w:pPr>
          </w:p>
        </w:tc>
        <w:tc>
          <w:tcPr>
            <w:tcW w:w="920" w:type="dxa"/>
            <w:vAlign w:val="bottom"/>
          </w:tcPr>
          <w:p>
            <w:pPr>
              <w:jc w:val="right"/>
              <w:ind w:right="201"/>
              <w:spacing w:after="0"/>
              <w:rPr>
                <w:sz w:val="20"/>
                <w:szCs w:val="20"/>
                <w:color w:val="auto"/>
              </w:rPr>
            </w:pPr>
            <w:r>
              <w:rPr>
                <w:rFonts w:ascii="Arial" w:cs="Arial" w:eastAsia="Arial" w:hAnsi="Arial"/>
                <w:sz w:val="16"/>
                <w:szCs w:val="16"/>
                <w:color w:val="auto"/>
              </w:rPr>
              <w:t>&gt;(100)%</w:t>
            </w: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4,257</w:t>
            </w:r>
          </w:p>
        </w:tc>
        <w:tc>
          <w:tcPr>
            <w:tcW w:w="112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33"/>
        </w:trPr>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18,400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2,328</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&gt;100%</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(20,662)</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&gt;(100)%</w:t>
            </w:r>
          </w:p>
        </w:tc>
      </w:tr>
      <w:tr>
        <w:trPr>
          <w:trHeight w:val="250"/>
        </w:trPr>
        <w:tc>
          <w:tcPr>
            <w:tcW w:w="2580" w:type="dxa"/>
            <w:vAlign w:val="bottom"/>
          </w:tcPr>
          <w:p>
            <w:pPr>
              <w:ind w:left="28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97,443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78,783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96,927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18,660</w:t>
            </w:r>
          </w:p>
        </w:tc>
        <w:tc>
          <w:tcPr>
            <w:tcW w:w="26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23.7%</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(18,144)</w:t>
            </w: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0"/>
        </w:trPr>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ceased capitalizing interest in connection with the construction of our K5 factory and research and development facility in Korea in the first quarter of 2016, which resulted in an increase in interest expense in 2017. This increase was partially offset by the early redemption of our 6.625% Senior Notes due 2021 in July 2017. The decrease in interest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 in 2016 compared to 2015 was primarily due to the June 2015 repayment of our 7.375% Senior Notes due May 2018 which was funded by lower cost debt, offset by the ceasing of interest capitalization discussed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foreign currency loss, net in 2017, primarily due to the unfavorable exchange rate movements, mainly the Korean Won, and the associated impact on our net monetary exposure at our foreign subsidiaries. In 2016 and 2015, we recognized net foreign currency gains as a result of favorable exchange rate movements and the associated impact on our net monetary exposure at our foreign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early repayment of our 6.625% Senior Notes due 2021 in July 2017 resulted in a loss on debt retirement of $4.4 million, which was included in other (income) expense, net, offset by an increase in interest income in 2017. In 2015, other (income) expense, net included a net loss of $13.9 million on the acquisition of the remaining interest of J-Devices and a loss on debt retirement of $8.9 million relating to the repayment in full of our 7.375% Senior Notes due May 2018 with proceeds from lower cost debt in June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264"/>
        </w:trPr>
        <w:tc>
          <w:tcPr>
            <w:tcW w:w="4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w w:val="94"/>
              </w:rPr>
              <w:t>2017 over 2016</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2016 over 2015</w:t>
            </w:r>
          </w:p>
        </w:tc>
      </w:tr>
      <w:tr>
        <w:trPr>
          <w:trHeight w:val="250"/>
        </w:trPr>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00" w:type="dxa"/>
            <w:vAlign w:val="bottom"/>
            <w:gridSpan w:val="5"/>
          </w:tcPr>
          <w:p>
            <w:pPr>
              <w:jc w:val="right"/>
              <w:ind w:right="945"/>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38,982</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47,853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28,035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(8,871)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19,818</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12.8%</w:t>
            </w:r>
          </w:p>
        </w:tc>
        <w:tc>
          <w:tcPr>
            <w:tcW w:w="36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20"/>
                <w:szCs w:val="20"/>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our effective tax rate is below the U.S. federal tax rate of 35% because the majority of our income is taxed in foreign jurisdictions in the Asia Pacific region where we benefit from tax holidays or tax rates lower than the U.S. statutory rate. Our income tax expense includes foreign withholding taxes and minimum taxes. The effective income tax rate for 2015 was higher than 2017 and 2016 due primarily to losses in jurisdictions where there was no associated tax benefit.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in 2017 includes an estimated one-time net tax benefit of $41.6 million based on our analysis of the impact of the Tax Act. The components of the one-time benefit include the release of a valuation allowance against U.S. deferred tax assets that we now expect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tax rate of 21%.</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income tax expense reflects the applicable tax rates in effect in the various countries in which our income is earned and is subject to volatility depending on the relative mix of earnings in each location. During 2017, 2016 and 2015, our subsidiaries in Korea, Malaysia, the Philippines, Singapore and Taiwan operated under various tax holidays. The tax holiday granted to certain operations in Taiwan expired as of December 31, 2017. The tax holidays granted to our Malaysia operations and certain operations in the Philippines expire during 2018. As these tax holidays expire, income earned in those jurisdictions will be subject to higher statutory income tax rates, which may cause our effective tax rate to increase.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6 to our Consolidated Financial Statements included in Part II, Item 8 of this Annual Report on Form 10-K for additional information about our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J-Devices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2015, we increased our ownership in J-Devices from 65.7% to 100% through the exercise of existing options. As a result, our accounting for J-Devices changed from the equity method to the consolidation method effective at the time of acquisition on December 31, 2015. There is no equity in earnings of J-Devices subsequent to this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Annual Report on Form 10-K.</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source of cash and the source of funds for our operations are cash flows from operations, current cash and cash equivalents, borrowings under available credit facilities and proceeds from any additional debt or equity financings. As of December 31, 2017, we had cash and cash equivalents of $596.4 million. Included in our cash balance as of December 31, 2017, is $444.6 million held offshore by our foreign subsidiaries. We have the ability to access cash held offshore by our foreign subsidiaries through the repayment of intercompany debt obligations. Due to the changes in U.S. tax law, distributions of cash to the U.S. as dividends in the future will not be subject to U.S. income tax. If we were to distribute this offshore cash to the U.S. as dividends from our foreign subsidiaries, we may be subject to foreign withholding and state income taxes of approximately $18.9 million.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borrowing base under our $200.0 million first lien senior secured revolving credit facility is limited to the amount of our eligible accounts receivable. As of December 31, 2017, we had availability of $199.4 million under this facility, after reduction of $0.6 million of outstanding standby letters of credit. Our foreign subsidiaries had $19.0 million available to be drawn under secured revolving credit facilities and $70.2 million available to be borrowed under secured term loan credit facilities for working capital purposes and capital expenditures. In April 2017, we borrowed $75.0 million on our revolving credit facility in Korea and repaid the outstanding balance of $80.0 million on our term loan due May 2020.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$1,364.4 million of debt. Our scheduled principal repayments on debt include $123.8 million due in 2018, $173.6 million due in 2019, $326.6 million due in 2020, $210.6 million due in 2021 and $530.7 million due in 2022. We were in compliance with all debt covenants at December 31, 2017, and we expect to remain in compliance with these covenants for at least the next twelve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we redeemed $200.0 million of the outstanding $400.0 million of our 6.625% Senior Notes due 2021. The note redemption was funded with cash on hand. We refer you to Note 13 to our Consolidated Financial Statements in Part II, Item 8 of this Annual Report on Form 10-K for additional information.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foreign locations, we use non-recourse factoring arrangements with third 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As such, these factoring arrangements can be reduced or eliminated at any time due to market conditions and changes in the credit worthiness of customers. For the year ended December 31, 2017 and 2016, we sold accounts receivable totaling $611.2 million and $574.1 million, net of discounts and fees of $4.6 million and $2.5 million, respectively.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debt agreements have restrictions on dividend payments and the repurchase of stock and subordinated securities. These restrictions are determined in part by calculations based upon cumulative net income. We have never paid a dividend to our stockholders and we do not have any present plans for doing so. From time to time, Amkor Technology, Inc. also guarantees certain debt of our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December 31, 2017, the severance liability was $153.7 million. Accrued severance benefits are estimated assuming all eligible employees were to terminate their employment at the balance sheet date. For service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subsequent to August 1, 2015, employees participate in either a defined benefit pension plan or a defined contribution pension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a January 2015 patent license litigation settlement, Amkor agreed to pay a total of $155.0 million in 16 equal quarterly recurring payments commencing in the first quarter of 2015 and continuing through the fourth quarter of 2018. As of December 31, 2017, we owe $38.8 million under the settlement agreement.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December 31, 2017,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make significant capital expenditures in order to service the demand of our customers, which is primarily focused on investments in advanced packaging and test equipment. In 2017, our capital expenditures totaled $550.9 million or approximately 13.2% of net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2018 capital expenditures will be approximately $600 million. Ultimately, the amount of our 2018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 Item 1A of this Annual Report on Form 10-K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each of the three years ended December 31, 2017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left="657"/>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618,267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729,402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584,975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(454,832)</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(589,427)</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(514,990)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(124,886)</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(112,179)</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2,613</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year ended December 31, 2017, decreased by $111.1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primarily due to changes in working capital, partially offset by higher sales and gross profit. Our cash flow provided by operating activities for the year ended December 31, 2016, increased by $144.4 million compared to the year ended December 31, 2015. J-Devices contributed $120.0 million of operating cash flow for the year ended December 31, 2016. Excluding J-Devices, our operating cash flow increased in 2016 primarily due to higher sales and gross profit.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 used in investing activities are principally for payments for property, plant and equipment, which decreased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primarily due to the completion of the initial phase of K5 construction in December 2016. The net cash used in investing activities for the year ended December 31, 2017, also included a payment for the acquisition of Nanium and receipt of the remaining proceeds for the sale of the K1 factory in Korea.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year ended December 31, 2017 was primarily driven by the partial redemption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2021, partially offset by the net borrowings in China and Japan. The net cash used in financing activities during 2016 primarily resulted from repayments of our debt and revolving credit facility, offset by borrowings in Japan and Korea.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618,267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729,402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584,975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(650,038)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(537,975)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141,530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208,854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140,165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53,945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2017, and the effect such obligations are expected to have on our liquidity and cash flow in future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86"/>
              </w:rPr>
              <w:t>Payments Due for Year Ending December 31,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r>
      <w:tr>
        <w:trPr>
          <w:trHeight w:val="248"/>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1,365,533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173,649</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326,649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210,649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530,738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255,162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66,274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63,516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51,689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40,197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33,486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143,902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131,860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4,752</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109,826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26,439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10,530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28,955</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Severance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153,735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91,671</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Settlement payments (4)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38,750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2,066,908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402,361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274,743</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274,029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584,254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125,378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Scheduled interest payment obligations were calculated using stated coupon rates for fixed-rate debt and interest rates applicable at December 31, 2017, for variable-rate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December 31, 2017.</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settlement payments for patent license litigation. At December 31, 2017, the total obligation is $38.8 million of which $37.8 million is a current liability and $1.0 million will be imputed into interest over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December 31, 2017, include:</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$43.4 million of foreign pension plan obligations, for which the timing and actual amount of impact on our future cash flow is uncertain.</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$29.0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17 to our Consolidated Financial Statements in Part II, Item 8 of this Annual Report on Form 10-K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Annual Report on Form 10-K. Our preparation of this Annual Report on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account for businesses we acquire using the acquisition method of accounting and record the underlying net assets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acquisition-date fair values. The accounting for acquisitions requires us to make significant estimates and assumptions, including those with respect to future cash flows, discount rates and asset lives, and therefore requires considerable judgment. These determinations affect the amount of depreciation and amortization expense recognized in future periods. Our estimates of fair value are based upon assumptions believed to be reasonable; however, they are inherently uncertain and unpredictable.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from our packaging and test services, net of value-added or other similar taxes, when there is evidence of an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delivery has occurred or services have been rendered, fees are fixed or determinable and collectibility is reasonably assured. Generally, these criteria are met and revenue is recognized upon shipment or, in some cases, customer acceptance. If the revenue recognition criteria are not met, we defer the revenue. Deferred revenue generally results from two types of transactions: contractual invoicing at interim points in the packaging and test process prior to shipment of the finished product and customer advances for supply agreements with customers where we commit capacity in exchange for customer prepayment of services. These prepayments are deferred and recorded as customer advances within accrued expenses and other non-current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do not take ownership of customer-supplied semiconductor wafers. Title and risk of loss remains with the customer for these materials at all times. Accordingly, the cost of the customer-supplied materials is not included in our Consolidated Financial Statements.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allowance for sales credits is recorded as a reduction to sales and accounts receivable during the period of sale such that accounts receivable is reported at its estimated net realizable value. The allowance for sales credits is an estimate of the future credits we will issue for billing adjustments primarily for invoicing corrections and miscellaneous customer claims and is estimated based upon recent credit issuance, historical experience and specific identification of known or expected sales credits at the end of the reporting period. Additionally, provisions are made for doubtful accounts when there is doubt as to the collectibility of accounts receivable. The allowance for doubtful accounts is recorded as bad debt expense and is classified as selling, general and administrative expense. The allowance for doubtful accounts is based upon specific identification of doubtful accounts considering the age of the receivable balance, the customer’s historical payment history and current credit worthiness as well as specific identification of any known or expected collectibility issues. Historically, our allowance for doubtful accounts has been immaterial.</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operate in and file income tax returns in various U.S. and non-U.S. jurisdictions which are subject to examination by tax authorities.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tax holidays or changes in tax laws or regulations could result in increased effective tax rates in the future.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For most of our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select deferred tax assets in certain foreign jurisdictions, including Portugal. In prior years, we maintained a valuation allowance on all of our U.S. net deferred tax assets, including our U.S. net operating loss carryforwards. During the fourth quarter of 2017, we determined it was more likely than not that we will have sufficient taxable income to allow us to realize a substantial portion of our U.S. deferred tax assets. Our evaluation considered, among other factors, limitations on the deductibility of interest expense in connection with the Tax Act.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Accounting for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reported provisional amounts for the income tax effects of the Tax Act for which the accounting is incomplete but a reasonable estimate could be determined. There were no specific impacts of the Tax Act that could not be reasonably estimated. Our estimate of the impact of the Tax Act may be adjusted throughout the allowable measurement period as we collect additional information, prepare and analyze the information and evaluate any regulatory guidance or clarifications. Our review is expected to include:</w:t>
      </w:r>
    </w:p>
    <w:p>
      <w:pPr>
        <w:spacing w:after="0" w:line="187"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One-time transition tax: Further information is required to substantiate the underlying data supporting foreign earnings and profits, foreign tax credits, and amounts held in liquid and illiquid assets at various measurement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dates. Changes to our provisional estimates and further analysis could impact our judgments, elections and assertions.</w:t>
      </w:r>
    </w:p>
    <w:p>
      <w:pPr>
        <w:spacing w:after="0" w:line="23" w:lineRule="exact"/>
        <w:rPr>
          <w:sz w:val="20"/>
          <w:szCs w:val="20"/>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Further analysis is required to calculate the impact on the related account balances including the impact of complex new provisions which include the Base Erosion Anti-abuse Tax and Global Intangible Low-Taxed Income (“GILTI”), designed to subject certain foreign earnings to U.S. tax.</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Valuation allowances: We have assessed whether valuation allowance analyses for deferred tax assets are affected by various aspects of the Tax Act (for example one-time transition tax, GILTI, new categories of foreign tax credits). Since we have recorded provisional amounts related to the provisions of the Tax Act, any corresponding determination of the need for a change in a valuation allowance is also provisional.</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Valuation of Inventory. </w:t>
      </w:r>
      <w:r>
        <w:rPr>
          <w:rFonts w:ascii="Arial" w:cs="Arial" w:eastAsia="Arial" w:hAnsi="Arial"/>
          <w:sz w:val="17"/>
          <w:szCs w:val="17"/>
          <w:color w:val="auto"/>
        </w:rPr>
        <w:t>We order raw materials based on customers’ forecasted demand. If our customers change their forecasted requirements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an annual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We review long-lived assets, which include property, plant and equipment and goodwill,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 Factors we consider important which could trigger an impairment review include the following:</w:t>
      </w:r>
    </w:p>
    <w:p>
      <w:pPr>
        <w:spacing w:after="0" w:line="18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asset;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and Recently Issued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recently adopted and recently issued accounting standards, see Note 2 to our Consolidated Financial Statements included in Part II, Item 8 of this Annual Report on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values and changes in interest rates. Our use of derivative instruments, including forward exchange contracts, has been historically insignificant; however, we continue to evaluate the use of hedging instruments to manage currency and other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our exposure to foreign currency gains and losses, we generally use natural hedging techniques to reduce foreign currency rate risk. The U.S. dollar is our reporting and functional currency and the functional currency for our subsidiaries, except for J-Devices, where the Japanese Yen is the functional currency.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2017, to assess the potential impact of fluctuations in exchange rates for all foreign denominated assets and liabilities. Assuming that all foreign currencies appreciated 10% against the U.S. dollar as of December 31, 2017, our income before taxes would have been approximately $17 million lower, due to the remeasurement of monetary assets and liabilities. We have a significant net monetary liability at our subsidiary in Korea, principally driven by our Korean severance plan.</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have foreign currency exchange rate exposure on our results of operations. For the year ended December 31, 2017, approximately 74% of our net sales were denominated in U.S. dollars. Our remaining net sales were principally denominated in Japanese Yen for local country sales. For the year ended December 31, 2017, approximately 51% of our cost of sales and operating expenses were denominated in U.S. dollars and were largely for raw materials and depreciation.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2017, to assess the potential impact of fluctuations in exchange rates for all foreign denominated sales and operating expenses. Assuming that all foreign currencies appreciated 10% against the U.S. dollar, our operating income for the year ended December 31, 2017 would have been approximately $88 million lower.</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are impacted by changes in exchange rates at entities where the local currency is the functional currency. The effect of foreign exchange rate translation for these entities was a gain of $11.1 million and $5.8 million for the years ended December 31, 2017 and 2016, respectively, and was recognized as an adjustment to equity through other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rate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530,738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900,078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919,405</w:t>
            </w:r>
          </w:p>
        </w:tc>
      </w:tr>
      <w:tr>
        <w:trPr>
          <w:trHeight w:val="237"/>
        </w:trPr>
        <w:tc>
          <w:tcPr>
            <w:tcW w:w="2440" w:type="dxa"/>
            <w:vAlign w:val="bottom"/>
          </w:tcPr>
          <w:p>
            <w:pPr>
              <w:ind w:left="180"/>
              <w:spacing w:after="0"/>
              <w:rPr>
                <w:sz w:val="20"/>
                <w:szCs w:val="20"/>
                <w:color w:val="auto"/>
              </w:rPr>
            </w:pPr>
            <w:r>
              <w:rPr>
                <w:rFonts w:ascii="Arial" w:cs="Arial" w:eastAsia="Arial" w:hAnsi="Arial"/>
                <w:sz w:val="16"/>
                <w:szCs w:val="16"/>
                <w:color w:val="auto"/>
              </w:rPr>
              <w:t>Average interest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rate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465,455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466,227</w:t>
            </w:r>
          </w:p>
        </w:tc>
      </w:tr>
      <w:tr>
        <w:trPr>
          <w:trHeight w:val="237"/>
        </w:trPr>
        <w:tc>
          <w:tcPr>
            <w:tcW w:w="2440" w:type="dxa"/>
            <w:vAlign w:val="bottom"/>
          </w:tcPr>
          <w:p>
            <w:pPr>
              <w:ind w:left="180"/>
              <w:spacing w:after="0"/>
              <w:rPr>
                <w:sz w:val="20"/>
                <w:szCs w:val="20"/>
                <w:color w:val="auto"/>
              </w:rPr>
            </w:pPr>
            <w:r>
              <w:rPr>
                <w:rFonts w:ascii="Arial" w:cs="Arial" w:eastAsia="Arial" w:hAnsi="Arial"/>
                <w:sz w:val="16"/>
                <w:szCs w:val="16"/>
                <w:color w:val="auto"/>
              </w:rPr>
              <w:t>Average interest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maturities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326,649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530,738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1,365,533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1,385,632</w:t>
            </w:r>
          </w:p>
        </w:tc>
      </w:tr>
      <w:tr>
        <w:trPr>
          <w:trHeight w:val="20"/>
        </w:trPr>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16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740" w:type="dxa"/>
            <w:vAlign w:val="bottom"/>
            <w:gridSpan w:val="11"/>
          </w:tcPr>
          <w:p>
            <w:pPr>
              <w:spacing w:after="0"/>
              <w:rPr>
                <w:sz w:val="20"/>
                <w:szCs w:val="20"/>
                <w:color w:val="auto"/>
              </w:rPr>
            </w:pPr>
            <w:r>
              <w:rPr>
                <w:rFonts w:ascii="Arial" w:cs="Arial" w:eastAsia="Arial" w:hAnsi="Arial"/>
                <w:sz w:val="18"/>
                <w:szCs w:val="18"/>
                <w:color w:val="auto"/>
              </w:rPr>
              <w:t>We present the information required by Item 8 of Form 10-K here in the following order:</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4"/>
          </w:tcPr>
          <w:p>
            <w:pPr>
              <w:spacing w:after="0" w:line="202" w:lineRule="exact"/>
              <w:rPr>
                <w:rFonts w:ascii="Arial" w:cs="Arial" w:eastAsia="Arial" w:hAnsi="Arial"/>
                <w:sz w:val="18"/>
                <w:szCs w:val="18"/>
                <w:color w:val="0000FF"/>
                <w:w w:val="91"/>
              </w:rPr>
            </w:pPr>
            <w:hyperlink w:anchor="page52">
              <w:r>
                <w:rPr>
                  <w:rFonts w:ascii="Arial" w:cs="Arial" w:eastAsia="Arial" w:hAnsi="Arial"/>
                  <w:sz w:val="18"/>
                  <w:szCs w:val="18"/>
                  <w:color w:val="0000FF"/>
                  <w:w w:val="91"/>
                </w:rPr>
                <w:t>Report of Independent Registered Public Accounting Firm</w:t>
              </w:r>
            </w:hyperlink>
          </w:p>
        </w:tc>
        <w:tc>
          <w:tcPr>
            <w:tcW w:w="6480" w:type="dxa"/>
            <w:vAlign w:val="bottom"/>
            <w:gridSpan w:val="6"/>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Income — Years ended December 31, 2017, 2016 and 2015</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Comprehensive Income — Years ended December 31, 2017, 2016 and 2015</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80" w:type="dxa"/>
            <w:vAlign w:val="bottom"/>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Balance Sheets — December 31, 2017 and 2016</w:t>
              </w:r>
            </w:hyperlink>
          </w:p>
        </w:tc>
        <w:tc>
          <w:tcPr>
            <w:tcW w:w="3020" w:type="dxa"/>
            <w:vAlign w:val="bottom"/>
            <w:gridSpan w:val="4"/>
          </w:tcPr>
          <w:p>
            <w:pPr>
              <w:spacing w:after="0"/>
              <w:rPr>
                <w:sz w:val="21"/>
                <w:szCs w:val="21"/>
                <w:color w:val="auto"/>
              </w:rPr>
            </w:pPr>
          </w:p>
        </w:tc>
        <w:tc>
          <w:tcPr>
            <w:tcW w:w="320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20" w:type="dxa"/>
            <w:vAlign w:val="bottom"/>
            <w:gridSpan w:val="8"/>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Stockholders’ Equity — Years ended December 31, 2017, 2016 and 2015</w:t>
              </w:r>
            </w:hyperlink>
          </w:p>
        </w:tc>
        <w:tc>
          <w:tcPr>
            <w:tcW w:w="338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Cash Flows — Years ended December 31, 2017, 2016 and 2015</w:t>
              </w:r>
            </w:hyperlink>
          </w:p>
        </w:tc>
        <w:tc>
          <w:tcPr>
            <w:tcW w:w="680" w:type="dxa"/>
            <w:vAlign w:val="bottom"/>
          </w:tcPr>
          <w:p>
            <w:pPr>
              <w:spacing w:after="0"/>
              <w:rPr>
                <w:sz w:val="21"/>
                <w:szCs w:val="21"/>
                <w:color w:val="auto"/>
              </w:rPr>
            </w:pPr>
          </w:p>
        </w:tc>
        <w:tc>
          <w:tcPr>
            <w:tcW w:w="338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Notes to Consolidated Financial Statements</w:t>
              </w:r>
            </w:hyperlink>
          </w:p>
        </w:tc>
        <w:tc>
          <w:tcPr>
            <w:tcW w:w="40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40" w:type="dxa"/>
            <w:vAlign w:val="bottom"/>
            <w:gridSpan w:val="3"/>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Schedule II — Valuation and Qualifying Accounts</w:t>
              </w:r>
            </w:hyperlink>
          </w:p>
        </w:tc>
        <w:tc>
          <w:tcPr>
            <w:tcW w:w="7060" w:type="dxa"/>
            <w:vAlign w:val="bottom"/>
            <w:gridSpan w:val="7"/>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90</w:t>
              </w:r>
            </w:hyperlink>
          </w:p>
        </w:tc>
      </w:tr>
      <w:tr>
        <w:trPr>
          <w:trHeight w:val="939"/>
        </w:trPr>
        <w:tc>
          <w:tcPr>
            <w:tcW w:w="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920" w:type="dxa"/>
            <w:vAlign w:val="bottom"/>
            <w:tcBorders>
              <w:top w:val="single" w:sz="8" w:color="0000FF"/>
            </w:tcBorders>
            <w:gridSpan w:val="2"/>
          </w:tcPr>
          <w:p>
            <w:pPr>
              <w:spacing w:after="0"/>
              <w:rPr>
                <w:sz w:val="24"/>
                <w:szCs w:val="24"/>
                <w:color w:val="auto"/>
              </w:rPr>
            </w:pPr>
          </w:p>
        </w:tc>
        <w:tc>
          <w:tcPr>
            <w:tcW w:w="2680" w:type="dxa"/>
            <w:vAlign w:val="bottom"/>
            <w:gridSpan w:val="3"/>
          </w:tcPr>
          <w:p>
            <w:pPr>
              <w:jc w:val="right"/>
              <w:ind w:right="56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Amkor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Amkor Technology, Inc. and its subsidiaries as of December 31, 2017 and 2016, and the related consolidated statements of income, comprehensive income, stockholders’ equity and cash flows for each of the three years in the period ended December 31, 2017, including the related notes and schedule of valuation and qualifying accounts for each of the three years in the period ended December 31, 2017 appearing under Item 8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4,186,497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3,893,635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2,884,603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3,429,224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3,198,158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2,405,338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695,477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479,265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297,455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284,331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314,426</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401,313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293,940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164,839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related party</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97,443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78,783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96,927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taxes and equity in earnings of unconsolidated affiliate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equity in earnings of unconsolidated affiliate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earnings of J-Devices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260,706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164,190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51,098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238,937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237,416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236,850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239,651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238,034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237,170</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interest in J-Devices' other comprehensive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29,433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30,387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276,963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81,485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572"/>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596,364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549,518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 of $6,946 and $9,902,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692,287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563,107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326,492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267,990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1,650,870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1,409,696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2,695,065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2,564,648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25,036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146,051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89,643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4,521,509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4,092,086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569,085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487,430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294,258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144,370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374,598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338,669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1,361,789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1,005,661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1,240,581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1,364,638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182,216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166,701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76,682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2,830,730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2,688,682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Amkor 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Common stock, $0.001 par value, 500,000 shares authorized, 285,129 and 284,479 shares issued, and 239,184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and 238,665 shares outstanding, respectively</w:t>
            </w: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1,903,357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1,895,089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(303,557)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Treasury stock, at cost, 45,945 and 45,814 shares,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(215,982)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(214,490)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Amkor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1,383,588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1,690,779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1,403,404</w:t>
            </w:r>
          </w:p>
        </w:tc>
        <w:tc>
          <w:tcPr>
            <w:tcW w:w="0" w:type="dxa"/>
            <w:vAlign w:val="bottom"/>
          </w:tcPr>
          <w:p>
            <w:pPr>
              <w:spacing w:after="0"/>
              <w:rPr>
                <w:sz w:val="1"/>
                <w:szCs w:val="1"/>
                <w:color w:val="auto"/>
              </w:rPr>
            </w:pP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4,521,509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4,092,086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68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7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Additional Paid-</w:t>
            </w:r>
          </w:p>
        </w:tc>
        <w:tc>
          <w:tcPr>
            <w:tcW w:w="140" w:type="dxa"/>
            <w:vAlign w:val="bottom"/>
          </w:tcPr>
          <w:p>
            <w:pPr>
              <w:spacing w:after="0"/>
              <w:rPr>
                <w:sz w:val="8"/>
                <w:szCs w:val="8"/>
                <w:color w:val="auto"/>
              </w:rPr>
            </w:pPr>
          </w:p>
        </w:tc>
        <w:tc>
          <w:tcPr>
            <w:tcW w:w="92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8"/>
              </w:rPr>
              <w:t>Stockholders'</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8"/>
                <w:szCs w:val="8"/>
                <w:color w:val="auto"/>
              </w:rPr>
            </w:pPr>
          </w:p>
        </w:tc>
        <w:tc>
          <w:tcPr>
            <w:tcW w:w="660" w:type="dxa"/>
            <w:vAlign w:val="bottom"/>
          </w:tcPr>
          <w:p>
            <w:pPr>
              <w:jc w:val="right"/>
              <w:ind w:right="218"/>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660" w:type="dxa"/>
            <w:vAlign w:val="bottom"/>
          </w:tcPr>
          <w:p>
            <w:pPr>
              <w:jc w:val="right"/>
              <w:ind w:right="1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ind w:left="5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w w:val="89"/>
              </w:rPr>
              <w:t>Balance at December 31, 2014</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282,231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1,878,810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(518,845)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(32,471)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(45,604)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(213,028)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1,114,748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14,701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1,129,449</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51,098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51,098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2,795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53,893</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30,387</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30,387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30,387</w:t>
            </w:r>
          </w:p>
        </w:tc>
        <w:tc>
          <w:tcPr>
            <w:tcW w:w="0" w:type="dxa"/>
            <w:vAlign w:val="bottom"/>
          </w:tcPr>
          <w:p>
            <w:pPr>
              <w:spacing w:after="0"/>
              <w:rPr>
                <w:sz w:val="1"/>
                <w:szCs w:val="1"/>
                <w:color w:val="auto"/>
              </w:rPr>
            </w:pPr>
          </w:p>
        </w:tc>
      </w:tr>
      <w:tr>
        <w:trPr>
          <w:trHeight w:val="148"/>
        </w:trPr>
        <w:tc>
          <w:tcPr>
            <w:tcW w:w="1720" w:type="dxa"/>
            <w:vAlign w:val="bottom"/>
          </w:tcPr>
          <w:p>
            <w:pPr>
              <w:ind w:left="40"/>
              <w:spacing w:after="0" w:line="148" w:lineRule="exact"/>
              <w:rPr>
                <w:sz w:val="20"/>
                <w:szCs w:val="20"/>
                <w:color w:val="auto"/>
              </w:rPr>
            </w:pPr>
            <w:r>
              <w:rPr>
                <w:rFonts w:ascii="Arial" w:cs="Arial" w:eastAsia="Arial" w:hAnsi="Arial"/>
                <w:sz w:val="13"/>
                <w:szCs w:val="13"/>
                <w:color w:val="auto"/>
                <w:w w:val="89"/>
              </w:rPr>
              <w:t>Treasury stock acquired through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200"/>
              <w:spacing w:after="0" w:line="135" w:lineRule="exact"/>
              <w:rPr>
                <w:sz w:val="20"/>
                <w:szCs w:val="20"/>
                <w:color w:val="auto"/>
              </w:rPr>
            </w:pPr>
            <w:r>
              <w:rPr>
                <w:rFonts w:ascii="Arial" w:cs="Arial" w:eastAsia="Arial" w:hAnsi="Arial"/>
                <w:sz w:val="13"/>
                <w:szCs w:val="13"/>
                <w:color w:val="auto"/>
                <w:w w:val="98"/>
              </w:rPr>
              <w:t>surrender of shares for tax</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7"/>
              </w:rPr>
              <w:t>Issuance of stock through share-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6"/>
              </w:rPr>
              <w:t>based compensation 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3,852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3,852</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paid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42"/>
        </w:trPr>
        <w:tc>
          <w:tcPr>
            <w:tcW w:w="1720" w:type="dxa"/>
            <w:vAlign w:val="bottom"/>
          </w:tcPr>
          <w:p>
            <w:pPr>
              <w:ind w:left="40"/>
              <w:spacing w:after="0"/>
              <w:rPr>
                <w:sz w:val="20"/>
                <w:szCs w:val="20"/>
                <w:color w:val="auto"/>
              </w:rPr>
            </w:pPr>
            <w:r>
              <w:rPr>
                <w:rFonts w:ascii="Arial" w:cs="Arial" w:eastAsia="Arial" w:hAnsi="Arial"/>
                <w:sz w:val="13"/>
                <w:szCs w:val="13"/>
                <w:b w:val="1"/>
                <w:bCs w:val="1"/>
                <w:color w:val="auto"/>
                <w:w w:val="89"/>
              </w:rPr>
              <w:t>Balance at December 31, 2015</w:t>
            </w: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282,724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1,883,592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(467,747)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rPr>
              <w:t>(2,084)</w:t>
            </w: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(45,719)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(213,758)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1,200,286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17,250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w w:val="93"/>
              </w:rPr>
              <w:t>1,217,536</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164,190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164,190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167,304</w:t>
            </w:r>
          </w:p>
        </w:tc>
        <w:tc>
          <w:tcPr>
            <w:tcW w:w="0" w:type="dxa"/>
            <w:vAlign w:val="bottom"/>
          </w:tcPr>
          <w:p>
            <w:pPr>
              <w:spacing w:after="0"/>
              <w:rPr>
                <w:sz w:val="1"/>
                <w:szCs w:val="1"/>
                <w:color w:val="auto"/>
              </w:rPr>
            </w:pPr>
          </w:p>
        </w:tc>
      </w:tr>
      <w:tr>
        <w:trPr>
          <w:trHeight w:val="148"/>
        </w:trPr>
        <w:tc>
          <w:tcPr>
            <w:tcW w:w="1720" w:type="dxa"/>
            <w:vAlign w:val="bottom"/>
          </w:tcPr>
          <w:p>
            <w:pPr>
              <w:ind w:left="40"/>
              <w:spacing w:after="0" w:line="148" w:lineRule="exact"/>
              <w:rPr>
                <w:sz w:val="20"/>
                <w:szCs w:val="20"/>
                <w:color w:val="auto"/>
              </w:rPr>
            </w:pPr>
            <w:r>
              <w:rPr>
                <w:rFonts w:ascii="Arial" w:cs="Arial" w:eastAsia="Arial" w:hAnsi="Arial"/>
                <w:sz w:val="13"/>
                <w:szCs w:val="13"/>
                <w:color w:val="auto"/>
                <w:w w:val="97"/>
              </w:rPr>
              <w:t>Other comprehensive income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8,346</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8,346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Treasury stock acquired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8"/>
              </w:rPr>
              <w:t>surrender of shares for tax</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48"/>
        </w:trPr>
        <w:tc>
          <w:tcPr>
            <w:tcW w:w="1720" w:type="dxa"/>
            <w:vAlign w:val="bottom"/>
          </w:tcPr>
          <w:p>
            <w:pPr>
              <w:ind w:left="40"/>
              <w:spacing w:after="0" w:line="148" w:lineRule="exact"/>
              <w:rPr>
                <w:sz w:val="20"/>
                <w:szCs w:val="20"/>
                <w:color w:val="auto"/>
              </w:rPr>
            </w:pPr>
            <w:r>
              <w:rPr>
                <w:rFonts w:ascii="Arial" w:cs="Arial" w:eastAsia="Arial" w:hAnsi="Arial"/>
                <w:sz w:val="13"/>
                <w:szCs w:val="13"/>
                <w:color w:val="auto"/>
                <w:w w:val="87"/>
              </w:rPr>
              <w:t>Issuance of stock through share-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00"/>
              <w:spacing w:after="0"/>
              <w:rPr>
                <w:sz w:val="20"/>
                <w:szCs w:val="20"/>
                <w:color w:val="auto"/>
              </w:rPr>
            </w:pPr>
            <w:r>
              <w:rPr>
                <w:rFonts w:ascii="Arial" w:cs="Arial" w:eastAsia="Arial" w:hAnsi="Arial"/>
                <w:sz w:val="13"/>
                <w:szCs w:val="13"/>
                <w:color w:val="auto"/>
                <w:w w:val="96"/>
              </w:rPr>
              <w:t>based compensation plans</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1,755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8,246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8,247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8,247</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3,251</w:t>
            </w:r>
          </w:p>
        </w:tc>
        <w:tc>
          <w:tcPr>
            <w:tcW w:w="0" w:type="dxa"/>
            <w:vAlign w:val="bottom"/>
          </w:tcPr>
          <w:p>
            <w:pPr>
              <w:spacing w:after="0"/>
              <w:rPr>
                <w:sz w:val="1"/>
                <w:szCs w:val="1"/>
                <w:color w:val="auto"/>
              </w:rPr>
            </w:pPr>
          </w:p>
        </w:tc>
      </w:tr>
      <w:tr>
        <w:trPr>
          <w:trHeight w:val="148"/>
        </w:trPr>
        <w:tc>
          <w:tcPr>
            <w:tcW w:w="1720" w:type="dxa"/>
            <w:vAlign w:val="bottom"/>
          </w:tcPr>
          <w:p>
            <w:pPr>
              <w:ind w:left="40"/>
              <w:spacing w:after="0" w:line="148" w:lineRule="exact"/>
              <w:rPr>
                <w:sz w:val="20"/>
                <w:szCs w:val="20"/>
                <w:color w:val="auto"/>
              </w:rPr>
            </w:pPr>
            <w:r>
              <w:rPr>
                <w:rFonts w:ascii="Arial" w:cs="Arial" w:eastAsia="Arial" w:hAnsi="Arial"/>
                <w:sz w:val="13"/>
                <w:szCs w:val="13"/>
                <w:color w:val="auto"/>
              </w:rPr>
              <w:t>Subsidiary dividends paid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257"/>
        </w:trPr>
        <w:tc>
          <w:tcPr>
            <w:tcW w:w="1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9"/>
              </w:rPr>
              <w:t>Balance at December 31, 2016</w:t>
            </w:r>
          </w:p>
        </w:tc>
        <w:tc>
          <w:tcPr>
            <w:tcW w:w="7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284,479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1,895,089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(303,557)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6,262</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(45,814)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(214,490)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1,383,588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19,816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93"/>
              </w:rPr>
              <w:t>1,403,404</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260,706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260,706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4,182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264,888</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16,257</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0" w:type="dxa"/>
            <w:vAlign w:val="bottom"/>
          </w:tcPr>
          <w:p>
            <w:pPr>
              <w:spacing w:after="0"/>
              <w:rPr>
                <w:sz w:val="1"/>
                <w:szCs w:val="1"/>
                <w:color w:val="auto"/>
              </w:rPr>
            </w:pPr>
          </w:p>
        </w:tc>
      </w:tr>
      <w:tr>
        <w:trPr>
          <w:trHeight w:val="148"/>
        </w:trPr>
        <w:tc>
          <w:tcPr>
            <w:tcW w:w="1720" w:type="dxa"/>
            <w:vAlign w:val="bottom"/>
          </w:tcPr>
          <w:p>
            <w:pPr>
              <w:ind w:left="40"/>
              <w:spacing w:after="0" w:line="148" w:lineRule="exact"/>
              <w:rPr>
                <w:sz w:val="20"/>
                <w:szCs w:val="20"/>
                <w:color w:val="auto"/>
              </w:rPr>
            </w:pPr>
            <w:r>
              <w:rPr>
                <w:rFonts w:ascii="Arial" w:cs="Arial" w:eastAsia="Arial" w:hAnsi="Arial"/>
                <w:sz w:val="13"/>
                <w:szCs w:val="13"/>
                <w:color w:val="auto"/>
                <w:w w:val="89"/>
              </w:rPr>
              <w:t>Treasury stock acquired through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200"/>
              <w:spacing w:after="0" w:line="135" w:lineRule="exact"/>
              <w:rPr>
                <w:sz w:val="20"/>
                <w:szCs w:val="20"/>
                <w:color w:val="auto"/>
              </w:rPr>
            </w:pPr>
            <w:r>
              <w:rPr>
                <w:rFonts w:ascii="Arial" w:cs="Arial" w:eastAsia="Arial" w:hAnsi="Arial"/>
                <w:sz w:val="13"/>
                <w:szCs w:val="13"/>
                <w:color w:val="auto"/>
                <w:w w:val="98"/>
              </w:rPr>
              <w:t>surrender of shares for tax</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7"/>
              </w:rPr>
              <w:t>Issuance of stock through share-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6"/>
              </w:rPr>
              <w:t>based compensation 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paid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242"/>
        </w:trPr>
        <w:tc>
          <w:tcPr>
            <w:tcW w:w="1720" w:type="dxa"/>
            <w:vAlign w:val="bottom"/>
          </w:tcPr>
          <w:p>
            <w:pPr>
              <w:ind w:left="40"/>
              <w:spacing w:after="0"/>
              <w:rPr>
                <w:sz w:val="20"/>
                <w:szCs w:val="20"/>
                <w:color w:val="auto"/>
              </w:rPr>
            </w:pPr>
            <w:r>
              <w:rPr>
                <w:rFonts w:ascii="Arial" w:cs="Arial" w:eastAsia="Arial" w:hAnsi="Arial"/>
                <w:sz w:val="13"/>
                <w:szCs w:val="13"/>
                <w:b w:val="1"/>
                <w:bCs w:val="1"/>
                <w:color w:val="auto"/>
                <w:w w:val="89"/>
              </w:rPr>
              <w:t>Balance at December 31, 2017</w:t>
            </w: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285,129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1,903,357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(42,851)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22,519</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(45,945)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(215,982)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1,667,328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23,451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w w:val="93"/>
              </w:rPr>
              <w:t>1,690,779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688"/>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264,888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167,304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53,893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581,940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555,186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494,200</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real estate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Amortization of deferred debt issuance costs and premiums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1,665</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Equity in earnings of unconsolidated affiliate</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(14,016)</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debt retirement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9,560</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Loss (gain) on disposal of fixed assets,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1,190</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3,852</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Loss from acquisition of J-Devices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13,501</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insurance recovery for property, plant and equipment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4,014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(118,353)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(29,126)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122,840</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27,677</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(3,309)</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Trade accounts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67,574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48,581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(48,368)</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(42,042)</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Pension and severance obligations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23,881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(7,321)</w:t>
            </w:r>
          </w:p>
        </w:tc>
      </w:tr>
      <w:tr>
        <w:trPr>
          <w:trHeight w:val="270"/>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(31,997)</w:t>
            </w:r>
          </w:p>
        </w:tc>
      </w:tr>
      <w:tr>
        <w:trPr>
          <w:trHeight w:val="250"/>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618,267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729,402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584,975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Payments for property, plant and equipment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(550,943)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(650,038)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(537,975)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property, plant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141,530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insurance recovery for property, plant and equipment</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15,166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business, net of cash acquired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Investment in J-Devices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(12,908)</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Disposition of business to J-Devices, net of cash transferred</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8,355</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investing activities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r>
      <w:tr>
        <w:trPr>
          <w:trHeight w:val="256"/>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(454,832)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(589,427)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(514,990)</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revolving credit facilities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290,000</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Payments of revolving credit facilities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(255,000)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short-term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77,781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Payments of short-term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(70,236)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400,000</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Payments of long-term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(405,269)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(32,078)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(537,030)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long-term debt, related party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Payments of capital lease obligations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deferred consideration for purchase of facility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issuance of stock through share-based compensation plans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8,247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931</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r>
      <w:tr>
        <w:trPr>
          <w:trHeight w:val="250"/>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(124,886)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(112,179)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2,613</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fluctuations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72,598</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555,495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527,348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454,750</w:t>
            </w:r>
          </w:p>
        </w:tc>
      </w:tr>
      <w:tr>
        <w:trPr>
          <w:trHeight w:val="28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602,851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555,495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527,348</w:t>
            </w:r>
          </w:p>
        </w:tc>
      </w:tr>
      <w:tr>
        <w:trPr>
          <w:trHeight w:val="22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paid during the period for: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96,227</w:t>
            </w:r>
          </w:p>
        </w:tc>
      </w:tr>
    </w:tbl>
    <w:p>
      <w:pPr>
        <w:sectPr>
          <w:pgSz w:w="11900" w:h="16838" w:orient="portrait"/>
          <w:cols w:equalWidth="0" w:num="1">
            <w:col w:w="11420"/>
          </w:cols>
          <w:pgMar w:left="240" w:top="121"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20" w:type="dxa"/>
            <w:vAlign w:val="bottom"/>
          </w:tcPr>
          <w:p>
            <w:pPr>
              <w:ind w:left="500"/>
              <w:spacing w:after="0"/>
              <w:rPr>
                <w:sz w:val="20"/>
                <w:szCs w:val="20"/>
                <w:color w:val="auto"/>
              </w:rPr>
            </w:pPr>
            <w:r>
              <w:rPr>
                <w:rFonts w:ascii="Arial" w:cs="Arial" w:eastAsia="Arial" w:hAnsi="Arial"/>
                <w:sz w:val="14"/>
                <w:szCs w:val="14"/>
                <w:color w:val="auto"/>
              </w:rPr>
              <w:t>Income taxes</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61,878</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32,174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35,084</w:t>
            </w:r>
          </w:p>
        </w:tc>
      </w:tr>
      <w:tr>
        <w:trPr>
          <w:trHeight w:val="80"/>
        </w:trPr>
        <w:tc>
          <w:tcPr>
            <w:tcW w:w="6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70"/>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investing and financing activities:</w:t>
            </w:r>
          </w:p>
        </w:tc>
        <w:tc>
          <w:tcPr>
            <w:tcW w:w="25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120" w:type="dxa"/>
            <w:vAlign w:val="bottom"/>
          </w:tcPr>
          <w:p>
            <w:pPr>
              <w:ind w:left="500"/>
              <w:spacing w:after="0"/>
              <w:rPr>
                <w:sz w:val="20"/>
                <w:szCs w:val="20"/>
                <w:color w:val="auto"/>
              </w:rPr>
            </w:pPr>
            <w:r>
              <w:rPr>
                <w:rFonts w:ascii="Arial" w:cs="Arial" w:eastAsia="Arial" w:hAnsi="Arial"/>
                <w:sz w:val="14"/>
                <w:szCs w:val="14"/>
                <w:color w:val="auto"/>
              </w:rPr>
              <w:t>Property, plant and equipment included in capital expenditures payable</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294,912</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146,080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242,980</w:t>
            </w:r>
          </w:p>
        </w:tc>
      </w:tr>
      <w:tr>
        <w:trPr>
          <w:trHeight w:val="276"/>
        </w:trPr>
        <w:tc>
          <w:tcPr>
            <w:tcW w:w="6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Equipment acquired through capital lease</w:t>
            </w:r>
          </w:p>
        </w:tc>
        <w:tc>
          <w:tcPr>
            <w:tcW w:w="25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929</w:t>
            </w:r>
          </w:p>
        </w:tc>
        <w:tc>
          <w:tcPr>
            <w:tcW w:w="16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6,358</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throughout China, Japan, Korea, Malaysia, the Philippines, Portugal and Taiwan.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include the accounts of Amkor Technology, Inc. and our subsidiaries (“Amkor”). Our Consolidated Financial Statements reflect the elimination of all significant inter-company accounts and transactions. On December 30, 2015, we increased our investment in J-Devices to 100% (Note 3). As a result, our accounting for J-Devices changed from the equity method to the consolidation method effective December 30, 2015. The operating results of J-Devices were consolidated beginning in 2016. On May 22, 2017, we completed the purchase of Nanium, S.A. ("Nanium"). Nanium's financial results have been included in our Consolidated Financial Statements from the date of acquisition (Note 3).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acquisitions, revenue recognition, income taxes, inventory, long lived assets and contingencies.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Certain prior year amounts have been reclassified to conform to current year presentation.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variable interests in certain Philippine realty corporations in which we have a 40% ownership. We lease land and buildings in the Philippines from these entities and we are the primary beneficiary of these arrangements. As of December 31, 2017, the combined book value of the assets and liabilities associated with these Philippine realty corporations included in our Consolidated Balance Sheet was $16.9 million and $0.4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2017, 2016 or 2015. The creditors of the Philippine realty corporations have no recourse to our general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dollar is the functional currency of our subsidiaries other than J-Devices, and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Japanese Yen is the functional currency of J-Devices. The asset and liability amounts of J-Devices are translated into U.S. dollars at end-of-period exchange rates. Income and expenses are translated into U.S. dollars at average exchange rates in effect during the period.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expense (income) in the period in which they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significant portion of our revenues is concentrated with a small group of customers (Note 18).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for which we are subject to credit risk, consist principally of accounts receivable and cash and cash equivalents.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At December 31, 2017, our cash and cash equivalents were maintained in various U.S. and foreign bank operating and time deposit accounts and invested in U.S. money market funds.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 Our cash and cash equivalents are maintained in various U.S. and foreign bank operating and time deposit accounts and invested in U.S.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and net realizable value. Cost is principally 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current assets consist principally of prepaid assets and an investment in government securities by a foreign subsidiary to satisfy local regulatory requirements, which is recorded at amortized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by the straight-line method over the estimated useful lives of depreciable assets which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5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50 to 90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5000" w:type="dxa"/>
            <w:vAlign w:val="bottom"/>
          </w:tcPr>
          <w:p>
            <w:pPr>
              <w:ind w:left="3560"/>
              <w:spacing w:after="0"/>
              <w:rPr>
                <w:sz w:val="20"/>
                <w:szCs w:val="20"/>
                <w:color w:val="auto"/>
              </w:rPr>
            </w:pPr>
            <w:r>
              <w:rPr>
                <w:rFonts w:ascii="Arial" w:cs="Arial" w:eastAsia="Arial" w:hAnsi="Arial"/>
                <w:sz w:val="18"/>
                <w:szCs w:val="18"/>
                <w:color w:val="auto"/>
              </w:rPr>
              <w:t>10 to 40 years</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00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color w:val="auto"/>
              </w:rPr>
              <w:t>2 to 7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Software and computer equipment</w:t>
            </w:r>
          </w:p>
        </w:tc>
        <w:tc>
          <w:tcPr>
            <w:tcW w:w="5000" w:type="dxa"/>
            <w:vAlign w:val="bottom"/>
          </w:tcPr>
          <w:p>
            <w:pPr>
              <w:ind w:left="3560"/>
              <w:spacing w:after="0"/>
              <w:rPr>
                <w:sz w:val="20"/>
                <w:szCs w:val="20"/>
                <w:color w:val="auto"/>
              </w:rPr>
            </w:pPr>
            <w:r>
              <w:rPr>
                <w:rFonts w:ascii="Arial" w:cs="Arial" w:eastAsia="Arial" w:hAnsi="Arial"/>
                <w:sz w:val="18"/>
                <w:szCs w:val="18"/>
                <w:color w:val="auto"/>
              </w:rPr>
              <w:t>3 to 5 years</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5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4 to 10 years</w:t>
            </w:r>
          </w:p>
        </w:tc>
      </w:tr>
      <w:tr>
        <w:trPr>
          <w:trHeight w:val="27"/>
        </w:trPr>
        <w:tc>
          <w:tcPr>
            <w:tcW w:w="64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for property retired or disposed of are removed from the accounts, and any resulting gain or loss is included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principally of deferred tax assets and refundable security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revenue from our packaging and test services, net of value-added or other similar taxes, when there is evidence of an arrangement, delivery has occurred or services have been rendered, fees are fixed or determinable and collectibility is reasonably assured. Generally, these criteria are met and revenue is recognized upon shipment or, in some cases, customer acceptance. If the revenue recognition criteria are not met, we defer the revenue. Deferred revenue generally results from two types of transactions: contractual invoicing at interim points in the packaging and test process prior to shipment of the finished product and customer advances for supply agreements with customers where we commit capacity in exchange for customer prepayment of services. These prepayments are deferred and recorded as customer advances within accrued expenses and other non-current liabilities.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do not take ownership of customer-supplied semiconductor wafers. Title and risk of loss remains with the customer for these materials at all times. Accordingly, the cost of the customer-supplied materials is not included in our Consolidated Financial Statements.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allowance for sales credits is recorded as a reduction to sales and accounts receivable during the period of sale such that accounts receivable is reported at its estimated net realizable value. The allowance for sales credits is an estimate of the future credits we will issue for billing adjustments primarily for invoicing corrections and miscellaneous customer claims and is estimated based upon recent credit issuance, historical experience and specific identification of known or expected sales credits at the end of the reporting period. Additionally, provisions are made for doubtful accounts when there is doubt as to the collectibility of accounts receivable. The allowance for doubtful accounts is recorded as bad debt expense and is classified as selling, general and administrative expense. The allowance for doubtful accounts is based upon specific identification of doubtful accounts considering the age of the receivable balance, the customer’s historical payment history and current credit worthiness as well as specific identification of any known or expected collectibility issues. Historically, our allowance for doubtful accounts has been immaterial.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Amounts billed to customers for shipping and handling are presented in net sales. Costs incurred for shipping and handling are included in cost of sales.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salaries, payroll taxes, employee benefit costs, materials, supplies, depreciation and maintenance of research equipment, services provided by outside contractors and the allocable portions of facility costs such as rent, utilities, insurance, repairs and maintenance, depreciation and general support services. All costs associated with research and development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U.S. and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Accounting for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reported provisional amounts for the income tax effects of the Tax Act for which the accounting is incomplete but a reasonable estimate could be determined. There were no specific impacts of the Tax Act that could not be reasonably estimated. Our estimate of the impact of the Tax Act may be adjusted throughout the allowable measurement period as we collect additional information, prepare and analyze the information and evaluate any regulatory guidance or clarifications. Our review is expected to include:</w:t>
      </w:r>
    </w:p>
    <w:p>
      <w:pPr>
        <w:spacing w:after="0" w:line="187" w:lineRule="exact"/>
        <w:rPr>
          <w:sz w:val="20"/>
          <w:szCs w:val="20"/>
          <w:color w:val="auto"/>
        </w:rPr>
      </w:pPr>
    </w:p>
    <w:p>
      <w:pPr>
        <w:jc w:val="both"/>
        <w:ind w:left="66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One-time transition tax: Further information is required to substantiate the underlying data supporting foreign earnings and profits, foreign tax credits, and amounts held in liquid and illiquid assets at various measurement dates. Changes to our provisional estimates and further analysis could impact our judgments, elections and assertions.</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Further analysis is required to calculate the impact on the related account balances including the impact of complex new provisions which include the Base Erosion Anti-abuse Tax and Global Intangible Low-Taxed Income (“GILTI”), designed to subject certain foreign earnings to U.S. tax.</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Valuation allowances: We have assessed whether valuation allowance analyses for deferred tax assets are affected by various aspects of the Tax Act (for example one-time transition tax, GILTI, new categories of foreign tax credits).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Since we have recorded provisional amounts related to the provisions of the Tax Act, any corresponding determination of the need for a change in a valuation allowance is also provisional.</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more information regarding unrecognized income tax benefits.</w:t>
      </w:r>
    </w:p>
    <w:p>
      <w:pPr>
        <w:spacing w:after="0" w:line="22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2015-11, </w:t>
      </w:r>
      <w:r>
        <w:rPr>
          <w:rFonts w:ascii="Arial" w:cs="Arial" w:eastAsia="Arial" w:hAnsi="Arial"/>
          <w:sz w:val="18"/>
          <w:szCs w:val="18"/>
          <w:i w:val="1"/>
          <w:iCs w:val="1"/>
          <w:color w:val="auto"/>
        </w:rPr>
        <w:t>Inventory -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Inventory (Topic 330)</w:t>
      </w:r>
      <w:r>
        <w:rPr>
          <w:rFonts w:ascii="Arial" w:cs="Arial" w:eastAsia="Arial" w:hAnsi="Arial"/>
          <w:sz w:val="18"/>
          <w:szCs w:val="18"/>
          <w:color w:val="auto"/>
        </w:rPr>
        <w:t>. ASU 2015-11 requires inventory to be subsequently measured using the lower of cost and net realizable value,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eliminating the market value approach. Net realizable value is defined as the “estimated selling prices in the ordinary course of business, less reasonably predictable costs of completion, disposal and transportation.” ASU 2015-11 is effective for reporting periods beginning after December 15, 2016 and is applied prospectively. We adopted ASU 2015-11 at January 1, 2017. The adoption of ASU 2015-11 did not have a significant impact on our financial statements or disclosure.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 - Goodwill and Other (Topic 350) - Simplifying the Test for Goodwill Impairment</w:t>
      </w:r>
      <w:r>
        <w:rPr>
          <w:rFonts w:ascii="Arial" w:cs="Arial" w:eastAsia="Arial" w:hAnsi="Arial"/>
          <w:sz w:val="18"/>
          <w:szCs w:val="18"/>
          <w:color w:val="auto"/>
        </w:rPr>
        <w:t>. ASU 2017-04 simplifies the goodwill impairment test by eliminating the second step of the current two-step impairment test. ASU 2017-04 is effective for interim and annual goodwill impairment tests in fiscal years beginning after December 15, 2019 and is applied prospectively. Early adoption is permitted for interim or annual goodwill impairment tests performed on testing dates after January 1, 2017. We adopted ASU 2017-04 at January 1, 2017. The adoption of ASU 2017-04 did not have a significant impact on our financial statements or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ASU 2014-09 permits the use of either full retrospective or modified retrospective methods of adoption. In August 2015, the FASB issued ASU 2015-14,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 Deferral of the Effective Date</w:t>
      </w:r>
      <w:r>
        <w:rPr>
          <w:rFonts w:ascii="Arial" w:cs="Arial" w:eastAsia="Arial" w:hAnsi="Arial"/>
          <w:sz w:val="16"/>
          <w:szCs w:val="16"/>
          <w:color w:val="auto"/>
        </w:rPr>
        <w:t>, which defers the effective date by one year to December 15, 2017,</w:t>
      </w:r>
      <w:r>
        <w:rPr>
          <w:rFonts w:ascii="Arial" w:cs="Arial" w:eastAsia="Arial" w:hAnsi="Arial"/>
          <w:sz w:val="16"/>
          <w:szCs w:val="16"/>
          <w:i w:val="1"/>
          <w:iCs w:val="1"/>
          <w:color w:val="auto"/>
        </w:rPr>
        <w:t xml:space="preserve"> </w:t>
      </w:r>
      <w:r>
        <w:rPr>
          <w:rFonts w:ascii="Arial" w:cs="Arial" w:eastAsia="Arial" w:hAnsi="Arial"/>
          <w:sz w:val="16"/>
          <w:szCs w:val="16"/>
          <w:color w:val="252525"/>
        </w:rPr>
        <w:t>for interim and annual reporting periods beginning</w:t>
      </w:r>
      <w:r>
        <w:rPr>
          <w:rFonts w:ascii="Arial" w:cs="Arial" w:eastAsia="Arial" w:hAnsi="Arial"/>
          <w:sz w:val="16"/>
          <w:szCs w:val="16"/>
          <w:i w:val="1"/>
          <w:iCs w:val="1"/>
          <w:color w:val="auto"/>
        </w:rPr>
        <w:t xml:space="preserve"> </w:t>
      </w:r>
      <w:r>
        <w:rPr>
          <w:rFonts w:ascii="Arial" w:cs="Arial" w:eastAsia="Arial" w:hAnsi="Arial"/>
          <w:sz w:val="16"/>
          <w:szCs w:val="16"/>
          <w:color w:val="252525"/>
        </w:rPr>
        <w:t>after that date</w:t>
      </w:r>
      <w:r>
        <w:rPr>
          <w:rFonts w:ascii="Arial" w:cs="Arial" w:eastAsia="Arial" w:hAnsi="Arial"/>
          <w:sz w:val="16"/>
          <w:szCs w:val="16"/>
          <w:color w:val="000000"/>
        </w:rPr>
        <w:t>. In March, April, May and December 2016, the FASB issued ASU 2016-08</w:t>
      </w:r>
      <w:r>
        <w:rPr>
          <w:rFonts w:ascii="Arial" w:cs="Arial" w:eastAsia="Arial" w:hAnsi="Arial"/>
          <w:sz w:val="16"/>
          <w:szCs w:val="16"/>
          <w:i w:val="1"/>
          <w:iCs w:val="1"/>
          <w:color w:val="000000"/>
        </w:rPr>
        <w:t>,</w:t>
      </w:r>
      <w:r>
        <w:rPr>
          <w:rFonts w:ascii="Arial" w:cs="Arial" w:eastAsia="Arial" w:hAnsi="Arial"/>
          <w:sz w:val="16"/>
          <w:szCs w:val="16"/>
          <w:color w:val="252525"/>
        </w:rPr>
        <w:t xml:space="preserve"> </w:t>
      </w:r>
      <w:r>
        <w:rPr>
          <w:rFonts w:ascii="Arial" w:cs="Arial" w:eastAsia="Arial" w:hAnsi="Arial"/>
          <w:sz w:val="16"/>
          <w:szCs w:val="16"/>
          <w:color w:val="000000"/>
        </w:rPr>
        <w:t>ASU 2016-10, ASU 2016-12 and ASU 2016-20, respectively,</w:t>
      </w:r>
      <w:r>
        <w:rPr>
          <w:rFonts w:ascii="Arial" w:cs="Arial" w:eastAsia="Arial" w:hAnsi="Arial"/>
          <w:sz w:val="16"/>
          <w:szCs w:val="16"/>
          <w:color w:val="252525"/>
        </w:rPr>
        <w:t xml:space="preserve"> </w:t>
      </w:r>
      <w:r>
        <w:rPr>
          <w:rFonts w:ascii="Arial" w:cs="Arial" w:eastAsia="Arial" w:hAnsi="Arial"/>
          <w:sz w:val="16"/>
          <w:szCs w:val="16"/>
          <w:color w:val="000000"/>
        </w:rPr>
        <w:t>which provide supplemental guidance and clarification to ASU 2014-09. In September 2017, the FASB issued ASU 2017-13, which provides supplemental guidance and clarification to ASU 2014-09. The new standard will result in a change to the timing of revenue recognition, whereby revenue will be recognized "over time" as services are performed rather than at a "point in time", generally upon shipment. The new standard will also result in an increase in accounts receivables, net and a related decrease in inventories, deferred revenues and accumulated deficit. We will adopt the standard using the full retrospective method to adjust each prior reporting period presented. We are in the process of finalizing the impact that this new standard will have on our consolidated financial statements and disclosure; however, we expect the following impacts to our reported results: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5"/>
          </w:tcPr>
          <w:p>
            <w:pPr>
              <w:jc w:val="center"/>
              <w:ind w:right="175"/>
              <w:spacing w:after="0"/>
              <w:rPr>
                <w:sz w:val="20"/>
                <w:szCs w:val="20"/>
                <w:color w:val="auto"/>
              </w:rPr>
            </w:pPr>
            <w:r>
              <w:rPr>
                <w:rFonts w:ascii="Arial" w:cs="Arial" w:eastAsia="Arial" w:hAnsi="Arial"/>
                <w:sz w:val="14"/>
                <w:szCs w:val="14"/>
                <w:b w:val="1"/>
                <w:bCs w:val="1"/>
                <w:color w:val="auto"/>
                <w:w w:val="92"/>
              </w:rPr>
              <w:t>For the Year Ended December 31, 2017</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13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2"/>
              </w:rPr>
              <w:t>New Revenue</w:t>
            </w:r>
          </w:p>
        </w:tc>
        <w:tc>
          <w:tcPr>
            <w:tcW w:w="460" w:type="dxa"/>
            <w:vAlign w:val="bottom"/>
          </w:tcPr>
          <w:p>
            <w:pPr>
              <w:spacing w:after="0"/>
              <w:rPr>
                <w:sz w:val="13"/>
                <w:szCs w:val="13"/>
                <w:color w:val="auto"/>
              </w:rPr>
            </w:pPr>
          </w:p>
        </w:tc>
        <w:tc>
          <w:tcPr>
            <w:tcW w:w="12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Standard Adjustment</w:t>
            </w: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(Estimate)</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(Estimate)</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00" w:type="dxa"/>
            <w:vAlign w:val="bottom"/>
            <w:gridSpan w:val="4"/>
          </w:tcPr>
          <w:p>
            <w:pPr>
              <w:jc w:val="center"/>
              <w:ind w:left="858"/>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4,186,497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24,000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4,210,497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3,429,224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17,000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3,446,224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264,888</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269,888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0.02</w:t>
            </w:r>
          </w:p>
        </w:tc>
        <w:tc>
          <w:tcPr>
            <w:tcW w:w="4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615"/>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5"/>
          </w:tcPr>
          <w:p>
            <w:pPr>
              <w:jc w:val="center"/>
              <w:ind w:right="175"/>
              <w:spacing w:after="0"/>
              <w:rPr>
                <w:sz w:val="20"/>
                <w:szCs w:val="20"/>
                <w:color w:val="auto"/>
              </w:rPr>
            </w:pPr>
            <w:r>
              <w:rPr>
                <w:rFonts w:ascii="Arial" w:cs="Arial" w:eastAsia="Arial" w:hAnsi="Arial"/>
                <w:sz w:val="14"/>
                <w:szCs w:val="14"/>
                <w:b w:val="1"/>
                <w:bCs w:val="1"/>
                <w:color w:val="auto"/>
                <w:w w:val="92"/>
              </w:rPr>
              <w:t>For the Year Ended December 31, 2016</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center"/>
              <w:ind w:right="258"/>
              <w:spacing w:after="0" w:line="153" w:lineRule="exact"/>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13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2"/>
              </w:rPr>
              <w:t>New Revenue</w:t>
            </w:r>
          </w:p>
        </w:tc>
        <w:tc>
          <w:tcPr>
            <w:tcW w:w="460" w:type="dxa"/>
            <w:vAlign w:val="bottom"/>
          </w:tcPr>
          <w:p>
            <w:pPr>
              <w:spacing w:after="0"/>
              <w:rPr>
                <w:sz w:val="13"/>
                <w:szCs w:val="13"/>
                <w:color w:val="auto"/>
              </w:rPr>
            </w:pPr>
          </w:p>
        </w:tc>
        <w:tc>
          <w:tcPr>
            <w:tcW w:w="12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3"/>
              </w:rPr>
              <w:t>Previously</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Standard Adjustment</w:t>
            </w: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(Estimate)</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(Estimate)</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00" w:type="dxa"/>
            <w:vAlign w:val="bottom"/>
            <w:gridSpan w:val="4"/>
          </w:tcPr>
          <w:p>
            <w:pPr>
              <w:jc w:val="center"/>
              <w:ind w:left="858"/>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3,893,635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36,000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3,929,635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3,198,158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21,000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3,219,158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167,304</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11,000</w:t>
            </w:r>
          </w:p>
        </w:tc>
        <w:tc>
          <w:tcPr>
            <w:tcW w:w="4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178,304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0.05</w:t>
            </w:r>
          </w:p>
        </w:tc>
        <w:tc>
          <w:tcPr>
            <w:tcW w:w="4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0.69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615"/>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December 31, 2017</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13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2"/>
              </w:rPr>
              <w:t>New Revenue</w:t>
            </w:r>
          </w:p>
        </w:tc>
        <w:tc>
          <w:tcPr>
            <w:tcW w:w="460" w:type="dxa"/>
            <w:vAlign w:val="bottom"/>
          </w:tcPr>
          <w:p>
            <w:pPr>
              <w:spacing w:after="0"/>
              <w:rPr>
                <w:sz w:val="13"/>
                <w:szCs w:val="13"/>
                <w:color w:val="auto"/>
              </w:rPr>
            </w:pPr>
          </w:p>
        </w:tc>
        <w:tc>
          <w:tcPr>
            <w:tcW w:w="12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Standard Adjustment</w:t>
            </w: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(Estimate)</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(Estimate)</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692,287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106,000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798,287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326,492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213,492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374,598</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326,598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(42,851)</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31,000</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requires a dual approach for lessee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using a modified retrospective approach. Early adoption is permitted. In September 2017 and January 2018, the FASB issued ASU 2017-13 and ASU 2018-01, respectively, which provide supplemental guidance and clarification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ASU 2016-02. We are currently evaluating the impact that this guidance may have on our financial statements and disclosure.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ASU 2017-07 requires that the service cost component of net periodic pension costs be presented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as other compensation costs and all other components of net periodic pension costs to be presented in the statement of income as nonoperating expenses. ASU 2017-07 is effective for annual periods beginning after December 15, 2017, including interim periods within those annual periods. We will use the amounts previously disclosed within the prior year financial statements as a practical expedient for retrospective presentation within the consolidated statements of income. ASU 2017-07 will not have a material impact to our financial statements upon adoption.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Accumulated Other Comprehensive Income. </w:t>
      </w:r>
      <w:r>
        <w:rPr>
          <w:rFonts w:ascii="Arial" w:cs="Arial" w:eastAsia="Arial" w:hAnsi="Arial"/>
          <w:sz w:val="17"/>
          <w:szCs w:val="17"/>
          <w:color w:val="auto"/>
        </w:rPr>
        <w:t>ASU 2018-02 allows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Tax Act. ASU 2018-02 is effective for fiscal years, including interim periods within those fiscal years, beginning after December 15, 2018. Early adoption is permitted. Adoption of this ASU should be applied either in the period of adoption or retrospectively to each period (or periods) in which the effect of the change in the U.S. federal corporate income tax rate in the Tax Act is recognized. We are currently evaluating the impact that this guidance may have on our financial statements and disclosure.</w:t>
      </w:r>
    </w:p>
    <w:p>
      <w:pPr>
        <w:spacing w:after="0" w:line="17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Nanium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Step-acquisition of J-Devices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30, 2015, through the exercise of additional options, we increased our ownership interest in J-Devices from 65.7% to 100% for a purchase price of $105.4 million. As a result, our accounting for J-Devices changed from the equity method to the consolidation method effective December 30, 2015. The operating results of J-Devices were consolidated beginning in 2016. The acquisition of the remaining interest expands our presence in Japan and our business worldwide by capitalizing on our leadership position in the automotive market. Since there were no material transactions from December 30, 2015 to December 31, 2015, and for the convenience of reporting the acquisition for accounting purposes, December 31, 2015 was designated as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consideration transferred to acquire J-Devices and the amounts of identifiable assets acquired and liabilities assumed at the acquisition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91"/>
              <w:spacing w:after="0"/>
              <w:rPr>
                <w:sz w:val="20"/>
                <w:szCs w:val="20"/>
                <w:color w:val="auto"/>
              </w:rPr>
            </w:pPr>
            <w:r>
              <w:rPr>
                <w:rFonts w:ascii="Arial" w:cs="Arial" w:eastAsia="Arial" w:hAnsi="Arial"/>
                <w:sz w:val="14"/>
                <w:szCs w:val="14"/>
                <w:b w:val="1"/>
                <w:bCs w:val="1"/>
                <w:color w:val="auto"/>
                <w:w w:val="99"/>
              </w:rPr>
              <w:t>(In thousands)</w:t>
            </w:r>
          </w:p>
        </w:tc>
      </w:tr>
      <w:tr>
        <w:trPr>
          <w:trHeight w:val="255"/>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105,391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Fair value of our previously held equity interest in J-Devices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160,087</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265,478</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9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127,968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180,177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42,502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230,319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(36,770)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(251,405)</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(18,885)</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(21,218)</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242,069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23,409</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265,478</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goodwill is attributable to the workforce of J-Devices, as well as cost savings and synergies expected from combining the operations of J-Devices. It is not deductible for tax purposes.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obtaining control over J-Devices, our previously held equity interest of 65.7% was remeasured to fair value, resulting in a gain of $16.1 million. Additionally, our previously held equity interest in J-Devices' accumulated foreign currency translation adjustments was released upon consolidation of J-Devices, resulting in a loss of $29.6 million. The combined net loss of $13.5 million was recognized in other (income) expense, net (Note 5) in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our previously held equity interest in J-Devices was estimated by applying an income approach using the discounted cash flow method. The fair value measurement is based on significant inputs not observable in the market and thus represents a Level 3 fair value measurement. Key assumptions include our estimates of J-Devices’ financial projections, a terminal value based on its expected long-term growth rate and a discount rate based on the weighted-average cost of capital of comparable companies.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unaudited pro forma consolidated results of operations have been prepared as if the acquisition of J-Devices had occurred on January 1, 2014. The pro forma results include adjustments related to alignment to our accounting policies, the effect of fair value adjustments on property, plant and equipment and the related income tax effect. We also eliminated inter-company activity between the parties in the consolidated results. The pro forma results include the activities that are nonrecurring and not representative of future activities, including the gain of $16.2 million from reversal of a deferred tax asset valuation allowance and the gain of $12.6 million from release of accumulated foreign currency translation adjustments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merging our subsidiary into J-Devices in 2014, offset by the loss on acquisition of J-Devices of $13.5 million in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pro forma data is presented for informational purposes only and does not purport to be indicative of the results of future operations or of the results that would have occurred had the 2015 acquisition taken place on January 1, 2014. The pro forma information does not include any potential revenue enhancements, cost synergies or other operating efficiencies that could result from the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For the Year Ended December 31</w:t>
            </w:r>
          </w:p>
        </w:tc>
      </w:tr>
      <w:tr>
        <w:trPr>
          <w:trHeight w:val="258"/>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53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76"/>
        </w:trPr>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(unaudited)</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7"/>
              </w:rPr>
              <w:t>(In thousands, except per share data)</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3,696,495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4,051,076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88,190</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153,049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85,394</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149,548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0.36</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0.65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0.63</w:t>
            </w:r>
          </w:p>
        </w:tc>
      </w:tr>
      <w:tr>
        <w:trPr>
          <w:trHeight w:val="27"/>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share-based compensation is measured at fair value and expensed over the service period (generally the vesting period). The amount of compensation expense to be recognized is adjusted for an estimated forfeiture rate which is based on historical data. For the years ended December 31, 2017, 2016 and 2015, we recognized share-based compensation attributable to stock options and restricted shares of $5.1 million, $3.3 million and $3.9 million, respectively, primarily in selling, general and administrative expenses. The corresponding deferred income tax benefits for stock options or restricted shares is $2.4 million for 2017 and zero for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Amended and Restated 2007 Equity Incentive Plan. </w:t>
      </w:r>
      <w:r>
        <w:rPr>
          <w:rFonts w:ascii="Arial" w:cs="Arial" w:eastAsia="Arial" w:hAnsi="Arial"/>
          <w:sz w:val="18"/>
          <w:szCs w:val="18"/>
          <w:color w:val="auto"/>
        </w:rPr>
        <w:t>The Amended and Restated 2007 Equity Incentive Plan, (the “2007 Plan”) provides for the grant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2007 Plan is effective through 2027 and can be terminated at the discretion of the Board of Directors. There were originally 17.0 million shares of our common stock reserved for issuance under the 2007 Plan and at December 31, 2017 there were 8.0 million shares available for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for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Fully vested at December 31, 2017 and expected to vest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7.46</w:t>
            </w:r>
          </w:p>
        </w:tc>
        <w:tc>
          <w:tcPr>
            <w:tcW w:w="100" w:type="dxa"/>
            <w:vAlign w:val="bottom"/>
            <w:gridSpan w:val="2"/>
            <w:vMerge w:val="restart"/>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7"/>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8.83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CCEEFF"/>
            </w:tcBorders>
            <w:gridSpan w:val="2"/>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40" w:type="dxa"/>
            <w:vAlign w:val="bottom"/>
            <w:gridSpan w:val="8"/>
          </w:tcPr>
          <w:p>
            <w:pPr>
              <w:spacing w:after="0"/>
              <w:rPr>
                <w:sz w:val="20"/>
                <w:szCs w:val="20"/>
                <w:color w:val="auto"/>
              </w:rPr>
            </w:pPr>
            <w:r>
              <w:rPr>
                <w:rFonts w:ascii="Arial" w:cs="Arial" w:eastAsia="Arial" w:hAnsi="Arial"/>
                <w:sz w:val="18"/>
                <w:szCs w:val="18"/>
                <w:color w:val="auto"/>
                <w:w w:val="96"/>
              </w:rPr>
              <w:t>The following assumptions were used to calculate the weighted-average fair values of the options granted: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per option granted</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expense from stock options was $9.6 million as of December 31, 2017, which is expected to be recognized over a weighted-average period of approximately 3.0 years beginning January 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restricted shares to directors and employees under the 2007 Plan. Restricted shares granted to directors vest on the earlier of the one year anniversary of the grant date or the date of the next annual meeting of stockholders. All other restricted shares vest ratably over four years, with 6.25% of the shares vesting in equal quarterly installments such that 100% of the shares will become vested on the fourth anniversary of the award, subject to the recipient’s continued employment with us on the applicable vesting dates. In addition, provided that the restricted shares have not been forfeited earlier,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 Upon vesting of restricted stock awards, we may issue new shares of common or treasury stock.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share activity for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forfeited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unrecognized compensation cost from restricted shares was $1.5 million as of December 31, 2017, which is expected to be recognized over a weighted-average period of approximately 2.8 years beginning January 1, 2017.</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13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(3,215)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9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11,823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(7,849)</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acquisition of J-Devices (Note 3)</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13,501</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11,889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10,551</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Act was signed into law. The Tax Act reduced the corporate tax rate from 35% to 21%, included a one-time transition tax on unremitted foreign earnings and profits applicable for our fiscal year ended December 31, 2017 and limited tax deductions for interest expense for periods beginning January 1, 2018 which caused a release of valuation allowance. In 2017, we recognized a net benefit for the impact of the Tax Act with components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transition tax before credits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(128,395)</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Release valuation allowance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(112,703)</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impact of the Tax Act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(41,554)</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accordance with SEC staff issued Staff Accounting Bulletin No. 118, we have not finalized our accounting and have made a provisional estimate of the impacts of the Tax Act. (See Note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Geographic sources of income (loss) before taxes and equity in earnings of unconsolidated affiliate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288,935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227,542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107,596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 and equity in earnings of unconsolidated affiliate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303,870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215,157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67,912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includes current federal, state and foreign taxes payable and those deferred because of temporary differences between the financial statement and the tax bases of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81,969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49,577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28,035</w:t>
            </w: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9"/>
        </w:trPr>
        <w:tc>
          <w:tcPr>
            <w:tcW w:w="8620" w:type="dxa"/>
            <w:vAlign w:val="bottom"/>
            <w:gridSpan w:val="5"/>
          </w:tcPr>
          <w:p>
            <w:pPr>
              <w:spacing w:after="0"/>
              <w:rPr>
                <w:sz w:val="20"/>
                <w:szCs w:val="20"/>
                <w:color w:val="auto"/>
              </w:rPr>
            </w:pPr>
            <w:r>
              <w:rPr>
                <w:rFonts w:ascii="Arial" w:cs="Arial" w:eastAsia="Arial" w:hAnsi="Arial"/>
                <w:sz w:val="18"/>
                <w:szCs w:val="18"/>
                <w:color w:val="auto"/>
                <w:w w:val="90"/>
              </w:rPr>
              <w:t>The reconciliation between the U.S. federal statutory income tax rate of 35% and our income tax expense is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 at 35%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106,354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(loss) gain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related to prior years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(the Tax Act)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credits generated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foreign earnings and profits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Expiration of net operating losses and credits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loss on acquisition of J-Devices (Note 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28,035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valuation allowance, excluding the impact of the Tax Act, for 2017, 2016 and 2015 is primarily the result of changes in net operating loss and tax credit carryforwards for which no tax expense or benefit has been recognized. The benefit of foreign income taxed at different rates has increased as foreign income before tax has increased. In 2016, we recognized taxable income and associated foreign income tax credits from the repatriation of foreign earnings and profits in connection with the merger of our Japanese subsidiaries. In 2015, we recognized a loss in connection with our increased ownership interest in J-Devices which is not deductible for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deferred tax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4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53,130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111,899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credits</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41,900</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35,479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Receivable</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32,719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foreign exchange loss</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14,583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228,023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259,336</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Valuation allowance</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(165,367)</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Deferred gain</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foreign exchange gain</w:t>
            </w:r>
          </w:p>
        </w:tc>
        <w:tc>
          <w:tcPr>
            <w:tcW w:w="3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assets</w:t>
            </w:r>
          </w:p>
        </w:tc>
        <w:tc>
          <w:tcPr>
            <w:tcW w:w="36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115,043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65,081</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as:</w:t>
            </w:r>
          </w:p>
        </w:tc>
        <w:tc>
          <w:tcPr>
            <w:tcW w:w="36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117,608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66,831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3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115,043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65,081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60" w:type="dxa"/>
            <w:vAlign w:val="bottom"/>
            <w:vMerge w:val="restart"/>
          </w:tcPr>
          <w:p>
            <w:pPr>
              <w:jc w:val="right"/>
              <w:ind w:right="2450"/>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against deferred tax assets consist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7"/>
              </w:rPr>
              <w:t>43,719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164,479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Portugal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39,009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valuation allowance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83,338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165,367</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deferred tax assets and liabilities were remeasured down to the new U.S. federal tax rate of 21% as a result of the Tax Act. In connection with our acquisition of Nanium, we acquired a receivable which resulted in the creation of a deferred tax asset. The decrease in our valuation allowance included the reversal of the valuation allowance against most of our U.S. deferred tax assets in connection with the Tax Act offset by the valuation allowance against the deferred tax assets of our Portuguese deferred tax assets, acquired in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certain capital investments, export commitments and employment levels, income from operations in Korea, Malaysia, the Philippines, Singapore and Taiwan was subject to reduced income tax rates and, in some cases, was exempt from income taxes. We recognized $6.2 million, $5.6 million and $3.3 million in tax benefits as a result of the tax holidays in 2017, 2016 and 2015, respectively. The benefit of the tax holidays on diluted earnings per share was approximately $0.03, $0.02 and $0.01 for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net operating loss carryforwards (“NOL’s”)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NOL’s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220,445</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292,715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2021-2037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State NOL’s</w:t>
            </w:r>
          </w:p>
        </w:tc>
        <w:tc>
          <w:tcPr>
            <w:tcW w:w="3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121,095</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138,218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2018-2036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NOL’s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2,967</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2018-2025</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U.S. and foreign deferred tax assets, we consider it more likely than not that we will have sufficient taxable income to allow us to realize these deferred tax assets.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prior years, the deferred tax assets along with the U.S. federal and state net operating losses available for carryforward have been fully reserved with valuation allowances. During the fourth quarter of 2017, we determined it was more likely than not that we will have sufficient taxable income to allow us to realize most of our U.S. deferred tax assets, including a substantial portion of our U.S. net operating loss carryforward. Our evaluation considered, among other factors, limitations on the deductibility of interest expense in connection with the Tax Act. At December 31, 2017, a portion of our U.S. federal net operating loss carryforward continues to be reserved with a valuation allowance due to an estimate of the net operating loss carryforward not expected to be realized due to GILTI, due to ownership change limitations from a prior year acquisition as well as certain state net operating loss carryforwards expected to expire unused. Our ability to utilize our U.S. net operating loss carryforwards may be limited in the future if we experience an ownership change as defined by the Internal Revenue Code.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have various tax credits available to be carried forward including U.S. foreign income tax credits totaling $12.6 million which expire in 2026. The deferred tax assets associated with the U.S. foreign income tax credits expected to expire unused have been fully reserved with a valuation allowance. Income tax credits generated by certain of our foreign subsidiaries in 2017, 2016 and 2015 have been recognized in our income tax provision.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deemed repatriation provision of the Tax Act, U.S. income taxes have been provided on approximately $1.1 billion of the undistributed earnings of our foreign subsidiaries at December 31, 2017. However,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We estimate that repatriation of these foreign earnings would generate withholding taxes and state income taxes of approximately $80.5 million.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and file income tax returns in various U.S. and foreign jurisdictions which are subject to examination by tax authorities. We have tax returns that are open to examination in various jurisdictions for tax years 2010-2017.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Current examinations include our 2012 and 2013 Philippine income tax returns, 2013-2015 Portuguese income tax returns, and 2010-2014 Malaysian income tax returns.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12,727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from lapse of statutes of limitations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27,211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23,332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increase in our unrecognized tax benefits was $4.1 million from December 31, 2016 to December 31, 2017. The increases were primarily related to income attribution and income characterization. At December 31, 2017, all of our gross unrecognized tax benefits would reduce our effective tax rate, if recognized.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related to our unrecognized tax benefits is $24.8 million as of December 31, 2017, and is reported as a component of other non-current liabilities. The unrecognized tax benefits presented in the table above also include positions that have reduced deferred tax assets. The balance of accrued and unpaid interest and penalties is $4.2 million as of December 31, 2017 and is included as a component of other non-current liabilities in connection with our unrecognized tax benefits.</w:t>
      </w:r>
    </w:p>
    <w:p>
      <w:pPr>
        <w:spacing w:after="0" w:line="18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includes restricted shares held by retirement eligible recipients and is reduced for treasury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Diluted EPS is computed on the basis of the weighted-average number of shares of common stock plus the effect of dilutive potential common shares outstanding during the period. Dilutive potential common shares include outstanding stock options and unvested restricted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computations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2"/>
              </w:rPr>
              <w:t>For the 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260,706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164,190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allocated to participating securities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Amkor common stockholders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260,706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164,190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51,039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236,850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r>
      <w:tr>
        <w:trPr>
          <w:trHeight w:val="297"/>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shares outstanding — diluted</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239,651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238,034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237,170</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6"/>
                <w:szCs w:val="16"/>
                <w:color w:val="auto"/>
              </w:rPr>
            </w:pPr>
          </w:p>
        </w:tc>
        <w:tc>
          <w:tcPr>
            <w:tcW w:w="1760" w:type="dxa"/>
            <w:vAlign w:val="bottom"/>
          </w:tcPr>
          <w:p>
            <w:pPr>
              <w:jc w:val="right"/>
              <w:ind w:right="822"/>
              <w:spacing w:after="0"/>
              <w:rPr>
                <w:sz w:val="20"/>
                <w:szCs w:val="20"/>
                <w:color w:val="auto"/>
              </w:rPr>
            </w:pPr>
            <w:r>
              <w:rPr>
                <w:rFonts w:ascii="Arial" w:cs="Arial" w:eastAsia="Arial" w:hAnsi="Arial"/>
                <w:sz w:val="14"/>
                <w:szCs w:val="14"/>
                <w:b w:val="1"/>
                <w:bCs w:val="1"/>
                <w:color w:val="auto"/>
              </w:rPr>
              <w:t>2016</w:t>
            </w: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1"/>
              </w:rPr>
              <w:t>(In thousands)</w:t>
            </w:r>
          </w:p>
        </w:tc>
        <w:tc>
          <w:tcPr>
            <w:tcW w:w="1280" w:type="dxa"/>
            <w:vAlign w:val="bottom"/>
            <w:tcBorders>
              <w:top w:val="single" w:sz="8" w:color="auto"/>
            </w:tcBorders>
          </w:tcPr>
          <w:p>
            <w:pPr>
              <w:spacing w:after="0"/>
              <w:rPr>
                <w:sz w:val="21"/>
                <w:szCs w:val="21"/>
                <w:color w:val="auto"/>
              </w:rPr>
            </w:pPr>
          </w:p>
        </w:tc>
      </w:tr>
      <w:tr>
        <w:trPr>
          <w:trHeight w:val="249"/>
        </w:trPr>
        <w:tc>
          <w:tcPr>
            <w:tcW w:w="7680" w:type="dxa"/>
            <w:vAlign w:val="bottom"/>
            <w:gridSpan w:val="2"/>
            <w:shd w:val="clear" w:color="auto" w:fill="CCEEFF"/>
          </w:tcPr>
          <w:p>
            <w:pPr>
              <w:jc w:val="right"/>
              <w:ind w:right="4660"/>
              <w:spacing w:after="0"/>
              <w:rPr>
                <w:sz w:val="20"/>
                <w:szCs w:val="20"/>
                <w:color w:val="auto"/>
              </w:rPr>
            </w:pPr>
            <w:r>
              <w:rPr>
                <w:rFonts w:ascii="Arial" w:cs="Arial" w:eastAsia="Arial" w:hAnsi="Arial"/>
                <w:sz w:val="18"/>
                <w:szCs w:val="18"/>
                <w:color w:val="auto"/>
                <w:w w:val="89"/>
              </w:rPr>
              <w:t>Stock options and restricted share awards</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3,445</w:t>
            </w:r>
          </w:p>
        </w:tc>
        <w:tc>
          <w:tcPr>
            <w:tcW w:w="17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1,135</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1,858</w:t>
            </w:r>
          </w:p>
        </w:tc>
      </w:tr>
      <w:tr>
        <w:trPr>
          <w:trHeight w:val="27"/>
        </w:trPr>
        <w:tc>
          <w:tcPr>
            <w:tcW w:w="6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foreign locations, we use non-recourse factoring arrangements with third 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year ended December 31, 2017 and 2016, we sold accounts receivable totaling $611.2 million and $574.1 million, respectively, net of discounts and fees of $4.6 million and $2.5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purchased components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213,649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112,843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94,955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inventories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326,492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267,990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10. Property, Plant and Equipment</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224,894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240,719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1,384,846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1,362,007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4,938,291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4,483,523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200,500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21,313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104,910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87,037</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6,896,008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6,427,413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(4,200,943)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(3,862,765)</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2,695,065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2,564,648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left="562"/>
              <w:spacing w:after="0"/>
              <w:rPr>
                <w:sz w:val="20"/>
                <w:szCs w:val="20"/>
                <w:color w:val="auto"/>
              </w:rPr>
            </w:pPr>
            <w:r>
              <w:rPr>
                <w:rFonts w:ascii="Arial" w:cs="Arial" w:eastAsia="Arial" w:hAnsi="Arial"/>
                <w:sz w:val="14"/>
                <w:szCs w:val="14"/>
                <w:b w:val="1"/>
                <w:bCs w:val="1"/>
                <w:color w:val="auto"/>
                <w:w w:val="93"/>
              </w:rPr>
              <w:t>For the 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580,172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552,989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492,458</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$46.9 million and $44.8 million of costs for our factory and research and development facility in Korea ("K5") in construction in progress as of December 31, 2017 and 2016,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9940" w:type="dxa"/>
            <w:vAlign w:val="bottom"/>
          </w:tcPr>
          <w:p>
            <w:pPr>
              <w:ind w:left="344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5"/>
        </w:trPr>
        <w:tc>
          <w:tcPr>
            <w:tcW w:w="9940" w:type="dxa"/>
            <w:vAlign w:val="bottom"/>
          </w:tcPr>
          <w:p>
            <w:pPr>
              <w:spacing w:after="0"/>
              <w:rPr>
                <w:sz w:val="20"/>
                <w:szCs w:val="20"/>
                <w:color w:val="auto"/>
              </w:rPr>
            </w:pPr>
            <w:r>
              <w:rPr>
                <w:rFonts w:ascii="Arial" w:cs="Arial" w:eastAsia="Arial" w:hAnsi="Arial"/>
                <w:sz w:val="18"/>
                <w:szCs w:val="18"/>
                <w:b w:val="1"/>
                <w:bCs w:val="1"/>
                <w:color w:val="auto"/>
              </w:rPr>
              <w:t>11. Goodwill</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9940" w:type="dxa"/>
            <w:vAlign w:val="bottom"/>
          </w:tcPr>
          <w:p>
            <w:pPr>
              <w:spacing w:after="0"/>
              <w:rPr>
                <w:sz w:val="20"/>
                <w:szCs w:val="20"/>
                <w:color w:val="auto"/>
              </w:rPr>
            </w:pPr>
            <w:r>
              <w:rPr>
                <w:rFonts w:ascii="Arial" w:cs="Arial" w:eastAsia="Arial" w:hAnsi="Arial"/>
                <w:sz w:val="18"/>
                <w:szCs w:val="18"/>
                <w:color w:val="auto"/>
              </w:rPr>
              <w:t>Changes in the carrying amount of goodwill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Goodwill</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23,409</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713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24,122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914</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25,036</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relates to the increase in our ownership interest in J-Devices to 100% on December 30, 2015 (Note 3). No goodwill impairment has been identified in any of the years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134,785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117,636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revenue and customer advances</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63,196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65,653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37,961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settlement costs</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 plan obligations (Note 14)</w:t>
            </w:r>
          </w:p>
        </w:tc>
        <w:tc>
          <w:tcPr>
            <w:tcW w:w="3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11,873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55,016</w:t>
            </w:r>
          </w:p>
        </w:tc>
        <w:tc>
          <w:tcPr>
            <w:tcW w:w="0" w:type="dxa"/>
            <w:vAlign w:val="bottom"/>
          </w:tcPr>
          <w:p>
            <w:pPr>
              <w:spacing w:after="0"/>
              <w:rPr>
                <w:sz w:val="1"/>
                <w:szCs w:val="1"/>
                <w:color w:val="auto"/>
              </w:rPr>
            </w:pP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38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374,598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338,669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and long-term debt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secured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 million revolving credit facility, LIBOR plus 1.25%-1.75%, due December 2019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524,971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June 2018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 (4)</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2.60%, due May 2018 (4)</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1.33%, due May 2020 (3)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J-Devices Corporation: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rates (6)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0.86%, due June 2022 (7)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0.60%, due July 2022 (8)</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a bank-determined spread, due November 2020 (Taiwan) (9)</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1.80%, due December 2019 (China) (10)</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1,365,533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1,477,661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(35,192)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related party)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1,240,581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1,439,638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740" w:hanging="408"/>
        <w:spacing w:after="0" w:line="26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$200.0 million senior secured revolving credit facility has a letter of credit sub-limit facility of $25.0 million. Principal is payable at maturity. The availability for the revolving credit facility is based on the amount of our eligible accounts receivable. As of December 31, 2017, we had availability of $199.4 million under this facility, after reduction of $0.6 million of outstanding standby letters of credit.</w:t>
      </w:r>
    </w:p>
    <w:p>
      <w:pPr>
        <w:spacing w:after="0" w:line="127" w:lineRule="exact"/>
        <w:rPr>
          <w:rFonts w:ascii="Arial" w:cs="Arial" w:eastAsia="Arial" w:hAnsi="Arial"/>
          <w:sz w:val="18"/>
          <w:szCs w:val="18"/>
          <w:color w:val="auto"/>
        </w:rPr>
      </w:pPr>
    </w:p>
    <w:p>
      <w:pPr>
        <w:jc w:val="both"/>
        <w:ind w:left="740" w:hanging="408"/>
        <w:spacing w:after="0" w:line="26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July 2017, we redeemed $200.0 million aggregate principal amount of the outstanding $400.0 million of our 6.625% Senior Notes due 2021 ("Notes"), which included $17.5 million held by a related party. In accordance with the terms of the indenture governing the Notes, the redemption price was 101.656% of the principal amount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740"/>
        <w:spacing w:after="0" w:line="306" w:lineRule="auto"/>
        <w:rPr>
          <w:sz w:val="20"/>
          <w:szCs w:val="20"/>
          <w:color w:val="auto"/>
        </w:rPr>
      </w:pPr>
      <w:r>
        <w:rPr>
          <w:rFonts w:ascii="Arial" w:cs="Arial" w:eastAsia="Arial" w:hAnsi="Arial"/>
          <w:sz w:val="18"/>
          <w:szCs w:val="18"/>
          <w:color w:val="auto"/>
        </w:rPr>
        <w:t>of the Notes, plus accrued and unpaid interest. We recorded a $3.3 million loss on extinguishment related to the premium paid on the call of the Notes and a $1.1 million charge for the write-off of the associated unamortized debt issuance costs. The redemption of the Notes was funded with cash on hand. In 2017, our related party sold all of its remaining Notes in the open market reducing the long-term debt, related party balance to zero.</w:t>
      </w:r>
    </w:p>
    <w:p>
      <w:pPr>
        <w:spacing w:after="0" w:line="106" w:lineRule="exact"/>
        <w:rPr>
          <w:sz w:val="20"/>
          <w:szCs w:val="20"/>
          <w:color w:val="auto"/>
        </w:rPr>
      </w:pPr>
    </w:p>
    <w:p>
      <w:pPr>
        <w:jc w:val="both"/>
        <w:ind w:left="740" w:hanging="40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2017, we decreased the revolving credit facility from $100.0 million to $75.0 million. Principal is payable at maturity, which was extended in June 2017 for one year to June 2018. In April 2017, we borrowed $75.0 million on this facility and repaid the outstanding balance of $80.0 million on our term loan due May 2020.</w:t>
      </w:r>
    </w:p>
    <w:p>
      <w:pPr>
        <w:spacing w:after="0" w:line="127"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May 2017, we entered into a $120.0 million term loan agreement to repay the $120.0 million term loan due in 2018. The new term loan agreement extended the maturity date to 2020 and changed the interest rate to a fixed rate. Principal is payable at maturity.</w:t>
      </w:r>
    </w:p>
    <w:p>
      <w:pPr>
        <w:spacing w:after="0" w:line="116"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May 2015, we entered into a term loan agreement pursuant to which we may borrow up to $150.0 million for capital expenditures. Principal is payable at maturity. As of December 31, 2017, $64.0 million was available to be borrowed.</w:t>
      </w:r>
    </w:p>
    <w:p>
      <w:pPr>
        <w:spacing w:after="0" w:line="116"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entered into various short-term loans which mature semiannually. Principle is payable in monthly installments. As of December 31, 2017, $6.2 million was available to be drawn.</w:t>
      </w:r>
    </w:p>
    <w:p>
      <w:pPr>
        <w:spacing w:after="0" w:line="116"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2017, we entered into a ¥5.0 billion term loan agreement for capital expenditures. Principal is payable in quarterly installments of ¥250.0 million. In June 2017, we borrowed ¥5.0 billion.</w:t>
      </w:r>
    </w:p>
    <w:p>
      <w:pPr>
        <w:spacing w:after="0" w:line="116"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July 2017, we entered into a ¥1.0 billion term loan agreement for capital expenditures. Principal is payable in quarterly installments of ¥50.0 million. In July 2017, we borrowed ¥1.0 billion.</w:t>
      </w:r>
    </w:p>
    <w:p>
      <w:pPr>
        <w:spacing w:after="0" w:line="116"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Principal is payable at maturity. As of December 31, 2017, $19.0 million was available to be drawn.</w:t>
      </w:r>
    </w:p>
    <w:p>
      <w:pPr>
        <w:spacing w:after="0" w:line="116"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December 2016, we entered into a $50.0 million term loan agreement. Principal is payable in semiannual installments of $0.5 million, with the remaining balance due at maturity. In January 2017, we borrowed $50.0 million.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foreign debt is generally collateralized by the land, buildings and equipment in the respective locations. The carrying value of the collateral exceeds the carrying amount of the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Amkor Technology, Inc.:</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$200 million revolving credit facility, LIBOR plus 1.25%-1.75%, due December 2019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Amkor Technology Korea, Inc.:</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$75 million revolving credit facility, foreign currency funding-linked base rate plus 1.60%, due June 2018</w:t>
            </w: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LIBOR plus 2.60%, due May 2018</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Term loan, LIBOR plus 2.70%, due December 2019</w:t>
            </w:r>
          </w:p>
        </w:tc>
        <w:tc>
          <w:tcPr>
            <w:tcW w:w="5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Term loan, foreign currency funding-linked base rate plus 1.33%, due May 2020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fund floating rate plus 1.60%, due June 2020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J-Devices Corporation: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credit facilities, variable rates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Amkor Technology Taiwan Ltd.:</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Revolving credit facility, TAIFX plus a bank-determined spread, due November 2020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Term loan, LIBOR plus 1.80%, due December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The agreements governing our indebtedness contain a number of affirmative and negative covenants which restrict our ability to pay dividends and could restrict our operations. We have never paid a dividend to our stockholders and we do not have any present plans for doing so. We were in compliance with all of our covenants at December 31,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 Debt</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due for the 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123,848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326,649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210,649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530,738</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1,365,533</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Severance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To the extent eligible employees are terminated, our subsidiary in Korea would be required to make lump-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balance of our accrued severance plan obligations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146,880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of severance benefits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21,088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(gain) loss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remaining with the National Pension Fund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severance plan obligations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current portion of accrued severance plan obligations (Note 12)</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14,306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accrued severance plan obligations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138,545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122,161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128,653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2017 and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projected benefit obligation: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Projected benefit obligation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Actuarial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Effects of curtailment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 exchange (gain) loss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Projected benefit obligation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Fair value of plan assets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Actual gain (loss) on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 exchange gain (loss)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Fair value of plan assets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 of the Plans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benefit cost (included in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benefit liability (included in pension and severance obligations)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 at year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4"/>
        </w:trPr>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525"/>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131,416</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109,695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33,823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33,854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3,641</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(8,499)</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(3,309)</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158,466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131,416</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91,471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76,042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2,876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25,114</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(8,499)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115,725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91,471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(42,741)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(39,945)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96"/>
        </w:trPr>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4"/>
        </w:trPr>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525"/>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(43,397)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(39,945)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(42,741)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(39,945)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360"/>
            <w:col w:w="3080"/>
          </w:cols>
          <w:pgMar w:left="240" w:top="12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as of December 31, 2017 and 2016 was $113.6 million and $94.5 million,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component, the change in accumulated other comprehensive income (loss), net of tax related to our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7"/>
              </w:rPr>
              <w:t>Prior Service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ind w:left="40"/>
              <w:spacing w:after="0"/>
              <w:rPr>
                <w:sz w:val="20"/>
                <w:szCs w:val="20"/>
                <w:color w:val="auto"/>
              </w:rPr>
            </w:pPr>
            <w:r>
              <w:rPr>
                <w:rFonts w:ascii="Arial" w:cs="Arial" w:eastAsia="Arial" w:hAnsi="Arial"/>
                <w:sz w:val="14"/>
                <w:szCs w:val="14"/>
                <w:b w:val="1"/>
                <w:bCs w:val="1"/>
                <w:color w:val="auto"/>
              </w:rPr>
              <w:t>Actuarial Net Gain</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860" w:type="dxa"/>
            <w:vAlign w:val="bottom"/>
            <w:tcBorders>
              <w:bottom w:val="single" w:sz="8" w:color="CCEEFF"/>
            </w:tcBorders>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560</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included in net periodic pension cost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Arial" w:cs="Arial" w:eastAsia="Arial" w:hAnsi="Arial"/>
                <w:sz w:val="18"/>
                <w:szCs w:val="18"/>
                <w:color w:val="auto"/>
                <w:w w:val="92"/>
              </w:rPr>
              <w:t>Adjustments to unrealized components of defined benefit pension plan included in other</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included in net periodic pension cost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Arial" w:cs="Arial" w:eastAsia="Arial" w:hAnsi="Arial"/>
                <w:sz w:val="18"/>
                <w:szCs w:val="18"/>
                <w:color w:val="auto"/>
                <w:w w:val="92"/>
              </w:rPr>
              <w:t>Adjustments to unrealized components of defined benefit pension plan included in other</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603</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Estimated amortization of cost to be included in 2018 net periodic pension cost</w:t>
            </w:r>
          </w:p>
        </w:tc>
        <w:tc>
          <w:tcPr>
            <w:tcW w:w="860" w:type="dxa"/>
            <w:vAlign w:val="bottom"/>
            <w:gridSpan w:val="2"/>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Arial" w:cs="Arial" w:eastAsia="Arial" w:hAnsi="Arial"/>
                <w:sz w:val="18"/>
                <w:szCs w:val="18"/>
                <w:color w:val="auto"/>
                <w:w w:val="93"/>
              </w:rPr>
              <w:t>Information for pension plans with benefit obligations in excess of plan assets is as follows: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underfunded or non-funded projected benefit obligation:</w:t>
            </w: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Aggregate projected benefit obligation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119,708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131,416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fair value of plan assets</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Plans with underfunded or non-funded accumulated benefit obligation: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accumulated benefit obligation</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49,285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Aggregate fair value of plan assets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18,970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16,811</w:t>
            </w: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total pension expense:</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2"/>
          </w:tcPr>
          <w:p>
            <w:pPr>
              <w:jc w:val="center"/>
              <w:ind w:left="354"/>
              <w:spacing w:after="0"/>
              <w:rPr>
                <w:sz w:val="20"/>
                <w:szCs w:val="20"/>
                <w:color w:val="auto"/>
              </w:rPr>
            </w:pPr>
            <w:r>
              <w:rPr>
                <w:rFonts w:ascii="Arial" w:cs="Arial" w:eastAsia="Arial" w:hAnsi="Arial"/>
                <w:sz w:val="14"/>
                <w:szCs w:val="14"/>
                <w:b w:val="1"/>
                <w:bCs w:val="1"/>
                <w:color w:val="auto"/>
                <w:w w:val="92"/>
              </w:rPr>
              <w:t>For the 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pension cost and total pension expense:</w:t>
            </w: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33,823</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33,854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Recognized actuarial (gain)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33,467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Curtailment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(gain) loss</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pension expense</w:t>
            </w: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34,424</w:t>
            </w: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33,964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adoption of a defined benefit pension plan in Korea beginning on August 1, 2015, and the acquisition of J-Devices on December 30, 2015, our net periodic pension cost has increased from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weighted-average assumptions used in computing the net periodic pension cost and projected benefit obligations:</w:t>
      </w:r>
    </w:p>
    <w:p>
      <w:pPr>
        <w:spacing w:after="0" w:line="2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determining net periodic 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Discount rate for determining benefit obligations 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 for determining benefit obligations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18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Debt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Other</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 defined benefit plan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Korea defined benefit plan</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Philippine defined benefit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by asset category utilizing the fair value hierarchy as discussed in Note 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(Level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securities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securities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12,718</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55,873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government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corporate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government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corporate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treasury notes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10,044</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33,699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guaranteed investment contracts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Taiwan retirement fund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(Level 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pension plan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115,725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91,471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approximately $23 million during 2018. We closely monitor the funded status of the Plans with respect to legislative requirements. We intend to make at least the minimum contribution required by law each year.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9940" w:type="dxa"/>
            <w:vAlign w:val="bottom"/>
          </w:tcPr>
          <w:p>
            <w:pPr>
              <w:ind w:left="344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5"/>
        </w:trPr>
        <w:tc>
          <w:tcPr>
            <w:tcW w:w="9940" w:type="dxa"/>
            <w:vAlign w:val="bottom"/>
          </w:tcPr>
          <w:p>
            <w:pPr>
              <w:spacing w:after="0"/>
              <w:rPr>
                <w:sz w:val="20"/>
                <w:szCs w:val="20"/>
                <w:color w:val="auto"/>
              </w:rPr>
            </w:pPr>
            <w:r>
              <w:rPr>
                <w:rFonts w:ascii="Arial" w:cs="Arial" w:eastAsia="Arial" w:hAnsi="Arial"/>
                <w:sz w:val="18"/>
                <w:szCs w:val="18"/>
                <w:color w:val="auto"/>
              </w:rPr>
              <w:t>The estimated future benefit payments related to our foreign defined benefit plans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Payments</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7,516</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11,602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 to 2027</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107,557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sponsor defined contribution plans in Korea, Malaysia, Taiwan and the U.S. Total defined contribution expense was $10.4 million, $8.8 million and $8.6 million for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accumulated other comprehensive income (loss), net of tax:</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are included as a component of net periodic pension cost (Note 14) or other (income)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121,627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39,548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36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745,943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723,867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954,765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922,140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639,689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640,562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551,793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552,690</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instruments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1,385,632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1,364,429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1,506,558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1,474,830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Patent License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a January 2015 patent license litigation settlement, Amkor agreed to pay a total of $155.0 million in 16 equal quarterly recurring payments commencing in the first quarter of 2015, and continuing through the fourth quarter of 2018. During the three months ended December 31, 2014, we recorded a pre-tax charge of $87.1 million, of which $75.3 million was charged to cost of sales and $11.8 million was charged to interest expense. This charge reflected the aggregate amount due under the settlement agreement, net of amounts previously reserved.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the remaining amount we owe under our settlement agreement was $38.8 million. The liability is recorded in accrued expenses (Note</w:t>
      </w:r>
    </w:p>
    <w:p>
      <w:pPr>
        <w:spacing w:after="0" w:line="46" w:lineRule="exact"/>
        <w:rPr>
          <w:sz w:val="20"/>
          <w:szCs w:val="20"/>
          <w:color w:val="auto"/>
        </w:rPr>
      </w:pPr>
    </w:p>
    <w:p>
      <w:pPr>
        <w:ind w:firstLine="8"/>
        <w:spacing w:after="0" w:line="261" w:lineRule="auto"/>
        <w:tabs>
          <w:tab w:leader="none" w:pos="3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our Consolidated Financial Statements. We will also charge $1.0 million of the amount owed to interest expense over the remaining term of the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that have initial or remaining noncancelable lease terms in excess of one year 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For the Year Ended</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December 31</w:t>
            </w:r>
          </w:p>
        </w:tc>
      </w:tr>
      <w:tr>
        <w:trPr>
          <w:trHeight w:val="250"/>
        </w:trPr>
        <w:tc>
          <w:tcPr>
            <w:tcW w:w="9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21,740</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13,694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10,530</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8,468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28,955</w:t>
            </w:r>
          </w:p>
        </w:tc>
      </w:tr>
      <w:tr>
        <w:trPr>
          <w:trHeight w:val="27"/>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109,826</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was $48.1 million, $43.8 million and $24.5 million for 2017, 2016 and 2015,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provide packaging and test services, we purchase materials under various long-term supply contracts. Future minimum payments to be made under these contracts for the period 2018 through 2028 are $18.3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 Customer Concentrations and Geographic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managed under a functionally-based organizational structure with the head of each function reporting directly to the CODM;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assess performance, including incentive compensation, based on consolidated operating performance and financial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CODM allocates resources and makes other operating decisions based on specific customer business opportunities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an integrated process for the design, development and manufacturing services we provide to all of our customers. We also have centralized sales and administrative functions.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1,950,340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1,679,529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1,432,493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2,236,157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2,214,106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1,452,110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4,186,497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3,893,635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2,884,603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w w:val="98"/>
              </w:rPr>
              <w:t>Net sales by region based on customer headquarters location consist of the following:</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1,208,822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1,158,318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372,810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Asia Pacific (excluding Japan)</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827,061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627,177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609,409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536,552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487,584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489,842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foreign countries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2,572,435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2,273,079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1,472,061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1,614,062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1,620,556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1,412,542</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net sales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4,186,497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3,893,635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2,884,603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customer accounted for 14.3%, 15.8%, and 11.0% of net sales in 2017, 2016 and 2015, respectively. A second customer accounted for 12.7% and 14.4% of net sales in 2016 and 2015, respectively. Net sales for our second customer were below 10%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based on physical location,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4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528,739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500,319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Japan</w:t>
            </w: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246,223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245,233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1,131,271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1,130,147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Malaysia</w:t>
            </w: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47,922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36,248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309,425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313,885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Portugal</w:t>
            </w: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64,578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326,614</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foreign countries</w:t>
            </w: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foreign countries</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2,684,548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2,552,689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10,517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4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2,695,065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2,564,648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88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consolidated unaudited financial data for the last eight quarters ended December 31, 2017. We believe that we have included all adjustments, consisting only of normal recurring adjustments necessary for a fair statement of our selected quarterly data. The calculation of basic and diluted per share amounts for each quarter is based on the weighted-average shares outstanding for that period; consequently, the sum of the quarters may not necessarily be equal to the full year basic and diluted net income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For the Quarter Ended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64"/>
        </w:trPr>
        <w:tc>
          <w:tcPr>
            <w:tcW w:w="2420" w:type="dxa"/>
            <w:vAlign w:val="bottom"/>
          </w:tcPr>
          <w:p>
            <w:pPr>
              <w:spacing w:after="0"/>
              <w:rPr>
                <w:sz w:val="22"/>
                <w:szCs w:val="22"/>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 31, 2017 (c)</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 30, 2017</w:t>
            </w: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2017 (a)</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 31, 2017</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 31, 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 30, 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June 30, 2016</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1"/>
              </w:rPr>
              <w:t>Mar. 31, 2016</w:t>
            </w:r>
          </w:p>
        </w:tc>
      </w:tr>
      <w:tr>
        <w:trPr>
          <w:trHeight w:val="249"/>
        </w:trPr>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Arial" w:cs="Arial" w:eastAsia="Arial" w:hAnsi="Arial"/>
                <w:sz w:val="13"/>
                <w:szCs w:val="13"/>
                <w:b w:val="1"/>
                <w:bCs w:val="1"/>
                <w:color w:val="auto"/>
                <w:w w:val="95"/>
              </w:rPr>
              <w:t>(In thousands, except per share data)</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1,148,423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1,135,027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989,447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913,600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1,021,613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1,086,014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917,326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868,682</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225,494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216,638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142,906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227,187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213,800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131,606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122,884</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(b)</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98,237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168,293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24,655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126,689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114,615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30,542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22,094</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tax (benefit) expense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18,752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18,534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24,086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1,873</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55,630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116,459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101,202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61,141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100,770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54,435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115,507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100,263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60,089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4,713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(875)</w:t>
            </w: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 common share: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97"/>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May 2017, we completed the purchase of Nanium. Nanium's financial results have been included in our Consolidated Financial Statements from the date of acquisition.</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fourth quarter of 2017, net income includes an estimated net tax benefit of $41.6 million primarily due to the reversal of a valuation allowance on certain U.S. deferred tax assets as a result of the enactment of the Tax 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1"/>
              </w:rPr>
              <w:t>Balance at</w:t>
            </w: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Additions</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(Credited)</w:t>
            </w:r>
          </w:p>
        </w:tc>
        <w:tc>
          <w:tcPr>
            <w:tcW w:w="1500" w:type="dxa"/>
            <w:vAlign w:val="bottom"/>
          </w:tcPr>
          <w:p>
            <w:pPr>
              <w:spacing w:after="0"/>
              <w:rPr>
                <w:sz w:val="12"/>
                <w:szCs w:val="12"/>
                <w:color w:val="auto"/>
              </w:rPr>
            </w:pPr>
          </w:p>
        </w:tc>
        <w:tc>
          <w:tcPr>
            <w:tcW w:w="114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2"/>
                <w:szCs w:val="12"/>
                <w:color w:val="auto"/>
              </w:rPr>
            </w:pPr>
          </w:p>
        </w:tc>
        <w:tc>
          <w:tcPr>
            <w:tcW w:w="11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Write-offs</w:t>
            </w: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1"/>
              </w:rPr>
              <w:t>Period</w:t>
            </w: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6"/>
              </w:rPr>
              <w:t>Expense</w:t>
            </w:r>
          </w:p>
        </w:tc>
        <w:tc>
          <w:tcPr>
            <w:tcW w:w="15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 valuation allowance:</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149,847</w:t>
            </w:r>
          </w:p>
        </w:tc>
        <w:tc>
          <w:tcPr>
            <w:tcW w:w="1340" w:type="dxa"/>
            <w:vAlign w:val="bottom"/>
          </w:tcPr>
          <w:p>
            <w:pPr>
              <w:jc w:val="right"/>
              <w:ind w:right="140"/>
              <w:spacing w:after="0"/>
              <w:rPr>
                <w:sz w:val="20"/>
                <w:szCs w:val="20"/>
                <w:color w:val="auto"/>
              </w:rPr>
            </w:pPr>
            <w:r>
              <w:rPr>
                <w:rFonts w:ascii="Arial" w:cs="Arial" w:eastAsia="Arial" w:hAnsi="Arial"/>
                <w:sz w:val="18"/>
                <w:szCs w:val="18"/>
                <w:color w:val="auto"/>
              </w:rPr>
              <w:t>18,507</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(248)</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168,105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168,105</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7,729</w:t>
            </w:r>
          </w:p>
        </w:tc>
        <w:tc>
          <w:tcPr>
            <w:tcW w:w="15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(15,091)</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165,367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165,367</w:t>
            </w:r>
          </w:p>
        </w:tc>
        <w:tc>
          <w:tcPr>
            <w:tcW w:w="1340" w:type="dxa"/>
            <w:vAlign w:val="bottom"/>
          </w:tcPr>
          <w:p>
            <w:pPr>
              <w:jc w:val="right"/>
              <w:ind w:right="80"/>
              <w:spacing w:after="0"/>
              <w:rPr>
                <w:sz w:val="20"/>
                <w:szCs w:val="20"/>
                <w:color w:val="auto"/>
              </w:rPr>
            </w:pPr>
            <w:r>
              <w:rPr>
                <w:rFonts w:ascii="Arial" w:cs="Arial" w:eastAsia="Arial" w:hAnsi="Arial"/>
                <w:sz w:val="18"/>
                <w:szCs w:val="18"/>
                <w:color w:val="auto"/>
              </w:rPr>
              <w:t>(116,917)</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(489)</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35,377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83,338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Column represents adjustments to the deferred tax asset valuation allowance established as part of the purchase accounting related to Amkor's acquisition of Nanium in 2017 and adjustments directly through stockholders’ equity for changes in accumulated other comprehensive income (loss) related to our foreign defined benefit pension plans and the adoption of ASU 2016-09 on July 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2017,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2017,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2017, based on criteria in Internal Control — Integrated Framework (2013) issued by the COSO.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public accounting firm, as stated in their report which appears under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three months ended December 31, 2017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by this Item 10, with the exception of information relating to the Code of Business Conduct as disclosed below, is incorporated herein by reference from the material included under the captions “Election of Directors,” “Executive Officers,” and “Section 16(a) Beneficial Ownership Reporting Compliance” in our definitive proxy statement (to be filed pursuant to Regulation 14A) for our 2018 Annual Meeting of Stockholders.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Code of Business Conduct,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our Code of Business Conduct required to be disclosed pursuant to applicable rules and regulations.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11 is incorporated herein by reference from the material included under the captions “Executive Compensation,” “Compensation Committee Interlocks and Insider Participation” and “Report of the Compensation Committee of the Board of Directors” in our definitive proxy statement (to be filed pursuant to Regulation 14A) for our 2018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12, with the exception of the equity compensation plan information presented below, is incorporated herein by reference to our definitive proxy statement (to be filed pursuant to Regulation 14A) for our 2018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as of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Upon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Column(a)</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 approved by stockholders (1)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4,752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5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 compensation plans</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4,752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of December 31, 2017, a total of 8.0 million shares were reserved for issuance under the 2007 Plan. Shares available for issuance under our 2007 Plan can be granted pursuant to stock options, restricted stock, restricted stock units, stock appreciation rights, performance units and performance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13 is incorporated herein by reference from the material included under the captions “Certain Relationships and Related Transactions” and “Proposal One — Election of Directors” in our definitive proxy statement (to be filed pursuant to Regulation 14A) for our 2018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material included under the proposal “Ratification of Appointment of Independent Registered Public Accounting Firm” in our definitive proxy statement (to be filed pursuant to Regulation 14A) for our 2018 Annual Meeting of Stockholders.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Financial Statements, Financial Statement Schedules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and schedules filed as part of this Annual Report on Form 10-K are listed in the index under Part II, Item 8 of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Item 601 of Regulation S-K which are filed with this report or incorporated by reference herein, are set forth in the Exhibit Index.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or compensatory plans or arrangements are identified by an asterisk.</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AMKOR TECHNOLOGY, INC.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31750</wp:posOffset>
            </wp:positionV>
            <wp:extent cx="2006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Stephen D. Kelley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Date: February 23,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D. Kelley and Megan Faust, and each of them, his attorneys-in-fact, and agents, each with the power of substitution, for him and in his name, place and stead, in any and all capacities, to sign any and all amendments to this Report on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conforming all that said attorneys-in-fact and agents of any of them, or his or their substitute or substitutes, may lawfully do or cause to be done by virtue hereof.</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center"/>
              <w:ind w:right="1151"/>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1260" w:type="dxa"/>
            <w:vAlign w:val="bottom"/>
          </w:tcPr>
          <w:p>
            <w:pPr>
              <w:ind w:left="1100"/>
              <w:spacing w:after="0"/>
              <w:rPr>
                <w:sz w:val="20"/>
                <w:szCs w:val="20"/>
                <w:color w:val="auto"/>
              </w:rPr>
            </w:pPr>
            <w:r>
              <w:rPr>
                <w:rFonts w:ascii="Arial" w:cs="Arial" w:eastAsia="Arial" w:hAnsi="Arial"/>
                <w:sz w:val="18"/>
                <w:szCs w:val="18"/>
                <w:color w:val="auto"/>
                <w:w w:val="73"/>
              </w:rPr>
              <w:t>/s/</w:t>
            </w:r>
          </w:p>
        </w:tc>
        <w:tc>
          <w:tcPr>
            <w:tcW w:w="2520" w:type="dxa"/>
            <w:vAlign w:val="bottom"/>
          </w:tcPr>
          <w:p>
            <w:pPr>
              <w:jc w:val="center"/>
              <w:ind w:right="911"/>
              <w:spacing w:after="0"/>
              <w:rPr>
                <w:sz w:val="20"/>
                <w:szCs w:val="20"/>
                <w:color w:val="auto"/>
              </w:rPr>
            </w:pPr>
            <w:r>
              <w:rPr>
                <w:rFonts w:ascii="Arial" w:cs="Arial" w:eastAsia="Arial" w:hAnsi="Arial"/>
                <w:sz w:val="18"/>
                <w:szCs w:val="18"/>
                <w:color w:val="auto"/>
                <w:w w:val="91"/>
              </w:rPr>
              <w:t>Stephen D. Kelley</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and 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2"/>
              </w:rPr>
              <w:t>Stephen D. Kelley</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1"/>
              </w:rPr>
              <w:t>/s/ Megan Faust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Corporate Vice President and 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89"/>
              </w:rPr>
              <w:t>Megan Faust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2"/>
              </w:rPr>
              <w:t>/s/ James J.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0"/>
              </w:rPr>
              <w:t>James J.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4"/>
              </w:rPr>
              <w:t>/s/ John T.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Vice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3"/>
              </w:rPr>
              <w:t>John T.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1"/>
              </w:rPr>
              <w:t>/s/ Susan Y.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89"/>
              </w:rPr>
              <w:t>Susan Y.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ind w:left="1060"/>
              <w:spacing w:after="0"/>
              <w:rPr>
                <w:sz w:val="20"/>
                <w:szCs w:val="20"/>
                <w:color w:val="auto"/>
              </w:rPr>
            </w:pPr>
            <w:r>
              <w:rPr>
                <w:rFonts w:ascii="Arial" w:cs="Arial" w:eastAsia="Arial" w:hAnsi="Arial"/>
                <w:sz w:val="18"/>
                <w:szCs w:val="18"/>
                <w:color w:val="auto"/>
                <w:w w:val="94"/>
              </w:rPr>
              <w:t>/s/</w:t>
            </w:r>
          </w:p>
        </w:tc>
        <w:tc>
          <w:tcPr>
            <w:tcW w:w="2520" w:type="dxa"/>
            <w:vAlign w:val="bottom"/>
          </w:tcPr>
          <w:p>
            <w:pPr>
              <w:jc w:val="center"/>
              <w:ind w:right="911"/>
              <w:spacing w:after="0"/>
              <w:rPr>
                <w:sz w:val="20"/>
                <w:szCs w:val="20"/>
                <w:color w:val="auto"/>
              </w:rPr>
            </w:pPr>
            <w:r>
              <w:rPr>
                <w:rFonts w:ascii="Arial" w:cs="Arial" w:eastAsia="Arial" w:hAnsi="Arial"/>
                <w:sz w:val="18"/>
                <w:szCs w:val="18"/>
                <w:color w:val="auto"/>
                <w:w w:val="92"/>
              </w:rPr>
              <w:t>Douglas Alexander</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0"/>
              </w:rPr>
              <w:t>Douglas Alexander</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5"/>
              </w:rPr>
              <w:t>/s/ Roger A. Carolin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4"/>
              </w:rPr>
              <w:t>Roger A. Carolin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702"/>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0" w:type="dxa"/>
            <w:vAlign w:val="bottom"/>
            <w:gridSpan w:val="2"/>
          </w:tcPr>
          <w:p>
            <w:pPr>
              <w:jc w:val="right"/>
              <w:ind w:right="349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Winston J. Churchill</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Winston J. Churchill</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MaryFrances McCourt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MaryFrances McCourt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Robert R. Morse</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R. Morse</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John F. Osborne</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John F. Osborne</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David N. Watson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N. Watson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James W. Zug</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23, 2018</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James W. Zug</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918"/>
        </w:trPr>
        <w:tc>
          <w:tcPr>
            <w:tcW w:w="3780" w:type="dxa"/>
            <w:vAlign w:val="bottom"/>
          </w:tcPr>
          <w:p>
            <w:pPr>
              <w:spacing w:after="0"/>
              <w:rPr>
                <w:sz w:val="24"/>
                <w:szCs w:val="24"/>
                <w:color w:val="auto"/>
              </w:rPr>
            </w:pPr>
          </w:p>
        </w:tc>
        <w:tc>
          <w:tcPr>
            <w:tcW w:w="5600" w:type="dxa"/>
            <w:vAlign w:val="bottom"/>
            <w:gridSpan w:val="2"/>
          </w:tcPr>
          <w:p>
            <w:pPr>
              <w:jc w:val="right"/>
              <w:ind w:right="349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9"/>
              </w:rPr>
              <w:t>Incorporated by Reference</w:t>
            </w:r>
          </w:p>
        </w:tc>
        <w:tc>
          <w:tcPr>
            <w:tcW w:w="2000" w:type="dxa"/>
            <w:vAlign w:val="bottom"/>
          </w:tcPr>
          <w:p>
            <w:pPr>
              <w:jc w:val="center"/>
              <w:ind w:left="1012"/>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2"/>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Exhibit</w:t>
            </w:r>
          </w:p>
        </w:tc>
        <w:tc>
          <w:tcPr>
            <w:tcW w:w="5220" w:type="dxa"/>
            <w:vAlign w:val="bottom"/>
            <w:gridSpan w:val="20"/>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5220" w:type="dxa"/>
            <w:vAlign w:val="bottom"/>
            <w:tcBorders>
              <w:bottom w:val="single" w:sz="8" w:color="auto"/>
            </w:tcBorders>
            <w:gridSpan w:val="20"/>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2.1</w:t>
            </w:r>
          </w:p>
        </w:tc>
        <w:tc>
          <w:tcPr>
            <w:tcW w:w="5200" w:type="dxa"/>
            <w:vAlign w:val="bottom"/>
            <w:tcBorders>
              <w:bottom w:val="single" w:sz="8" w:color="0000FF"/>
            </w:tcBorders>
            <w:gridSpan w:val="19"/>
          </w:tcPr>
          <w:p>
            <w:pPr>
              <w:spacing w:after="0" w:line="202"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Sales Contract of Commodity Premises between Shanghai Waigaoqiao</w:t>
              </w:r>
            </w:hyperlink>
          </w:p>
        </w:tc>
        <w:tc>
          <w:tcPr>
            <w:tcW w:w="20" w:type="dxa"/>
            <w:vAlign w:val="bottom"/>
          </w:tcPr>
          <w:p>
            <w:pPr>
              <w:spacing w:after="0"/>
              <w:rPr>
                <w:sz w:val="17"/>
                <w:szCs w:val="17"/>
                <w:color w:val="auto"/>
              </w:rPr>
            </w:pPr>
          </w:p>
        </w:tc>
        <w:tc>
          <w:tcPr>
            <w:tcW w:w="84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9"/>
              </w:rPr>
              <w:t>6/30/04</w:t>
            </w:r>
          </w:p>
        </w:tc>
        <w:tc>
          <w:tcPr>
            <w:tcW w:w="940" w:type="dxa"/>
            <w:vAlign w:val="bottom"/>
          </w:tcPr>
          <w:p>
            <w:pPr>
              <w:jc w:val="center"/>
              <w:ind w:right="71"/>
              <w:spacing w:after="0" w:line="202" w:lineRule="exact"/>
              <w:rPr>
                <w:sz w:val="20"/>
                <w:szCs w:val="20"/>
                <w:color w:val="auto"/>
              </w:rPr>
            </w:pPr>
            <w:r>
              <w:rPr>
                <w:rFonts w:ascii="Arial" w:cs="Arial" w:eastAsia="Arial" w:hAnsi="Arial"/>
                <w:sz w:val="18"/>
                <w:szCs w:val="18"/>
                <w:color w:val="auto"/>
                <w:w w:val="87"/>
              </w:rPr>
              <w:t>2.3</w:t>
            </w:r>
          </w:p>
        </w:tc>
        <w:tc>
          <w:tcPr>
            <w:tcW w:w="2000" w:type="dxa"/>
            <w:vAlign w:val="bottom"/>
          </w:tcPr>
          <w:p>
            <w:pPr>
              <w:jc w:val="center"/>
              <w:ind w:right="972"/>
              <w:spacing w:after="0" w:line="202" w:lineRule="exact"/>
              <w:rPr>
                <w:sz w:val="20"/>
                <w:szCs w:val="20"/>
                <w:color w:val="auto"/>
              </w:rPr>
            </w:pPr>
            <w:r>
              <w:rPr>
                <w:rFonts w:ascii="Arial" w:cs="Arial" w:eastAsia="Arial" w:hAnsi="Arial"/>
                <w:sz w:val="18"/>
                <w:szCs w:val="18"/>
                <w:color w:val="auto"/>
                <w:w w:val="91"/>
              </w:rPr>
              <w:t>8/6/04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Free Trade Zone Xin Development Co., Ltd. and Amkor Assembly &amp;</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26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Test (Shanghai) Co., Ltd. dated May 7, 2004.</w:t>
              </w:r>
            </w:hyperlink>
          </w:p>
        </w:tc>
        <w:tc>
          <w:tcPr>
            <w:tcW w:w="196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5220" w:type="dxa"/>
            <w:vAlign w:val="bottom"/>
            <w:gridSpan w:val="20"/>
          </w:tcPr>
          <w:p>
            <w:pPr>
              <w:spacing w:after="0"/>
              <w:rPr>
                <w:rFonts w:ascii="Arial" w:cs="Arial" w:eastAsia="Arial" w:hAnsi="Arial"/>
                <w:sz w:val="18"/>
                <w:szCs w:val="18"/>
                <w:color w:val="0000FF"/>
              </w:rPr>
            </w:pPr>
            <w:hyperlink r:id="rId32">
              <w:r>
                <w:rPr>
                  <w:rFonts w:ascii="Arial" w:cs="Arial" w:eastAsia="Arial" w:hAnsi="Arial"/>
                  <w:sz w:val="18"/>
                  <w:szCs w:val="18"/>
                  <w:color w:val="0000FF"/>
                </w:rPr>
                <w:t>Certificate of Incorporation.</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10/6/97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4020" w:type="dxa"/>
            <w:vAlign w:val="bottom"/>
            <w:tcBorders>
              <w:bottom w:val="single" w:sz="8" w:color="0000FF"/>
            </w:tcBorders>
            <w:gridSpan w:val="13"/>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Certificate of Correction to Certificate of Incorporation.</w:t>
              </w:r>
            </w:hyperlink>
          </w:p>
        </w:tc>
        <w:tc>
          <w:tcPr>
            <w:tcW w:w="1200" w:type="dxa"/>
            <w:vAlign w:val="bottom"/>
            <w:gridSpan w:val="7"/>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4/8/98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3760" w:type="dxa"/>
            <w:vAlign w:val="bottom"/>
            <w:tcBorders>
              <w:bottom w:val="single" w:sz="8" w:color="0000FF"/>
            </w:tcBorders>
            <w:gridSpan w:val="11"/>
          </w:tcPr>
          <w:p>
            <w:pPr>
              <w:spacing w:after="0"/>
              <w:rPr>
                <w:rFonts w:ascii="Arial" w:cs="Arial" w:eastAsia="Arial" w:hAnsi="Arial"/>
                <w:sz w:val="18"/>
                <w:szCs w:val="18"/>
                <w:color w:val="0000FF"/>
                <w:w w:val="88"/>
              </w:rPr>
            </w:pPr>
            <w:hyperlink r:id="rId34">
              <w:r>
                <w:rPr>
                  <w:rFonts w:ascii="Arial" w:cs="Arial" w:eastAsia="Arial" w:hAnsi="Arial"/>
                  <w:sz w:val="18"/>
                  <w:szCs w:val="18"/>
                  <w:color w:val="0000FF"/>
                  <w:w w:val="88"/>
                </w:rPr>
                <w:t>Restated Bylaws as amended on November 5, 2013.</w:t>
              </w:r>
            </w:hyperlink>
          </w:p>
        </w:tc>
        <w:tc>
          <w:tcPr>
            <w:tcW w:w="1460" w:type="dxa"/>
            <w:vAlign w:val="bottom"/>
            <w:gridSpan w:val="9"/>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12/31/13</w:t>
            </w: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3.3</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2/28/14</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5220" w:type="dxa"/>
            <w:vAlign w:val="bottom"/>
            <w:gridSpan w:val="20"/>
          </w:tcPr>
          <w:p>
            <w:pPr>
              <w:spacing w:after="0"/>
              <w:rPr>
                <w:rFonts w:ascii="Arial" w:cs="Arial" w:eastAsia="Arial" w:hAnsi="Arial"/>
                <w:sz w:val="18"/>
                <w:szCs w:val="18"/>
                <w:color w:val="0000FF"/>
              </w:rPr>
            </w:pPr>
            <w:hyperlink r:id="rId35">
              <w:r>
                <w:rPr>
                  <w:rFonts w:ascii="Arial" w:cs="Arial" w:eastAsia="Arial" w:hAnsi="Arial"/>
                  <w:sz w:val="18"/>
                  <w:szCs w:val="18"/>
                  <w:color w:val="0000FF"/>
                </w:rPr>
                <w:t>Specimen Common Stock Certificate.</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5220" w:type="dxa"/>
            <w:vAlign w:val="bottom"/>
            <w:tcBorders>
              <w:bottom w:val="single" w:sz="8" w:color="0000FF"/>
            </w:tcBorders>
            <w:gridSpan w:val="20"/>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Indenture, dated May 20, 2011, by and between Amkor Technology,</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5/20/11</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20"/>
          </w:tcPr>
          <w:p>
            <w:pPr>
              <w:spacing w:after="0" w:line="196"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Inc. and U.S. Bank National Association, as trustee, regarding the</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2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6.</w:t>
              </w:r>
              <w:r>
                <w:rPr>
                  <w:rFonts w:ascii="Arial" w:cs="Arial" w:eastAsia="Arial" w:hAnsi="Arial"/>
                  <w:sz w:val="18"/>
                  <w:szCs w:val="18"/>
                  <w:u w:val="single" w:color="auto"/>
                  <w:color w:val="0000FF"/>
                </w:rPr>
                <w:t>625%</w:t>
              </w:r>
              <w:r>
                <w:rPr>
                  <w:rFonts w:ascii="Arial" w:cs="Arial" w:eastAsia="Arial" w:hAnsi="Arial"/>
                  <w:sz w:val="18"/>
                  <w:szCs w:val="18"/>
                  <w:color w:val="0000FF"/>
                </w:rPr>
                <w:t xml:space="preserve"> Senior Notes due 2021.</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5220" w:type="dxa"/>
            <w:vAlign w:val="bottom"/>
            <w:tcBorders>
              <w:bottom w:val="single" w:sz="8" w:color="0000FF"/>
            </w:tcBorders>
            <w:gridSpan w:val="20"/>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Letter Agreement, dated May 17, 2011, between Amkor Technology,</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5/20/11</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2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Inc., James J. Kim and 915 Investments, LP.</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5200" w:type="dxa"/>
            <w:vAlign w:val="bottom"/>
            <w:tcBorders>
              <w:bottom w:val="single" w:sz="8" w:color="0000FF"/>
            </w:tcBorders>
            <w:gridSpan w:val="19"/>
          </w:tcPr>
          <w:p>
            <w:pPr>
              <w:spacing w:after="0"/>
              <w:rPr>
                <w:rFonts w:ascii="Arial" w:cs="Arial" w:eastAsia="Arial" w:hAnsi="Arial"/>
                <w:sz w:val="18"/>
                <w:szCs w:val="18"/>
                <w:color w:val="0000FF"/>
                <w:w w:val="97"/>
              </w:rPr>
            </w:pPr>
            <w:hyperlink r:id="rId38">
              <w:r>
                <w:rPr>
                  <w:rFonts w:ascii="Arial" w:cs="Arial" w:eastAsia="Arial" w:hAnsi="Arial"/>
                  <w:sz w:val="18"/>
                  <w:szCs w:val="18"/>
                  <w:color w:val="0000FF"/>
                  <w:w w:val="97"/>
                </w:rPr>
                <w:t>Indenture,  dated  September  21,  2012,  by  and  between  Amkor</w:t>
              </w:r>
            </w:hyperlink>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9/21/12</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Technology, Inc. and U.S. Bank National Association, as trustee,</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2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regarding the 6.375% Senior Notes due 2022.</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4500" w:type="dxa"/>
            <w:vAlign w:val="bottom"/>
            <w:tcBorders>
              <w:bottom w:val="single" w:sz="8" w:color="0000FF"/>
            </w:tcBorders>
            <w:gridSpan w:val="15"/>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Indemnification Agreement for directors and officers.</w:t>
              </w:r>
            </w:hyperlink>
          </w:p>
        </w:tc>
        <w:tc>
          <w:tcPr>
            <w:tcW w:w="720" w:type="dxa"/>
            <w:vAlign w:val="bottom"/>
            <w:gridSpan w:val="5"/>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5220" w:type="dxa"/>
            <w:vAlign w:val="bottom"/>
            <w:gridSpan w:val="20"/>
          </w:tcPr>
          <w:p>
            <w:pPr>
              <w:spacing w:after="0"/>
              <w:rPr>
                <w:rFonts w:ascii="Arial" w:cs="Arial" w:eastAsia="Arial" w:hAnsi="Arial"/>
                <w:sz w:val="18"/>
                <w:szCs w:val="18"/>
                <w:color w:val="0000FF"/>
              </w:rPr>
            </w:pPr>
            <w:hyperlink r:id="rId39">
              <w:r>
                <w:rPr>
                  <w:rFonts w:ascii="Arial" w:cs="Arial" w:eastAsia="Arial" w:hAnsi="Arial"/>
                  <w:sz w:val="18"/>
                  <w:szCs w:val="18"/>
                  <w:color w:val="0000FF"/>
                </w:rPr>
                <w:t>1998 Stock Plan, as amended.*</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6/30/08</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8/7/08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5220" w:type="dxa"/>
            <w:vAlign w:val="bottom"/>
            <w:gridSpan w:val="20"/>
          </w:tcPr>
          <w:p>
            <w:pPr>
              <w:spacing w:after="0"/>
              <w:rPr>
                <w:rFonts w:ascii="Arial" w:cs="Arial" w:eastAsia="Arial" w:hAnsi="Arial"/>
                <w:sz w:val="18"/>
                <w:szCs w:val="18"/>
                <w:color w:val="0000FF"/>
              </w:rPr>
            </w:pPr>
            <w:hyperlink r:id="rId40">
              <w:r>
                <w:rPr>
                  <w:rFonts w:ascii="Arial" w:cs="Arial" w:eastAsia="Arial" w:hAnsi="Arial"/>
                  <w:sz w:val="18"/>
                  <w:szCs w:val="18"/>
                  <w:color w:val="0000FF"/>
                </w:rPr>
                <w:t>Form of Stock Option Agreement under the 1998 Stock Plan.*</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12/31/05</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89"/>
              </w:rPr>
              <w:t>3/16/06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5220" w:type="dxa"/>
            <w:vAlign w:val="bottom"/>
            <w:gridSpan w:val="20"/>
          </w:tcPr>
          <w:p>
            <w:pPr>
              <w:spacing w:after="0"/>
              <w:rPr>
                <w:rFonts w:ascii="Arial" w:cs="Arial" w:eastAsia="Arial" w:hAnsi="Arial"/>
                <w:sz w:val="18"/>
                <w:szCs w:val="18"/>
                <w:color w:val="0000FF"/>
              </w:rPr>
            </w:pPr>
            <w:hyperlink r:id="rId41">
              <w:r>
                <w:rPr>
                  <w:rFonts w:ascii="Arial" w:cs="Arial" w:eastAsia="Arial" w:hAnsi="Arial"/>
                  <w:sz w:val="18"/>
                  <w:szCs w:val="18"/>
                  <w:color w:val="0000FF"/>
                </w:rPr>
                <w:t>2003 Nonstatutory Inducement Grant Stock Plan, as amended.*</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6/30/08</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8/7/08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38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Amended and Restated 2007 Equity Incentive Plan.*</w:t>
              </w:r>
            </w:hyperlink>
          </w:p>
        </w:tc>
        <w:tc>
          <w:tcPr>
            <w:tcW w:w="760" w:type="dxa"/>
            <w:vAlign w:val="bottom"/>
            <w:tcBorders>
              <w:top w:val="single" w:sz="8" w:color="0000FF"/>
            </w:tcBorders>
            <w:gridSpan w:val="4"/>
          </w:tcPr>
          <w:p>
            <w:pPr>
              <w:spacing w:after="0"/>
              <w:rPr>
                <w:sz w:val="21"/>
                <w:szCs w:val="21"/>
                <w:color w:val="auto"/>
              </w:rPr>
            </w:pPr>
          </w:p>
        </w:tc>
        <w:tc>
          <w:tcPr>
            <w:tcW w:w="640" w:type="dxa"/>
            <w:vAlign w:val="bottom"/>
            <w:gridSpan w:val="4"/>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14A</w:t>
            </w:r>
          </w:p>
        </w:tc>
        <w:tc>
          <w:tcPr>
            <w:tcW w:w="1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4/5/12</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5200" w:type="dxa"/>
            <w:vAlign w:val="bottom"/>
            <w:tcBorders>
              <w:bottom w:val="single" w:sz="8" w:color="0000FF"/>
            </w:tcBorders>
            <w:gridSpan w:val="19"/>
          </w:tcPr>
          <w:p>
            <w:pPr>
              <w:spacing w:after="0"/>
              <w:rPr>
                <w:rFonts w:ascii="Arial" w:cs="Arial" w:eastAsia="Arial" w:hAnsi="Arial"/>
                <w:sz w:val="18"/>
                <w:szCs w:val="18"/>
                <w:color w:val="0000FF"/>
              </w:rPr>
            </w:pPr>
            <w:hyperlink r:id="rId43">
              <w:r>
                <w:rPr>
                  <w:rFonts w:ascii="Arial" w:cs="Arial" w:eastAsia="Arial" w:hAnsi="Arial"/>
                  <w:sz w:val="18"/>
                  <w:szCs w:val="18"/>
                  <w:color w:val="0000FF"/>
                </w:rPr>
                <w:t>Form of Stock Option Award Agreement under the Amended and</w:t>
              </w:r>
            </w:hyperlink>
          </w:p>
        </w:tc>
        <w:tc>
          <w:tcPr>
            <w:tcW w:w="20" w:type="dxa"/>
            <w:vAlign w:val="bottom"/>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6/30/12</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8/2/12</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Restated 2007 Equity Incentive Plan.*</w:t>
              </w:r>
            </w:hyperlink>
          </w:p>
        </w:tc>
        <w:tc>
          <w:tcPr>
            <w:tcW w:w="244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5200" w:type="dxa"/>
            <w:vAlign w:val="bottom"/>
            <w:tcBorders>
              <w:bottom w:val="single" w:sz="8" w:color="0000FF"/>
            </w:tcBorders>
            <w:gridSpan w:val="19"/>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Form of Restricted Stock Award Agreement under the Amended and</w:t>
              </w:r>
            </w:hyperlink>
          </w:p>
        </w:tc>
        <w:tc>
          <w:tcPr>
            <w:tcW w:w="20" w:type="dxa"/>
            <w:vAlign w:val="bottom"/>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6/30/12</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8/2/12</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2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Restated 2007 Equity Incentive Plan.*</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2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Executive Incentive Bonus Plan.*</w:t>
              </w:r>
            </w:hyperlink>
          </w:p>
        </w:tc>
        <w:tc>
          <w:tcPr>
            <w:tcW w:w="320" w:type="dxa"/>
            <w:vAlign w:val="bottom"/>
            <w:tcBorders>
              <w:top w:val="single" w:sz="8" w:color="0000FF"/>
            </w:tcBorders>
            <w:gridSpan w:val="3"/>
          </w:tcPr>
          <w:p>
            <w:pPr>
              <w:spacing w:after="0"/>
              <w:rPr>
                <w:sz w:val="21"/>
                <w:szCs w:val="21"/>
                <w:color w:val="auto"/>
              </w:rPr>
            </w:pPr>
          </w:p>
        </w:tc>
        <w:tc>
          <w:tcPr>
            <w:tcW w:w="2460" w:type="dxa"/>
            <w:vAlign w:val="bottom"/>
            <w:gridSpan w:val="14"/>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14A</w:t>
            </w:r>
          </w:p>
        </w:tc>
        <w:tc>
          <w:tcPr>
            <w:tcW w:w="1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4/5/12</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10.9</w:t>
            </w:r>
          </w:p>
        </w:tc>
        <w:tc>
          <w:tcPr>
            <w:tcW w:w="5220" w:type="dxa"/>
            <w:vAlign w:val="bottom"/>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Kun-Mortgage Agreement, dated March 30, 2007, between Woori Bank</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3/31/07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5/4/07</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and Amkor Technology Korea, Inc.</w:t>
              </w:r>
            </w:hyperlink>
          </w:p>
        </w:tc>
        <w:tc>
          <w:tcPr>
            <w:tcW w:w="262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10.10</w:t>
            </w:r>
          </w:p>
        </w:tc>
        <w:tc>
          <w:tcPr>
            <w:tcW w:w="5200" w:type="dxa"/>
            <w:vAlign w:val="bottom"/>
            <w:tcBorders>
              <w:bottom w:val="single" w:sz="8" w:color="0000FF"/>
            </w:tcBorders>
            <w:gridSpan w:val="19"/>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2009 Voting Agreement, dated as of March 26, 2009, between Amkor</w:t>
              </w:r>
            </w:hyperlink>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4/1/09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1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Technology, Inc., James J. Kim and 915 Investments, LP.</w:t>
              </w:r>
            </w:hyperlink>
          </w:p>
        </w:tc>
        <w:tc>
          <w:tcPr>
            <w:tcW w:w="11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10.11</w:t>
            </w:r>
          </w:p>
        </w:tc>
        <w:tc>
          <w:tcPr>
            <w:tcW w:w="5220" w:type="dxa"/>
            <w:vAlign w:val="bottom"/>
            <w:tcBorders>
              <w:bottom w:val="single" w:sz="8" w:color="0000FF"/>
            </w:tcBorders>
            <w:gridSpan w:val="20"/>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Second Amended and Restated Loan and Security Agreement, dated as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2"/>
              <w:spacing w:after="0"/>
              <w:rPr>
                <w:sz w:val="20"/>
                <w:szCs w:val="20"/>
                <w:color w:val="auto"/>
              </w:rPr>
            </w:pPr>
            <w:r>
              <w:rPr>
                <w:rFonts w:ascii="Arial" w:cs="Arial" w:eastAsia="Arial" w:hAnsi="Arial"/>
                <w:sz w:val="18"/>
                <w:szCs w:val="18"/>
                <w:color w:val="auto"/>
                <w:w w:val="91"/>
              </w:rPr>
              <w:t>7/2/12</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of June 28, 2012, among Amkor Technology, Inc., its subsidiaries from</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20"/>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time to time party thereto, the lending institutions from time to time</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party thereto and Bank of America, N.A., as administrative agent.</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00" w:type="dxa"/>
            <w:vAlign w:val="bottom"/>
          </w:tcPr>
          <w:p>
            <w:pPr>
              <w:spacing w:after="0"/>
              <w:rPr>
                <w:sz w:val="24"/>
                <w:szCs w:val="24"/>
                <w:color w:val="auto"/>
              </w:rPr>
            </w:pPr>
          </w:p>
        </w:tc>
        <w:tc>
          <w:tcPr>
            <w:tcW w:w="4740" w:type="dxa"/>
            <w:vAlign w:val="bottom"/>
            <w:tcBorders>
              <w:top w:val="single" w:sz="8" w:color="0000FF"/>
            </w:tcBorders>
            <w:gridSpan w:val="17"/>
          </w:tcPr>
          <w:p>
            <w:pPr>
              <w:ind w:left="4420"/>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Pr>
          <w:p>
            <w:pPr>
              <w:spacing w:after="0"/>
              <w:rPr>
                <w:sz w:val="14"/>
                <w:szCs w:val="14"/>
                <w:color w:val="auto"/>
              </w:rPr>
            </w:pPr>
          </w:p>
        </w:tc>
        <w:tc>
          <w:tcPr>
            <w:tcW w:w="102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520" w:type="dxa"/>
            <w:vAlign w:val="bottom"/>
            <w:gridSpan w:val="15"/>
            <w:vMerge w:val="restart"/>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20" w:type="dxa"/>
            <w:vAlign w:val="bottom"/>
            <w:gridSpan w:val="15"/>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top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10.12</w:t>
            </w:r>
          </w:p>
        </w:tc>
        <w:tc>
          <w:tcPr>
            <w:tcW w:w="5220" w:type="dxa"/>
            <w:vAlign w:val="bottom"/>
            <w:tcBorders>
              <w:top w:val="single" w:sz="8" w:color="auto"/>
              <w:bottom w:val="single" w:sz="8" w:color="0000FF"/>
            </w:tcBorders>
            <w:gridSpan w:val="18"/>
          </w:tcPr>
          <w:p>
            <w:pPr>
              <w:spacing w:after="0" w:line="202"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First Amendment, dated December 24, 2014, to Second Amended and</w:t>
              </w:r>
            </w:hyperlink>
          </w:p>
        </w:tc>
        <w:tc>
          <w:tcPr>
            <w:tcW w:w="820" w:type="dxa"/>
            <w:vAlign w:val="bottom"/>
            <w:tcBorders>
              <w:top w:val="single" w:sz="8" w:color="auto"/>
            </w:tcBorders>
          </w:tcPr>
          <w:p>
            <w:pPr>
              <w:jc w:val="center"/>
              <w:ind w:left="11"/>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1"/>
              <w:spacing w:after="0" w:line="202" w:lineRule="exact"/>
              <w:rPr>
                <w:sz w:val="20"/>
                <w:szCs w:val="20"/>
                <w:color w:val="auto"/>
              </w:rPr>
            </w:pPr>
            <w:r>
              <w:rPr>
                <w:rFonts w:ascii="Arial" w:cs="Arial" w:eastAsia="Arial" w:hAnsi="Arial"/>
                <w:sz w:val="18"/>
                <w:szCs w:val="18"/>
                <w:color w:val="auto"/>
                <w:w w:val="91"/>
              </w:rPr>
              <w:t>10.1</w:t>
            </w:r>
          </w:p>
        </w:tc>
        <w:tc>
          <w:tcPr>
            <w:tcW w:w="9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12/24/14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48">
              <w:r>
                <w:rPr>
                  <w:rFonts w:ascii="Arial" w:cs="Arial" w:eastAsia="Arial" w:hAnsi="Arial"/>
                  <w:sz w:val="18"/>
                  <w:szCs w:val="18"/>
                  <w:color w:val="0000FF"/>
                  <w:w w:val="96"/>
                </w:rPr>
                <w:t>Restated Loan and Security Agreement, dated as of June 28, 2012,</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among Amkor Technology, Inc., its subsidiaries from time to time party</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7"/>
          </w:tcPr>
          <w:p>
            <w:pPr>
              <w:spacing w:after="0" w:line="196"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thereto, the lending institutions from time to time party thereto and</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4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Bank of America, N.A., as administrative agent.</w:t>
              </w:r>
            </w:hyperlink>
          </w:p>
        </w:tc>
        <w:tc>
          <w:tcPr>
            <w:tcW w:w="17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10.13</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Amendment to Kun-Mortgage Agreement, dated May 24, 2010, by and</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5/27/10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1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between Amkor Technology Korea, Inc. and Woori Bank.</w:t>
              </w:r>
            </w:hyperlink>
          </w:p>
        </w:tc>
        <w:tc>
          <w:tcPr>
            <w:tcW w:w="106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10.14</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Loan Agreement, dated November 23, 2012, by and between Amkor</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11/27/12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3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Technology Korea, Inc. and The Korea Development Bank.</w:t>
              </w:r>
            </w:hyperlink>
          </w:p>
        </w:tc>
        <w:tc>
          <w:tcPr>
            <w:tcW w:w="92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10.15</w:t>
            </w:r>
          </w:p>
        </w:tc>
        <w:tc>
          <w:tcPr>
            <w:tcW w:w="5220" w:type="dxa"/>
            <w:vAlign w:val="bottom"/>
            <w:gridSpan w:val="18"/>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Form of Amendment to Factory Mortgage Agreement, dated November</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11/27/12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23, 2012, by and between The Korea Development Bank and Amkor</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Technology Korea, Inc.</w:t>
              </w:r>
            </w:hyperlink>
          </w:p>
        </w:tc>
        <w:tc>
          <w:tcPr>
            <w:tcW w:w="348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10.16</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Amendment to Loan Agreement, dated November 22, 2013, by and</w:t>
              </w:r>
            </w:hyperlink>
          </w:p>
        </w:tc>
        <w:tc>
          <w:tcPr>
            <w:tcW w:w="20" w:type="dxa"/>
            <w:vAlign w:val="bottom"/>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12/31/13</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88"/>
              </w:rPr>
              <w:t>10.28</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2/28/14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between Amkor Technology Korea, Inc. and The Korea Development</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Bank.</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10.17</w:t>
            </w:r>
          </w:p>
        </w:tc>
        <w:tc>
          <w:tcPr>
            <w:tcW w:w="5220" w:type="dxa"/>
            <w:vAlign w:val="bottom"/>
            <w:gridSpan w:val="18"/>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Amendment to Kun Mortgage Agreement, dated April 19, 2013, by and</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6/30/13</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10.7</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8/2/13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between Amkor Technology Korea, Inc. and Woori Bank.</w:t>
              </w:r>
            </w:hyperlink>
          </w:p>
        </w:tc>
        <w:tc>
          <w:tcPr>
            <w:tcW w:w="102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10.18</w:t>
            </w:r>
          </w:p>
        </w:tc>
        <w:tc>
          <w:tcPr>
            <w:tcW w:w="5200" w:type="dxa"/>
            <w:vAlign w:val="bottom"/>
            <w:tcBorders>
              <w:bottom w:val="single" w:sz="8" w:color="0000FF"/>
            </w:tcBorders>
            <w:gridSpan w:val="17"/>
          </w:tcPr>
          <w:p>
            <w:pPr>
              <w:spacing w:after="0"/>
              <w:rPr>
                <w:rFonts w:ascii="Arial" w:cs="Arial" w:eastAsia="Arial" w:hAnsi="Arial"/>
                <w:sz w:val="18"/>
                <w:szCs w:val="18"/>
                <w:color w:val="0000FF"/>
              </w:rPr>
            </w:pPr>
            <w:hyperlink r:id="rId54">
              <w:r>
                <w:rPr>
                  <w:rFonts w:ascii="Arial" w:cs="Arial" w:eastAsia="Arial" w:hAnsi="Arial"/>
                  <w:sz w:val="18"/>
                  <w:szCs w:val="18"/>
                  <w:color w:val="0000FF"/>
                </w:rPr>
                <w:t>Employment Offer Letter, dated April 30, 2013, between Amkor</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5/3/13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0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Technology, Inc. and Stephen D. Kelley.*</w:t>
              </w:r>
            </w:hyperlink>
          </w:p>
        </w:tc>
        <w:tc>
          <w:tcPr>
            <w:tcW w:w="222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10.19</w:t>
            </w:r>
          </w:p>
        </w:tc>
        <w:tc>
          <w:tcPr>
            <w:tcW w:w="5220" w:type="dxa"/>
            <w:vAlign w:val="bottom"/>
            <w:tcBorders>
              <w:bottom w:val="single" w:sz="8" w:color="0000FF"/>
            </w:tcBorders>
            <w:gridSpan w:val="18"/>
          </w:tcPr>
          <w:p>
            <w:pPr>
              <w:spacing w:after="0"/>
              <w:rPr>
                <w:rFonts w:ascii="Arial" w:cs="Arial" w:eastAsia="Arial" w:hAnsi="Arial"/>
                <w:sz w:val="18"/>
                <w:szCs w:val="18"/>
                <w:color w:val="0000FF"/>
                <w:w w:val="99"/>
              </w:rPr>
            </w:pPr>
            <w:hyperlink r:id="rId55">
              <w:r>
                <w:rPr>
                  <w:rFonts w:ascii="Arial" w:cs="Arial" w:eastAsia="Arial" w:hAnsi="Arial"/>
                  <w:sz w:val="18"/>
                  <w:szCs w:val="18"/>
                  <w:color w:val="0000FF"/>
                  <w:w w:val="99"/>
                </w:rPr>
                <w:t>Retirement Agreement and Release, dated May 8, 2013, between</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5/10/13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Amkor Technology, Inc. and Kenneth T. Joyce.*</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10.20</w:t>
            </w:r>
          </w:p>
        </w:tc>
        <w:tc>
          <w:tcPr>
            <w:tcW w:w="5220" w:type="dxa"/>
            <w:vAlign w:val="bottom"/>
            <w:gridSpan w:val="18"/>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Separation and Consulting Agreement, dated July 17, 2013, between</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6/30/13</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8/2/13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Amkor Technology, Inc. and Michael J. Lamble.*</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10.21</w:t>
            </w:r>
          </w:p>
        </w:tc>
        <w:tc>
          <w:tcPr>
            <w:tcW w:w="4880" w:type="dxa"/>
            <w:vAlign w:val="bottom"/>
            <w:tcBorders>
              <w:bottom w:val="single" w:sz="8" w:color="0000FF"/>
            </w:tcBorders>
            <w:gridSpan w:val="13"/>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Amendment No. 1 to Amended and Restated 2007 Equity Incentive</w:t>
              </w:r>
            </w:hyperlink>
          </w:p>
        </w:tc>
        <w:tc>
          <w:tcPr>
            <w:tcW w:w="340" w:type="dxa"/>
            <w:vAlign w:val="bottom"/>
            <w:gridSpan w:val="5"/>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9/30/15</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10/30/15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Plan.*</w:t>
              </w:r>
            </w:hyperlink>
          </w:p>
        </w:tc>
        <w:tc>
          <w:tcPr>
            <w:tcW w:w="476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10.22</w:t>
            </w:r>
          </w:p>
        </w:tc>
        <w:tc>
          <w:tcPr>
            <w:tcW w:w="5220" w:type="dxa"/>
            <w:vAlign w:val="bottom"/>
            <w:gridSpan w:val="18"/>
          </w:tcPr>
          <w:p>
            <w:pPr>
              <w:spacing w:after="0"/>
              <w:rPr>
                <w:rFonts w:ascii="Arial" w:cs="Arial" w:eastAsia="Arial" w:hAnsi="Arial"/>
                <w:sz w:val="18"/>
                <w:szCs w:val="18"/>
                <w:color w:val="0000FF"/>
                <w:w w:val="97"/>
              </w:rPr>
            </w:pPr>
            <w:hyperlink r:id="rId58">
              <w:r>
                <w:rPr>
                  <w:rFonts w:ascii="Arial" w:cs="Arial" w:eastAsia="Arial" w:hAnsi="Arial"/>
                  <w:sz w:val="18"/>
                  <w:szCs w:val="18"/>
                  <w:color w:val="0000FF"/>
                  <w:w w:val="97"/>
                </w:rPr>
                <w:t>Form of Outside Director Stock Option Award Agreement under the</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3/31/16</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5/5/16</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Amended and Restated 2007 Equity Incentive Plan.*</w:t>
              </w:r>
            </w:hyperlink>
          </w:p>
        </w:tc>
        <w:tc>
          <w:tcPr>
            <w:tcW w:w="13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10.23</w:t>
            </w:r>
          </w:p>
        </w:tc>
        <w:tc>
          <w:tcPr>
            <w:tcW w:w="5060" w:type="dxa"/>
            <w:vAlign w:val="bottom"/>
            <w:tcBorders>
              <w:bottom w:val="single" w:sz="8" w:color="0000FF"/>
            </w:tcBorders>
            <w:gridSpan w:val="15"/>
          </w:tcPr>
          <w:p>
            <w:pPr>
              <w:spacing w:after="0"/>
              <w:rPr>
                <w:rFonts w:ascii="Arial" w:cs="Arial" w:eastAsia="Arial" w:hAnsi="Arial"/>
                <w:sz w:val="18"/>
                <w:szCs w:val="18"/>
                <w:color w:val="0000FF"/>
                <w:w w:val="88"/>
              </w:rPr>
            </w:pPr>
            <w:hyperlink r:id="rId59">
              <w:r>
                <w:rPr>
                  <w:rFonts w:ascii="Arial" w:cs="Arial" w:eastAsia="Arial" w:hAnsi="Arial"/>
                  <w:sz w:val="18"/>
                  <w:szCs w:val="18"/>
                  <w:color w:val="0000FF"/>
                  <w:w w:val="88"/>
                </w:rPr>
                <w:t>Separation Agreement and Release, dated February 11, 2015, between</w:t>
              </w:r>
            </w:hyperlink>
          </w:p>
        </w:tc>
        <w:tc>
          <w:tcPr>
            <w:tcW w:w="160" w:type="dxa"/>
            <w:vAlign w:val="bottom"/>
            <w:gridSpan w:val="3"/>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3/30/15</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4/30/15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Amkor Technology, Inc. and JooHo Kim.*</w:t>
              </w:r>
            </w:hyperlink>
          </w:p>
        </w:tc>
        <w:tc>
          <w:tcPr>
            <w:tcW w:w="214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10.24</w:t>
            </w:r>
          </w:p>
        </w:tc>
        <w:tc>
          <w:tcPr>
            <w:tcW w:w="4880" w:type="dxa"/>
            <w:vAlign w:val="bottom"/>
            <w:tcBorders>
              <w:bottom w:val="single" w:sz="8" w:color="0000FF"/>
            </w:tcBorders>
            <w:gridSpan w:val="13"/>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Amendment No. 2 to Amended and Restated 2007 Equity Incentive</w:t>
              </w:r>
            </w:hyperlink>
          </w:p>
        </w:tc>
        <w:tc>
          <w:tcPr>
            <w:tcW w:w="340" w:type="dxa"/>
            <w:vAlign w:val="bottom"/>
            <w:gridSpan w:val="5"/>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6/30/16</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8/8/16</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Plan.*</w:t>
              </w:r>
            </w:hyperlink>
          </w:p>
        </w:tc>
        <w:tc>
          <w:tcPr>
            <w:tcW w:w="476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10.25</w:t>
            </w:r>
          </w:p>
        </w:tc>
        <w:tc>
          <w:tcPr>
            <w:tcW w:w="4920" w:type="dxa"/>
            <w:vAlign w:val="bottom"/>
            <w:tcBorders>
              <w:bottom w:val="single" w:sz="8" w:color="0000FF"/>
            </w:tcBorders>
            <w:gridSpan w:val="14"/>
          </w:tcPr>
          <w:p>
            <w:pPr>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Agreement and Release, dated September 12, 2016, between Amkor</w:t>
              </w:r>
            </w:hyperlink>
          </w:p>
        </w:tc>
        <w:tc>
          <w:tcPr>
            <w:tcW w:w="300" w:type="dxa"/>
            <w:vAlign w:val="bottom"/>
            <w:gridSpan w:val="4"/>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9/30/16</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8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Technology, Inc. and Joanne Solomon.*</w:t>
              </w:r>
            </w:hyperlink>
          </w:p>
        </w:tc>
        <w:tc>
          <w:tcPr>
            <w:tcW w:w="234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10.26</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Employment Letter Agreement, dated February 27, 2017, between</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3/3/17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Amkor Technology, Inc. and Stephen D. Kelley.*</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10.27</w:t>
            </w:r>
          </w:p>
        </w:tc>
        <w:tc>
          <w:tcPr>
            <w:tcW w:w="5220" w:type="dxa"/>
            <w:vAlign w:val="bottom"/>
            <w:gridSpan w:val="18"/>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Form of Stock Option Award Agreement under the Second Amended</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and Restated 2007 Equity Incentive Plan.*</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00" w:type="dxa"/>
            <w:vAlign w:val="bottom"/>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1820" w:type="dxa"/>
            <w:vAlign w:val="bottom"/>
            <w:gridSpan w:val="7"/>
          </w:tcPr>
          <w:p>
            <w:pPr>
              <w:jc w:val="right"/>
              <w:ind w:right="28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Pr>
          <w:p>
            <w:pPr>
              <w:spacing w:after="0"/>
              <w:rPr>
                <w:sz w:val="14"/>
                <w:szCs w:val="14"/>
                <w:color w:val="auto"/>
              </w:rPr>
            </w:pPr>
          </w:p>
        </w:tc>
        <w:tc>
          <w:tcPr>
            <w:tcW w:w="1020" w:type="dxa"/>
            <w:vAlign w:val="bottom"/>
          </w:tcPr>
          <w:p>
            <w:pPr>
              <w:jc w:val="center"/>
              <w:ind w:left="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Exhibit</w:t>
            </w:r>
          </w:p>
        </w:tc>
        <w:tc>
          <w:tcPr>
            <w:tcW w:w="5220" w:type="dxa"/>
            <w:vAlign w:val="bottom"/>
            <w:gridSpan w:val="12"/>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9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gridSpan w:val="2"/>
            <w:vMerge w:val="restart"/>
          </w:tcPr>
          <w:p>
            <w:pPr>
              <w:jc w:val="center"/>
              <w:ind w:right="953"/>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1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top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10.28</w:t>
            </w:r>
          </w:p>
        </w:tc>
        <w:tc>
          <w:tcPr>
            <w:tcW w:w="5220" w:type="dxa"/>
            <w:vAlign w:val="bottom"/>
            <w:tcBorders>
              <w:top w:val="single" w:sz="8" w:color="auto"/>
            </w:tcBorders>
            <w:gridSpan w:val="12"/>
          </w:tcPr>
          <w:p>
            <w:pPr>
              <w:spacing w:after="0" w:line="202" w:lineRule="exact"/>
              <w:rPr>
                <w:rFonts w:ascii="Arial" w:cs="Arial" w:eastAsia="Arial" w:hAnsi="Arial"/>
                <w:sz w:val="18"/>
                <w:szCs w:val="18"/>
                <w:color w:val="0000FF"/>
                <w:w w:val="97"/>
              </w:rPr>
            </w:pPr>
            <w:hyperlink r:id="rId64">
              <w:r>
                <w:rPr>
                  <w:rFonts w:ascii="Arial" w:cs="Arial" w:eastAsia="Arial" w:hAnsi="Arial"/>
                  <w:sz w:val="18"/>
                  <w:szCs w:val="18"/>
                  <w:color w:val="0000FF"/>
                  <w:w w:val="97"/>
                </w:rPr>
                <w:t>Form  of  Restricted  Stock  Award  Agreement  under  the  Second</w:t>
              </w:r>
            </w:hyperlink>
          </w:p>
        </w:tc>
        <w:tc>
          <w:tcPr>
            <w:tcW w:w="820" w:type="dxa"/>
            <w:vAlign w:val="bottom"/>
            <w:tcBorders>
              <w:top w:val="single" w:sz="8" w:color="auto"/>
            </w:tcBorders>
          </w:tcPr>
          <w:p>
            <w:pPr>
              <w:jc w:val="center"/>
              <w:ind w:left="34"/>
              <w:spacing w:after="0" w:line="202" w:lineRule="exact"/>
              <w:rPr>
                <w:sz w:val="20"/>
                <w:szCs w:val="20"/>
                <w:color w:val="auto"/>
              </w:rPr>
            </w:pPr>
            <w:r>
              <w:rPr>
                <w:rFonts w:ascii="Arial" w:cs="Arial" w:eastAsia="Arial" w:hAnsi="Arial"/>
                <w:sz w:val="18"/>
                <w:szCs w:val="18"/>
                <w:color w:val="auto"/>
                <w:w w:val="94"/>
              </w:rPr>
              <w:t>10-Q</w:t>
            </w:r>
          </w:p>
        </w:tc>
        <w:tc>
          <w:tcPr>
            <w:tcW w:w="12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3/31/17</w:t>
            </w:r>
          </w:p>
        </w:tc>
        <w:tc>
          <w:tcPr>
            <w:tcW w:w="940" w:type="dxa"/>
            <w:vAlign w:val="bottom"/>
            <w:tcBorders>
              <w:top w:val="single" w:sz="8" w:color="auto"/>
            </w:tcBorders>
          </w:tcPr>
          <w:p>
            <w:pPr>
              <w:jc w:val="center"/>
              <w:ind w:right="54"/>
              <w:spacing w:after="0" w:line="202" w:lineRule="exact"/>
              <w:rPr>
                <w:sz w:val="20"/>
                <w:szCs w:val="20"/>
                <w:color w:val="auto"/>
              </w:rPr>
            </w:pPr>
            <w:r>
              <w:rPr>
                <w:rFonts w:ascii="Arial" w:cs="Arial" w:eastAsia="Arial" w:hAnsi="Arial"/>
                <w:sz w:val="18"/>
                <w:szCs w:val="18"/>
                <w:color w:val="auto"/>
                <w:w w:val="91"/>
              </w:rPr>
              <w:t>10.3</w:t>
            </w:r>
          </w:p>
        </w:tc>
        <w:tc>
          <w:tcPr>
            <w:tcW w:w="9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Amended and Restated 2007 Equity Incentive Plan.*</w:t>
              </w:r>
            </w:hyperlink>
          </w:p>
        </w:tc>
        <w:tc>
          <w:tcPr>
            <w:tcW w:w="136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10.29</w:t>
            </w:r>
          </w:p>
        </w:tc>
        <w:tc>
          <w:tcPr>
            <w:tcW w:w="5220" w:type="dxa"/>
            <w:vAlign w:val="bottom"/>
            <w:gridSpan w:val="12"/>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Form of Outside Director Stock Option Award Agreement under the</w:t>
              </w:r>
            </w:hyperlink>
          </w:p>
        </w:tc>
        <w:tc>
          <w:tcPr>
            <w:tcW w:w="820" w:type="dxa"/>
            <w:vAlign w:val="bottom"/>
          </w:tcPr>
          <w:p>
            <w:pPr>
              <w:jc w:val="center"/>
              <w:ind w:left="34"/>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4"/>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Second Amended and Restated 2007 Equity Incentive Plan.*</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10.30</w:t>
            </w:r>
          </w:p>
        </w:tc>
        <w:tc>
          <w:tcPr>
            <w:tcW w:w="4380" w:type="dxa"/>
            <w:vAlign w:val="bottom"/>
            <w:tcBorders>
              <w:top w:val="single" w:sz="8" w:color="0000FF"/>
            </w:tcBorders>
            <w:gridSpan w:val="9"/>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Second Amended and Restated 2007 Equity Incentive Plan*</w:t>
              </w:r>
            </w:hyperlink>
          </w:p>
        </w:tc>
        <w:tc>
          <w:tcPr>
            <w:tcW w:w="840" w:type="dxa"/>
            <w:vAlign w:val="bottom"/>
            <w:gridSpan w:val="3"/>
          </w:tcPr>
          <w:p>
            <w:pPr>
              <w:spacing w:after="0"/>
              <w:rPr>
                <w:sz w:val="21"/>
                <w:szCs w:val="21"/>
                <w:color w:val="auto"/>
              </w:rPr>
            </w:pPr>
          </w:p>
        </w:tc>
        <w:tc>
          <w:tcPr>
            <w:tcW w:w="82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4"/>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10.31</w:t>
            </w:r>
          </w:p>
        </w:tc>
        <w:tc>
          <w:tcPr>
            <w:tcW w:w="4340" w:type="dxa"/>
            <w:vAlign w:val="bottom"/>
            <w:tcBorders>
              <w:top w:val="single" w:sz="8" w:color="0000FF"/>
            </w:tcBorders>
            <w:gridSpan w:val="8"/>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Amended and Restated Executive Incentive Bonus Plan*</w:t>
              </w:r>
            </w:hyperlink>
          </w:p>
        </w:tc>
        <w:tc>
          <w:tcPr>
            <w:tcW w:w="880" w:type="dxa"/>
            <w:vAlign w:val="bottom"/>
            <w:gridSpan w:val="4"/>
          </w:tcPr>
          <w:p>
            <w:pPr>
              <w:spacing w:after="0"/>
              <w:rPr>
                <w:sz w:val="21"/>
                <w:szCs w:val="21"/>
                <w:color w:val="auto"/>
              </w:rPr>
            </w:pPr>
          </w:p>
        </w:tc>
        <w:tc>
          <w:tcPr>
            <w:tcW w:w="82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4"/>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37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Computation of Ratio of Earnings to Fixed Charges</w:t>
              </w:r>
            </w:hyperlink>
          </w:p>
        </w:tc>
        <w:tc>
          <w:tcPr>
            <w:tcW w:w="380" w:type="dxa"/>
            <w:vAlign w:val="bottom"/>
            <w:tcBorders>
              <w:top w:val="single" w:sz="8" w:color="0000FF"/>
            </w:tcBorders>
            <w:gridSpan w:val="2"/>
          </w:tcPr>
          <w:p>
            <w:pPr>
              <w:spacing w:after="0"/>
              <w:rPr>
                <w:sz w:val="21"/>
                <w:szCs w:val="21"/>
                <w:color w:val="auto"/>
              </w:rPr>
            </w:pPr>
          </w:p>
        </w:tc>
        <w:tc>
          <w:tcPr>
            <w:tcW w:w="112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26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List of subsidiaries of the Registrant.</w:t>
              </w:r>
            </w:hyperlink>
          </w:p>
        </w:tc>
        <w:tc>
          <w:tcPr>
            <w:tcW w:w="2560" w:type="dxa"/>
            <w:vAlign w:val="bottom"/>
            <w:gridSpan w:val="10"/>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5220" w:type="dxa"/>
            <w:vAlign w:val="bottom"/>
            <w:gridSpan w:val="1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Consent of PricewaterhouseCoopers LLP.</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5220" w:type="dxa"/>
            <w:vAlign w:val="bottom"/>
            <w:gridSpan w:val="12"/>
          </w:tcPr>
          <w:p>
            <w:pPr>
              <w:spacing w:after="0"/>
              <w:rPr>
                <w:rFonts w:ascii="Arial" w:cs="Arial" w:eastAsia="Arial" w:hAnsi="Arial"/>
                <w:sz w:val="18"/>
                <w:szCs w:val="18"/>
                <w:color w:val="0000FF"/>
                <w:w w:val="97"/>
              </w:rPr>
            </w:pPr>
            <w:hyperlink w:anchor="page104">
              <w:r>
                <w:rPr>
                  <w:rFonts w:ascii="Arial" w:cs="Arial" w:eastAsia="Arial" w:hAnsi="Arial"/>
                  <w:sz w:val="18"/>
                  <w:szCs w:val="18"/>
                  <w:color w:val="0000FF"/>
                  <w:w w:val="97"/>
                </w:rPr>
                <w:t>Certification of Stephen D. Kelley, Chief Executive Officer of Amkor</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1"/>
          </w:tcPr>
          <w:p>
            <w:pPr>
              <w:spacing w:after="0" w:line="196" w:lineRule="exact"/>
              <w:rPr>
                <w:rFonts w:ascii="Arial" w:cs="Arial" w:eastAsia="Arial" w:hAnsi="Arial"/>
                <w:sz w:val="18"/>
                <w:szCs w:val="18"/>
                <w:color w:val="0000FF"/>
                <w:w w:val="98"/>
              </w:rPr>
            </w:pPr>
            <w:hyperlink w:anchor="page104">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60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4">
              <w:r>
                <w:rPr>
                  <w:rFonts w:ascii="Arial" w:cs="Arial" w:eastAsia="Arial" w:hAnsi="Arial"/>
                  <w:sz w:val="18"/>
                  <w:szCs w:val="18"/>
                  <w:color w:val="0000FF"/>
                  <w:w w:val="88"/>
                </w:rPr>
                <w:t>Exchange Act of 1934, as amended.</w:t>
              </w:r>
            </w:hyperlink>
          </w:p>
        </w:tc>
        <w:tc>
          <w:tcPr>
            <w:tcW w:w="262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520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105">
              <w:r>
                <w:rPr>
                  <w:rFonts w:ascii="Arial" w:cs="Arial" w:eastAsia="Arial" w:hAnsi="Arial"/>
                  <w:sz w:val="18"/>
                  <w:szCs w:val="18"/>
                  <w:color w:val="0000FF"/>
                  <w:w w:val="97"/>
                </w:rPr>
                <w:t>Certification  of  Megan  Faust,  Chief  Financial  Officer  of  Amkor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1"/>
          </w:tcPr>
          <w:p>
            <w:pPr>
              <w:spacing w:after="0" w:line="196" w:lineRule="exact"/>
              <w:rPr>
                <w:rFonts w:ascii="Arial" w:cs="Arial" w:eastAsia="Arial" w:hAnsi="Arial"/>
                <w:sz w:val="18"/>
                <w:szCs w:val="18"/>
                <w:color w:val="0000FF"/>
                <w:w w:val="98"/>
              </w:rPr>
            </w:pPr>
            <w:hyperlink w:anchor="page105">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60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Exchange Act of 1934, as amended.</w:t>
              </w:r>
            </w:hyperlink>
          </w:p>
        </w:tc>
        <w:tc>
          <w:tcPr>
            <w:tcW w:w="262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520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106">
              <w:r>
                <w:rPr>
                  <w:rFonts w:ascii="Arial" w:cs="Arial" w:eastAsia="Arial" w:hAnsi="Arial"/>
                  <w:sz w:val="18"/>
                  <w:szCs w:val="18"/>
                  <w:color w:val="0000FF"/>
                  <w:w w:val="99"/>
                </w:rPr>
                <w:t>Certification of Chief Executive Officer and Chief Financial Officer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2"/>
          </w:tcPr>
          <w:p>
            <w:pPr>
              <w:spacing w:after="0" w:line="196" w:lineRule="exact"/>
              <w:rPr>
                <w:rFonts w:ascii="Arial" w:cs="Arial" w:eastAsia="Arial" w:hAnsi="Arial"/>
                <w:sz w:val="18"/>
                <w:szCs w:val="18"/>
                <w:color w:val="0000FF"/>
                <w:w w:val="94"/>
              </w:rPr>
            </w:pPr>
            <w:hyperlink w:anchor="page106">
              <w:r>
                <w:rPr>
                  <w:rFonts w:ascii="Arial" w:cs="Arial" w:eastAsia="Arial" w:hAnsi="Arial"/>
                  <w:sz w:val="18"/>
                  <w:szCs w:val="18"/>
                  <w:color w:val="0000FF"/>
                  <w:w w:val="94"/>
                </w:rPr>
                <w:t>Pursuant to 18 U.S.C. Section 1350, as Adopted Pursuant to Section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906 of the Sarbanes-Oxley Act of 2002.</w:t>
              </w:r>
            </w:hyperlink>
          </w:p>
        </w:tc>
        <w:tc>
          <w:tcPr>
            <w:tcW w:w="230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101.INS</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101.SCH</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101.CAL</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101.LAB</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101.PRE</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101.DEF</w:t>
            </w:r>
          </w:p>
        </w:tc>
        <w:tc>
          <w:tcPr>
            <w:tcW w:w="52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Exhibit 12.1</w:t>
            </w:r>
          </w:p>
        </w:tc>
        <w:tc>
          <w:tcPr>
            <w:tcW w:w="0" w:type="dxa"/>
            <w:vAlign w:val="bottom"/>
          </w:tcPr>
          <w:p>
            <w:pPr>
              <w:spacing w:after="0"/>
              <w:rPr>
                <w:sz w:val="1"/>
                <w:szCs w:val="1"/>
                <w:color w:val="auto"/>
              </w:rPr>
            </w:pPr>
          </w:p>
        </w:tc>
      </w:tr>
      <w:tr>
        <w:trPr>
          <w:trHeight w:val="554"/>
        </w:trPr>
        <w:tc>
          <w:tcPr>
            <w:tcW w:w="6980" w:type="dxa"/>
            <w:vAlign w:val="bottom"/>
            <w:gridSpan w:val="5"/>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40" w:type="dxa"/>
            <w:vAlign w:val="bottom"/>
            <w:gridSpan w:val="10"/>
          </w:tcPr>
          <w:p>
            <w:pPr>
              <w:ind w:left="300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80"/>
              <w:spacing w:after="0"/>
              <w:rPr>
                <w:sz w:val="20"/>
                <w:szCs w:val="20"/>
                <w:color w:val="auto"/>
              </w:rPr>
            </w:pPr>
            <w:r>
              <w:rPr>
                <w:rFonts w:ascii="Arial" w:cs="Arial" w:eastAsia="Arial" w:hAnsi="Arial"/>
                <w:sz w:val="18"/>
                <w:szCs w:val="18"/>
                <w:color w:val="auto"/>
              </w:rPr>
              <w:t>Income before taxes and equity in earnings of unconsolidated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520"/>
              <w:spacing w:after="0"/>
              <w:rPr>
                <w:sz w:val="20"/>
                <w:szCs w:val="20"/>
                <w:color w:val="auto"/>
              </w:rPr>
            </w:pPr>
            <w:r>
              <w:rPr>
                <w:rFonts w:ascii="Arial" w:cs="Arial" w:eastAsia="Arial" w:hAnsi="Arial"/>
                <w:sz w:val="18"/>
                <w:szCs w:val="18"/>
                <w:color w:val="auto"/>
              </w:rPr>
              <w:t>affiliate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303,870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215,157</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67,912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136,078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123,987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103,027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debt issuance costs and premiums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portion of rent (1)</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16,029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405,918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314,385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255,505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237,841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103,027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 and premiums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portion of rent (1)</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16,029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101,606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103,914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126,339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115,594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one-third of total rent expense, which we believe is a reasonable estimate of the interest component of rent expense.</w:t>
      </w:r>
    </w:p>
    <w:p>
      <w:pPr>
        <w:sectPr>
          <w:pgSz w:w="11900" w:h="16838" w:orient="portrait"/>
          <w:cols w:equalWidth="0" w:num="1">
            <w:col w:w="11420"/>
          </w:cols>
          <w:pgMar w:left="240" w:top="580"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60" w:type="dxa"/>
            <w:vAlign w:val="bottom"/>
          </w:tcPr>
          <w:p>
            <w:pPr>
              <w:ind w:left="202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8460" w:type="dxa"/>
            <w:vAlign w:val="bottom"/>
            <w:gridSpan w:val="2"/>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960" w:type="dxa"/>
            <w:vAlign w:val="bottom"/>
          </w:tcPr>
          <w:p>
            <w:pPr>
              <w:spacing w:after="0"/>
              <w:rPr>
                <w:sz w:val="24"/>
                <w:szCs w:val="24"/>
                <w:color w:val="auto"/>
              </w:rPr>
            </w:pPr>
          </w:p>
        </w:tc>
      </w:tr>
      <w:tr>
        <w:trPr>
          <w:trHeight w:val="338"/>
        </w:trPr>
        <w:tc>
          <w:tcPr>
            <w:tcW w:w="8460" w:type="dxa"/>
            <w:vAlign w:val="bottom"/>
            <w:gridSpan w:val="2"/>
          </w:tcPr>
          <w:p>
            <w:pPr>
              <w:ind w:left="4700"/>
              <w:spacing w:after="0"/>
              <w:rPr>
                <w:sz w:val="20"/>
                <w:szCs w:val="20"/>
                <w:color w:val="auto"/>
              </w:rPr>
            </w:pPr>
            <w:r>
              <w:rPr>
                <w:rFonts w:ascii="Arial" w:cs="Arial" w:eastAsia="Arial" w:hAnsi="Arial"/>
                <w:sz w:val="18"/>
                <w:szCs w:val="18"/>
                <w:b w:val="1"/>
                <w:bCs w:val="1"/>
                <w:color w:val="auto"/>
              </w:rPr>
              <w:t>LIST OF SUBSIDIARIES</w:t>
            </w:r>
          </w:p>
        </w:tc>
        <w:tc>
          <w:tcPr>
            <w:tcW w:w="2960" w:type="dxa"/>
            <w:vAlign w:val="bottom"/>
          </w:tcPr>
          <w:p>
            <w:pPr>
              <w:spacing w:after="0"/>
              <w:rPr>
                <w:sz w:val="24"/>
                <w:szCs w:val="24"/>
                <w:color w:val="auto"/>
              </w:rPr>
            </w:pPr>
          </w:p>
        </w:tc>
      </w:tr>
      <w:tr>
        <w:trPr>
          <w:trHeight w:val="399"/>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24"/>
                <w:szCs w:val="2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r>
      <w:tr>
        <w:trPr>
          <w:trHeight w:val="378"/>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Advanced Technology Taiwan,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Euroservices, S.A.S.</w:t>
            </w:r>
          </w:p>
        </w:tc>
        <w:tc>
          <w:tcPr>
            <w:tcW w:w="29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 Germany (A Branch of a Netherlands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Korea,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Limited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Malaysia Sdn. Bhd.</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Philippines, Inc. (A Branch of a Singapore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Investment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Holding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Taiwan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Worldwide Services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ATEP - Amkor Technology Portugal, S.A.</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Guardian Assets,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J-Devices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Unitive International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Curacao</w:t>
            </w:r>
          </w:p>
        </w:tc>
      </w:tr>
    </w:tbl>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333-62891, 333-86161, 333-63430, 333-100814 and 333-149376) of Amkor Technology, Inc. of our report dated February 23, 2018,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85" w:lineRule="exact"/>
        <w:rPr>
          <w:sz w:val="20"/>
          <w:szCs w:val="20"/>
          <w:color w:val="auto"/>
        </w:rPr>
      </w:pPr>
    </w:p>
    <w:p>
      <w:pPr>
        <w:ind w:left="520" w:hanging="188"/>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4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23, 2018</w:t>
      </w:r>
    </w:p>
    <w:p>
      <w:pPr>
        <w:sectPr>
          <w:pgSz w:w="11900" w:h="16838" w:orient="portrait"/>
          <w:cols w:equalWidth="0" w:num="2">
            <w:col w:w="7160" w:space="340"/>
            <w:col w:w="3920"/>
          </w:cols>
          <w:pgMar w:left="240" w:top="580" w:right="2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85" w:lineRule="exact"/>
        <w:rPr>
          <w:sz w:val="20"/>
          <w:szCs w:val="20"/>
          <w:color w:val="auto"/>
        </w:rPr>
      </w:pPr>
    </w:p>
    <w:p>
      <w:pPr>
        <w:ind w:left="520" w:hanging="188"/>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23, 2018</w:t>
      </w:r>
    </w:p>
    <w:p>
      <w:pPr>
        <w:sectPr>
          <w:pgSz w:w="11900" w:h="16838" w:orient="portrait"/>
          <w:cols w:equalWidth="0" w:num="2">
            <w:col w:w="7160" w:space="340"/>
            <w:col w:w="3920"/>
          </w:cols>
          <w:pgMar w:left="240" w:top="580"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2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Stephen D. Kelley, certify, pursuant to 18 U.S.C. Section 1350, as adopted pursuant to Section 906 of the Sarbanes-Oxley Act of 2002, that the Annual Report of Amkor Technology, Inc. on Form 10-K for the year ended December 31, 2017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3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23, 2018</w:t>
      </w:r>
    </w:p>
    <w:p>
      <w:pPr>
        <w:spacing w:after="0" w:line="200"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Megan Faust, certify, pursuant to 18 U.S.C. Section 1350, as adopted pursuant to Section 906 of the Sarbanes-Oxley Act of 2002, that the Annual Report of Amkor Technology, Inc. on Form 10-K for the year ended December 31, 2017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200" w:lineRule="exact"/>
        <w:rPr>
          <w:sz w:val="20"/>
          <w:szCs w:val="20"/>
          <w:color w:val="auto"/>
        </w:rPr>
      </w:pP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23, 2018</w:t>
      </w:r>
    </w:p>
    <w:sectPr>
      <w:pgSz w:w="11900" w:h="16838" w:orient="portrait"/>
      <w:cols w:equalWidth="0" w:num="2">
        <w:col w:w="7160" w:space="340"/>
        <w:col w:w="39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6"/>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2"/>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2"/>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1."/>
      <w:numFmt w:val="decimal"/>
      <w:start w:val="4"/>
    </w:lvl>
  </w:abstractNum>
  <w:abstractNum w:abstractNumId="35">
    <w:nsid w:val="70A64E2A"/>
    <w:multiLevelType w:val="hybridMultilevel"/>
    <w:lvl w:ilvl="0">
      <w:lvlJc w:val="left"/>
      <w:lvlText w:val="%1."/>
      <w:numFmt w:val="decimal"/>
      <w:start w:val="7"/>
    </w:lvl>
  </w:abstractNum>
  <w:abstractNum w:abstractNumId="36">
    <w:nsid w:val="6A2342EC"/>
    <w:multiLevelType w:val="hybridMultilevel"/>
    <w:lvl w:ilvl="0">
      <w:lvlJc w:val="left"/>
      <w:lvlText w:val="%1."/>
      <w:numFmt w:val="decimal"/>
      <w:start w:val="8"/>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14"/>
    </w:lvl>
  </w:abstractNum>
  <w:abstractNum w:abstractNumId="40">
    <w:nsid w:val="2CD89A32"/>
    <w:multiLevelType w:val="hybridMultilevel"/>
    <w:lvl w:ilvl="0">
      <w:lvlJc w:val="left"/>
      <w:lvlText w:val="%1)"/>
      <w:numFmt w:val="decimal"/>
      <w:start w:val="12"/>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68" Type="http://schemas.openxmlformats.org/officeDocument/2006/relationships/image" Target="media/image24.png"/><Relationship Id="rId69" Type="http://schemas.openxmlformats.org/officeDocument/2006/relationships/image" Target="media/image25.png"/><Relationship Id="rId70" Type="http://schemas.openxmlformats.org/officeDocument/2006/relationships/image" Target="media/image26.png"/><Relationship Id="rId71" Type="http://schemas.openxmlformats.org/officeDocument/2006/relationships/image" Target="media/image27.png"/><Relationship Id="rId31" Type="http://schemas.openxmlformats.org/officeDocument/2006/relationships/hyperlink" Target="http://www.sec.gov/Archives/edgar/data/1047127/000089322004001612/w99531exv2w3.txt" TargetMode="External"/><Relationship Id="rId32" Type="http://schemas.openxmlformats.org/officeDocument/2006/relationships/hyperlink" Target="http://www.sec.gov/Archives/edgar/data/1047127/0000891618-97-004025.txt" TargetMode="External"/><Relationship Id="rId33" Type="http://schemas.openxmlformats.org/officeDocument/2006/relationships/hyperlink" Target="http://www.sec.gov/Archives/edgar/data/1047127/0000891618-98-001602.txt" TargetMode="External"/><Relationship Id="rId34" Type="http://schemas.openxmlformats.org/officeDocument/2006/relationships/hyperlink" Target="http://www.sec.gov/Archives/edgar/data/1047127/000104712714000006/amkr123113ex33.htm" TargetMode="External"/><Relationship Id="rId35" Type="http://schemas.openxmlformats.org/officeDocument/2006/relationships/hyperlink" Target="http://www.sec.gov/Archives/edgar/data/1047127/0000891618-98-001449.txt" TargetMode="External"/><Relationship Id="rId36" Type="http://schemas.openxmlformats.org/officeDocument/2006/relationships/hyperlink" Target="http://www.sec.gov/Archives/edgar/data/1047127/000095012311052523/p18885exv4w1.htm" TargetMode="External"/><Relationship Id="rId37" Type="http://schemas.openxmlformats.org/officeDocument/2006/relationships/hyperlink" Target="http://www.sec.gov/Archives/edgar/data/1047127/000095012311052523/p18885exv10w1.htm" TargetMode="External"/><Relationship Id="rId38" Type="http://schemas.openxmlformats.org/officeDocument/2006/relationships/hyperlink" Target="http://www.sec.gov/Archives/edgar/data/1047127/000119312512399384/d414169dex41.htm" TargetMode="External"/><Relationship Id="rId39" Type="http://schemas.openxmlformats.org/officeDocument/2006/relationships/hyperlink" Target="http://www.sec.gov/Archives/edgar/data/1047127/000095015308001388/p76064exv10w1.htm" TargetMode="External"/><Relationship Id="rId40" Type="http://schemas.openxmlformats.org/officeDocument/2006/relationships/hyperlink" Target="http://www.sec.gov/Archives/edgar/data/1047127/000095015306000688/p72010exv10w2.txt" TargetMode="External"/><Relationship Id="rId41" Type="http://schemas.openxmlformats.org/officeDocument/2006/relationships/hyperlink" Target="http://www.sec.gov/Archives/edgar/data/1047127/000095015308001388/p76064exv10w2.htm" TargetMode="External"/><Relationship Id="rId42" Type="http://schemas.openxmlformats.org/officeDocument/2006/relationships/hyperlink" Target="http://www.sec.gov/Archives/edgar/data/1047127/000119312512151909/d315240ddef14a.htm" TargetMode="External"/><Relationship Id="rId43" Type="http://schemas.openxmlformats.org/officeDocument/2006/relationships/hyperlink" Target="http://www.sec.gov/Archives/edgar/data/1047127/000104712712000009/amkr63012ex103.htm" TargetMode="External"/><Relationship Id="rId44" Type="http://schemas.openxmlformats.org/officeDocument/2006/relationships/hyperlink" Target="http://www.sec.gov/Archives/edgar/data/1047127/000104712712000009/amkr63012ex104.htm" TargetMode="External"/><Relationship Id="rId45" Type="http://schemas.openxmlformats.org/officeDocument/2006/relationships/hyperlink" Target="http://www.sec.gov/Archives/edgar/data/1047127/000095015307000986/p73748exv10w4.htm" TargetMode="External"/><Relationship Id="rId46" Type="http://schemas.openxmlformats.org/officeDocument/2006/relationships/hyperlink" Target="http://www.sec.gov/Archives/edgar/data/1047127/000095015309000248/p14626exv10w1.htm" TargetMode="External"/><Relationship Id="rId47" Type="http://schemas.openxmlformats.org/officeDocument/2006/relationships/hyperlink" Target="http://www.sec.gov/Archives/edgar/data/1047127/000119312512290189/d372004dex101.htm" TargetMode="External"/><Relationship Id="rId48" Type="http://schemas.openxmlformats.org/officeDocument/2006/relationships/hyperlink" Target="http://www.sec.gov/Archives/edgar/data/1047127/000104712714000051/amkr12242014ex101.htm" TargetMode="External"/><Relationship Id="rId49" Type="http://schemas.openxmlformats.org/officeDocument/2006/relationships/hyperlink" Target="http://www.sec.gov/Archives/edgar/data/1047127/000095012310053407/p17718exv10w4.htm" TargetMode="External"/><Relationship Id="rId50" Type="http://schemas.openxmlformats.org/officeDocument/2006/relationships/hyperlink" Target="http://www.sec.gov/Archives/edgar/data/1047127/000119312512481036/d444080dex101.htm" TargetMode="External"/><Relationship Id="rId51" Type="http://schemas.openxmlformats.org/officeDocument/2006/relationships/hyperlink" Target="http://www.sec.gov/Archives/edgar/data/1047127/000119312512481036/d444080dex102.htm" TargetMode="External"/><Relationship Id="rId52" Type="http://schemas.openxmlformats.org/officeDocument/2006/relationships/hyperlink" Target="http://www.sec.gov/Archives/edgar/data/1047127/000104712714000006/amkr123113ex1028.htm" TargetMode="External"/><Relationship Id="rId53" Type="http://schemas.openxmlformats.org/officeDocument/2006/relationships/hyperlink" Target="http://www.sec.gov/Archives/edgar/data/1047127/000104712713000020/amkr63013ex107.htm" TargetMode="External"/><Relationship Id="rId54" Type="http://schemas.openxmlformats.org/officeDocument/2006/relationships/hyperlink" Target="http://www.sec.gov/Archives/edgar/data/1047127/000119312513198614/d530244dex101.htm" TargetMode="External"/><Relationship Id="rId55" Type="http://schemas.openxmlformats.org/officeDocument/2006/relationships/hyperlink" Target="http://www.sec.gov/Archives/edgar/data/1047127/000119312513214352/d536651dex101.htm" TargetMode="External"/><Relationship Id="rId56" Type="http://schemas.openxmlformats.org/officeDocument/2006/relationships/hyperlink" Target="http://www.sec.gov/Archives/edgar/data/1047127/000104712713000020/amkr63013ex103.htm" TargetMode="External"/><Relationship Id="rId57" Type="http://schemas.openxmlformats.org/officeDocument/2006/relationships/hyperlink" Target="http://www.sec.gov/Archives/edgar/data/1047127/000104712715000043/amkr93015ex101.htm" TargetMode="External"/><Relationship Id="rId58" Type="http://schemas.openxmlformats.org/officeDocument/2006/relationships/hyperlink" Target="http://www.sec.gov/Archives/edgar/data/1047127/000104712716000056/amkr33116ex101.htm" TargetMode="External"/><Relationship Id="rId59" Type="http://schemas.openxmlformats.org/officeDocument/2006/relationships/hyperlink" Target="http://www.sec.gov/Archives/edgar/data/1047127/000104712715000021/amkr33115ex103.htm" TargetMode="External"/><Relationship Id="rId60" Type="http://schemas.openxmlformats.org/officeDocument/2006/relationships/hyperlink" Target="http://www.sec.gov/Archives/edgar/data/1047127/000104712716000070/amkr63016ex101.htm" TargetMode="External"/><Relationship Id="rId61" Type="http://schemas.openxmlformats.org/officeDocument/2006/relationships/hyperlink" Target="http://www.sec.gov/Archives/edgar/data/1047127/000104712716000078/amkr93016ex101.htm" TargetMode="External"/><Relationship Id="rId62" Type="http://schemas.openxmlformats.org/officeDocument/2006/relationships/hyperlink" Target="http://www.sec.gov/Archives/edgar/data/1047127/000104712717000013/ex101ceoagreement.htm" TargetMode="External"/><Relationship Id="rId63" Type="http://schemas.openxmlformats.org/officeDocument/2006/relationships/hyperlink" Target="http://www.sec.gov/Archives/edgar/data/1047127/000104712717000023/amkr33117ex102.htm" TargetMode="External"/><Relationship Id="rId64" Type="http://schemas.openxmlformats.org/officeDocument/2006/relationships/hyperlink" Target="http://www.sec.gov/Archives/edgar/data/1047127/000104712717000023/amkr33117ex103.htm" TargetMode="External"/><Relationship Id="rId65" Type="http://schemas.openxmlformats.org/officeDocument/2006/relationships/hyperlink" Target="http://www.sec.gov/Archives/edgar/data/1047127/000104712717000023/amkr33117ex104.htm" TargetMode="External"/><Relationship Id="rId66" Type="http://schemas.openxmlformats.org/officeDocument/2006/relationships/hyperlink" Target="http://www.sec.gov/Archives/edgar/data/1047127/000104712717000025/amkorarequityplanexhibit10.htm" TargetMode="External"/><Relationship Id="rId67" Type="http://schemas.openxmlformats.org/officeDocument/2006/relationships/hyperlink" Target="http://www.sec.gov/Archives/edgar/data/1047127/000104712717000025/amkorarexecutiveincentive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2019-12-29T01:24:03Z</dcterms:created>
  <dcterms:modified xsi:type="dcterms:W3CDTF">2019-12-29T01:24:03Z</dcterms:modified>
</cp:coreProperties>
</file>