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843280</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800735</wp:posOffset>
            </wp:positionV>
            <wp:extent cx="6934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 2022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20"/>
                <w:szCs w:val="20"/>
                <w:color w:val="auto"/>
              </w:rPr>
            </w:pPr>
          </w:p>
        </w:tc>
        <w:tc>
          <w:tcPr>
            <w:tcW w:w="328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000-29472</w:t>
            </w: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23-1722724</w:t>
            </w:r>
          </w:p>
        </w:tc>
      </w:tr>
      <w:tr>
        <w:trPr>
          <w:trHeight w:val="237"/>
        </w:trPr>
        <w:tc>
          <w:tcPr>
            <w:tcW w:w="32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40" w:type="dxa"/>
            <w:vAlign w:val="bottom"/>
          </w:tcPr>
          <w:p>
            <w:pPr>
              <w:spacing w:after="0"/>
              <w:rPr>
                <w:sz w:val="20"/>
                <w:szCs w:val="20"/>
                <w:color w:val="auto"/>
              </w:rPr>
            </w:pPr>
          </w:p>
        </w:tc>
        <w:tc>
          <w:tcPr>
            <w:tcW w:w="41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(Commission File Number)</w:t>
            </w:r>
          </w:p>
        </w:tc>
        <w:tc>
          <w:tcPr>
            <w:tcW w:w="3020" w:type="dxa"/>
            <w:vAlign w:val="bottom"/>
          </w:tcPr>
          <w:p>
            <w:pPr>
              <w:jc w:val="center"/>
              <w:ind w:right="1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8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34"/>
        </w:trPr>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2045 EAST INNOVATION CIRCLE</w:t>
            </w:r>
          </w:p>
        </w:tc>
        <w:tc>
          <w:tcPr>
            <w:tcW w:w="302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TEMPE, AZ 85284</w:t>
            </w:r>
          </w:p>
        </w:tc>
        <w:tc>
          <w:tcPr>
            <w:tcW w:w="302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02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38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(480) 821-5000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020" w:type="dxa"/>
            <w:vAlign w:val="bottom"/>
          </w:tcPr>
          <w:p>
            <w:pPr>
              <w:spacing w:after="0"/>
              <w:rPr>
                <w:sz w:val="20"/>
                <w:szCs w:val="20"/>
                <w:color w:val="auto"/>
              </w:rPr>
            </w:pPr>
          </w:p>
        </w:tc>
      </w:tr>
    </w:tbl>
    <w:p>
      <w:pPr>
        <w:spacing w:after="0" w:line="28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7680" w:type="dxa"/>
            <w:vAlign w:val="bottom"/>
            <w:gridSpan w:val="2"/>
          </w:tcPr>
          <w:p>
            <w:pPr>
              <w:ind w:left="32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403"/>
        </w:trPr>
        <w:tc>
          <w:tcPr>
            <w:tcW w:w="35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Title of Each Class</w:t>
            </w:r>
          </w:p>
        </w:tc>
        <w:tc>
          <w:tcPr>
            <w:tcW w:w="2800" w:type="dxa"/>
            <w:vAlign w:val="bottom"/>
            <w:tcBorders>
              <w:bottom w:val="single" w:sz="8" w:color="auto"/>
            </w:tcBorders>
          </w:tcPr>
          <w:p>
            <w:pPr>
              <w:jc w:val="center"/>
              <w:ind w:left="236"/>
              <w:spacing w:after="0"/>
              <w:rPr>
                <w:sz w:val="20"/>
                <w:szCs w:val="20"/>
                <w:color w:val="auto"/>
              </w:rPr>
            </w:pPr>
            <w:r>
              <w:rPr>
                <w:rFonts w:ascii="Arial" w:cs="Arial" w:eastAsia="Arial" w:hAnsi="Arial"/>
                <w:sz w:val="18"/>
                <w:szCs w:val="18"/>
                <w:b w:val="1"/>
                <w:bCs w:val="1"/>
                <w:color w:val="auto"/>
                <w:w w:val="91"/>
              </w:rPr>
              <w:t>Trading Symbol</w:t>
            </w:r>
          </w:p>
        </w:tc>
        <w:tc>
          <w:tcPr>
            <w:tcW w:w="4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20" w:type="dxa"/>
            <w:vAlign w:val="bottom"/>
          </w:tcPr>
          <w:p>
            <w:pPr>
              <w:jc w:val="center"/>
              <w:ind w:left="370"/>
              <w:spacing w:after="0"/>
              <w:rPr>
                <w:sz w:val="20"/>
                <w:szCs w:val="20"/>
                <w:color w:val="auto"/>
              </w:rPr>
            </w:pPr>
            <w:r>
              <w:rPr>
                <w:rFonts w:ascii="Arial" w:cs="Arial" w:eastAsia="Arial" w:hAnsi="Arial"/>
                <w:sz w:val="18"/>
                <w:szCs w:val="18"/>
                <w:color w:val="auto"/>
                <w:w w:val="90"/>
              </w:rPr>
              <w:t>Common Stock, $0.001 par value</w:t>
            </w:r>
          </w:p>
        </w:tc>
        <w:tc>
          <w:tcPr>
            <w:tcW w:w="2800" w:type="dxa"/>
            <w:vAlign w:val="bottom"/>
          </w:tcPr>
          <w:p>
            <w:pPr>
              <w:jc w:val="center"/>
              <w:ind w:left="256"/>
              <w:spacing w:after="0"/>
              <w:rPr>
                <w:sz w:val="20"/>
                <w:szCs w:val="20"/>
                <w:color w:val="auto"/>
              </w:rPr>
            </w:pPr>
            <w:r>
              <w:rPr>
                <w:rFonts w:ascii="Arial" w:cs="Arial" w:eastAsia="Arial" w:hAnsi="Arial"/>
                <w:sz w:val="18"/>
                <w:szCs w:val="18"/>
                <w:color w:val="auto"/>
              </w:rPr>
              <w:t>AMKR</w:t>
            </w:r>
          </w:p>
        </w:tc>
        <w:tc>
          <w:tcPr>
            <w:tcW w:w="4880" w:type="dxa"/>
            <w:vAlign w:val="bottom"/>
          </w:tcPr>
          <w:p>
            <w:pPr>
              <w:jc w:val="center"/>
              <w:ind w:right="10"/>
              <w:spacing w:after="0"/>
              <w:rPr>
                <w:sz w:val="20"/>
                <w:szCs w:val="20"/>
                <w:color w:val="auto"/>
              </w:rPr>
            </w:pPr>
            <w:r>
              <w:rPr>
                <w:rFonts w:ascii="Arial" w:cs="Arial" w:eastAsia="Arial" w:hAnsi="Arial"/>
                <w:sz w:val="18"/>
                <w:szCs w:val="18"/>
                <w:color w:val="auto"/>
                <w:w w:val="93"/>
              </w:rPr>
              <w:t>The NASDAQ Global Select Market</w:t>
            </w:r>
          </w:p>
        </w:tc>
      </w:tr>
    </w:tbl>
    <w:p>
      <w:pPr>
        <w:spacing w:after="0" w:line="66"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0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May 2, 2022, Amkor Technology, Inc. announced in a press release its financial performance for the three months ended March 31, 2022. The information in this Current Report on Form 8-K, including the exhibit attached hereto, is being furnished and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regardless of any general incorporation language in such filing.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6" w:lineRule="exact"/>
        <w:rPr>
          <w:sz w:val="20"/>
          <w:szCs w:val="20"/>
          <w:color w:val="auto"/>
        </w:rPr>
      </w:pPr>
    </w:p>
    <w:p>
      <w:pPr>
        <w:ind w:left="260"/>
        <w:spacing w:after="0"/>
        <w:tabs>
          <w:tab w:leader="none" w:pos="57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Press Release dated May 2, 2022, which is furnished (not filed) herewith.</w:t>
        </w:r>
      </w:hyperlink>
    </w:p>
    <w:p>
      <w:pPr>
        <w:spacing w:after="0" w:line="23"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tbl>
      <w:tblPr>
        <w:tblLayout w:type="fixed"/>
        <w:tblInd w:w="3700" w:type="dxa"/>
        <w:tblCellMar>
          <w:top w:w="0" w:type="dxa"/>
          <w:left w:w="0" w:type="dxa"/>
          <w:bottom w:w="0" w:type="dxa"/>
          <w:right w:w="0" w:type="dxa"/>
        </w:tblCellMar>
      </w:tblPr>
      <w:tr>
        <w:trPr>
          <w:trHeight w:val="22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Megan Faust</w:t>
            </w:r>
          </w:p>
        </w:tc>
      </w:tr>
      <w:tr>
        <w:trPr>
          <w:trHeight w:val="222"/>
        </w:trPr>
        <w:tc>
          <w:tcPr>
            <w:tcW w:w="62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Megan Faust</w:t>
            </w:r>
          </w:p>
        </w:tc>
      </w:tr>
      <w:tr>
        <w:trPr>
          <w:trHeight w:val="230"/>
        </w:trPr>
        <w:tc>
          <w:tcPr>
            <w:tcW w:w="6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ectPr>
          <w:pgSz w:w="11900" w:h="16838" w:orient="portrait"/>
          <w:cols w:equalWidth="0" w:num="1">
            <w:col w:w="11240"/>
          </w:cols>
          <w:pgMar w:left="320" w:top="125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852170</wp:posOffset>
            </wp:positionV>
            <wp:extent cx="66865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68655" cy="25717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Reports Financial Results for the First Quarter 2022</w:t>
      </w: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TEMPE, Ariz. -- May 2, 2022 -- Amkor Technology, Inc. (Nasdaq: AMKR), a leading provider of semiconductor packaging and test services, today announced financial results for the first quarter ended March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Highlights</w:t>
      </w:r>
    </w:p>
    <w:p>
      <w:pPr>
        <w:spacing w:after="0" w:line="3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sales $1.6 billion, up 20% year-on-year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20.4%, operating income margin 13.2%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$171 million, earnings per diluted share $0.69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$363 million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“Amkor delivered another strong quarter of financial results, driven by continued demand for our Advanced packaging solutions. Advanced packaging grew 26% year-on-year and drove sales to $1.6 billion and EPS to $0.69, both of which are first quarter records,” said Giel Rutten, Amkor’s president and chief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20" w:type="dxa"/>
            <w:vAlign w:val="bottom"/>
          </w:tcPr>
          <w:p>
            <w:pPr>
              <w:spacing w:after="0"/>
              <w:rPr>
                <w:sz w:val="20"/>
                <w:szCs w:val="20"/>
                <w:color w:val="auto"/>
              </w:rPr>
            </w:pPr>
            <w:r>
              <w:rPr>
                <w:rFonts w:ascii="Arial" w:cs="Arial" w:eastAsia="Arial" w:hAnsi="Arial"/>
                <w:sz w:val="18"/>
                <w:szCs w:val="18"/>
                <w:b w:val="1"/>
                <w:bCs w:val="1"/>
                <w:color w:val="auto"/>
              </w:rPr>
              <w:t>Quarterly Financial Results</w:t>
            </w:r>
          </w:p>
        </w:tc>
        <w:tc>
          <w:tcPr>
            <w:tcW w:w="3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9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millions, except per share data)</w:t>
            </w:r>
          </w:p>
        </w:tc>
        <w:tc>
          <w:tcPr>
            <w:tcW w:w="3260" w:type="dxa"/>
            <w:vAlign w:val="bottom"/>
            <w:tcBorders>
              <w:bottom w:val="single" w:sz="8" w:color="auto"/>
            </w:tcBorders>
          </w:tcPr>
          <w:p>
            <w:pPr>
              <w:jc w:val="center"/>
              <w:ind w:left="1730"/>
              <w:spacing w:after="0"/>
              <w:rPr>
                <w:sz w:val="20"/>
                <w:szCs w:val="20"/>
                <w:color w:val="auto"/>
              </w:rPr>
            </w:pPr>
            <w:r>
              <w:rPr>
                <w:rFonts w:ascii="Arial" w:cs="Arial" w:eastAsia="Arial" w:hAnsi="Arial"/>
                <w:sz w:val="18"/>
                <w:szCs w:val="18"/>
                <w:b w:val="1"/>
                <w:bCs w:val="1"/>
                <w:color w:val="auto"/>
                <w:w w:val="98"/>
              </w:rPr>
              <w:t>Q1 2022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Q4 2021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Q1 2021</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rPr>
              <w:t>$1,597</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$1,725</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$1,326</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rPr>
              <w:t>20.4%</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21.0%</w:t>
            </w:r>
          </w:p>
        </w:tc>
        <w:tc>
          <w:tcPr>
            <w:tcW w:w="1380" w:type="dxa"/>
            <w:vAlign w:val="bottom"/>
          </w:tcPr>
          <w:p>
            <w:pPr>
              <w:jc w:val="center"/>
              <w:spacing w:after="0"/>
              <w:rPr>
                <w:sz w:val="20"/>
                <w:szCs w:val="20"/>
                <w:color w:val="auto"/>
              </w:rPr>
            </w:pPr>
            <w:r>
              <w:rPr>
                <w:rFonts w:ascii="Arial" w:cs="Arial" w:eastAsia="Arial" w:hAnsi="Arial"/>
                <w:sz w:val="18"/>
                <w:szCs w:val="18"/>
                <w:color w:val="auto"/>
                <w:w w:val="97"/>
              </w:rPr>
              <w:t>20.0%</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9"/>
              </w:rPr>
              <w:t>$210</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$252</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$144</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rPr>
              <w:t>13.2%</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14.6%</w:t>
            </w:r>
          </w:p>
        </w:tc>
        <w:tc>
          <w:tcPr>
            <w:tcW w:w="1380" w:type="dxa"/>
            <w:vAlign w:val="bottom"/>
          </w:tcPr>
          <w:p>
            <w:pPr>
              <w:jc w:val="center"/>
              <w:spacing w:after="0"/>
              <w:rPr>
                <w:sz w:val="20"/>
                <w:szCs w:val="20"/>
                <w:color w:val="auto"/>
              </w:rPr>
            </w:pPr>
            <w:r>
              <w:rPr>
                <w:rFonts w:ascii="Arial" w:cs="Arial" w:eastAsia="Arial" w:hAnsi="Arial"/>
                <w:sz w:val="18"/>
                <w:szCs w:val="18"/>
                <w:color w:val="auto"/>
                <w:w w:val="97"/>
              </w:rPr>
              <w:t>10.9%</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Net income attributable to Amkor</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9"/>
              </w:rPr>
              <w:t>$171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$217</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$120</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Earnings per diluted share</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7"/>
              </w:rPr>
              <w:t>$0.69</w:t>
            </w:r>
          </w:p>
        </w:tc>
        <w:tc>
          <w:tcPr>
            <w:tcW w:w="1440" w:type="dxa"/>
            <w:vAlign w:val="bottom"/>
          </w:tcPr>
          <w:p>
            <w:pPr>
              <w:jc w:val="center"/>
              <w:spacing w:after="0"/>
              <w:rPr>
                <w:sz w:val="20"/>
                <w:szCs w:val="20"/>
                <w:color w:val="auto"/>
              </w:rPr>
            </w:pPr>
            <w:r>
              <w:rPr>
                <w:rFonts w:ascii="Arial" w:cs="Arial" w:eastAsia="Arial" w:hAnsi="Arial"/>
                <w:sz w:val="18"/>
                <w:szCs w:val="18"/>
                <w:color w:val="auto"/>
              </w:rPr>
              <w:t>$0.88</w:t>
            </w:r>
          </w:p>
        </w:tc>
        <w:tc>
          <w:tcPr>
            <w:tcW w:w="1380" w:type="dxa"/>
            <w:vAlign w:val="bottom"/>
          </w:tcPr>
          <w:p>
            <w:pPr>
              <w:jc w:val="center"/>
              <w:spacing w:after="0"/>
              <w:rPr>
                <w:sz w:val="20"/>
                <w:szCs w:val="20"/>
                <w:color w:val="auto"/>
              </w:rPr>
            </w:pPr>
            <w:r>
              <w:rPr>
                <w:rFonts w:ascii="Arial" w:cs="Arial" w:eastAsia="Arial" w:hAnsi="Arial"/>
                <w:sz w:val="18"/>
                <w:szCs w:val="18"/>
                <w:color w:val="auto"/>
              </w:rPr>
              <w:t>$0.49</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EBITDA (1)</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9"/>
              </w:rPr>
              <w:t>$363</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$398</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$280</w:t>
            </w:r>
          </w:p>
        </w:tc>
      </w:tr>
    </w:tbl>
    <w:p>
      <w:pPr>
        <w:spacing w:after="0" w:line="323" w:lineRule="exact"/>
        <w:rPr>
          <w:sz w:val="20"/>
          <w:szCs w:val="20"/>
          <w:color w:val="auto"/>
        </w:rPr>
      </w:pPr>
    </w:p>
    <w:p>
      <w:pPr>
        <w:ind w:right="20" w:firstLine="8"/>
        <w:spacing w:after="0" w:line="261" w:lineRule="auto"/>
        <w:tabs>
          <w:tab w:leader="none" w:pos="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is a non-GAAP financial measure. The reconciliation to the most directly comparable GAAP financial measure is included below under “Selected Operating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total cash and short-term investments was $1.2 billion, and total debt was $1.2 billion.</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paid a quarterly dividend of $0.05 per share on March 21, 2022. The declaration and payment of future dividends, as well as any record and payment dates, are subject to the approval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second quarter guidance reflects the estimated impact from a temporary, government mandated COVID-19 lockdown of our Shanghai operations. We anticipate that our Shanghai factory will return to normal production during the second half of the quarter,” said Rutten.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Amkor’s guidance for the second quarter 2022 (unless otherwise noted):</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of $1.47 billion to $1.57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of 16.5% to 18.5%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of $90 million to $140 million, or $0.37 to $0.57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 year 2022 capital expenditures of approximately $950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Amkor will conduct a conference call on Monday, May 2, 2022, at 5:00 p.m. Eastern Time. This call may include material information not included in this press release. To access the live audio webcast and the accompanying slide presentation, visit the Investor Relations section of Amkor’s website, located at ir.amkor.com. The live call can also be accessed by dialing 1-877-407-4019 or 1-201-689-8337.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Amkor Technology, Inc.</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Amkor Technology, Inc. is one of the world’s largest providers of outsourced semiconductor packaging and test services. Founded in 1968, Amkor pioneered the outsourcing of IC packaging and test and is now a strategic manufacturing partner for the world’s leading semiconductor companies, foundries and electronics OEMs. Amkor’s operational base includes production facilities, product development centers, and sales and support offices located in key electronics manufacturing regions in Asia, Europe and the USA. For more information visit amkor.com.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Jennifer Jue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 and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480-786-7594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jennifer.jue@amkor.com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Q1 2022</w:t>
            </w:r>
          </w:p>
        </w:tc>
        <w:tc>
          <w:tcPr>
            <w:tcW w:w="30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Q4 2021</w:t>
            </w:r>
          </w:p>
        </w:tc>
        <w:tc>
          <w:tcPr>
            <w:tcW w:w="3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Q1 2021</w:t>
            </w: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 Data:</w:t>
            </w:r>
          </w:p>
        </w:tc>
        <w:tc>
          <w:tcPr>
            <w:tcW w:w="2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Net sales (in millions):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Advanced products (1)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921</w:t>
            </w:r>
          </w:p>
        </w:tc>
      </w:tr>
      <w:tr>
        <w:trPr>
          <w:trHeight w:val="230"/>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Mainstream products (2)</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405</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1,326</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 services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Test services</w:t>
            </w:r>
          </w:p>
        </w:tc>
        <w:tc>
          <w:tcPr>
            <w:tcW w:w="16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03"/>
        </w:trPr>
        <w:tc>
          <w:tcPr>
            <w:tcW w:w="6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Net sales from top ten customers</w:t>
            </w:r>
          </w:p>
        </w:tc>
        <w:tc>
          <w:tcPr>
            <w:tcW w:w="162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03"/>
        </w:trPr>
        <w:tc>
          <w:tcPr>
            <w:tcW w:w="6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End Market Data:</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 (smart phones, tablets)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Automotive, industrial and other (ADAS, electrification, infotainment, safety)</w:t>
            </w:r>
          </w:p>
        </w:tc>
        <w:tc>
          <w:tcPr>
            <w:tcW w:w="16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(AR &amp; gaming, connected home, home electronics, wearables)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Computing (data center, infrastructure, PC/laptop, storage)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Data:</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614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1620" w:type="dxa"/>
            <w:vAlign w:val="bottom"/>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43.2 %</w:t>
            </w:r>
          </w:p>
        </w:tc>
      </w:tr>
      <w:tr>
        <w:trPr>
          <w:trHeight w:val="230"/>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29"/>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manufacturing</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23.0 %</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products include flip chip, memory and wafer-level processing and related test services.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this press release, we refer to EBITDA, which is not defined by U.S. GAAP. We define EBITDA as net income before interest expense, income tax expense and depreciation and amortization. We believe EBITDA to be relevant and useful information to our investors because it provides additional information in assessing our financial operating results. Our management uses EBITDA in evaluating our operating performance, and our ability to service debt, and our ability to fund capital expenditures and pay dividends. However, EBITDA has certain limitations in that it does not reflect the impact of certain expenses on our consolidated statements of income, including interest expense, which is a necessary element of our costs because we have borrowed money in order to finance our operations, income tax expense, which is a necessary element of our costs because taxes are imposed by law, and depreciation and amortization, which is a necessary element of our costs because we use capital assets to generate income. EBITDA should be considered in addition to, and not as a substitute for, or superior to, operating income, net income or other measures of financial performance prepared in accordance with U.S. GAAP. Furthermore, our definition of EBITDA may not be comparable to similarly titled measures reported by other companies. Below is our reconciliation of EBITDA to U.S. GAAP net income.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Non-GAAP Financial Measure Reconciliation:</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millions)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Q1 2022</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Q4 2021</w:t>
            </w: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Q1 2021</w:t>
            </w:r>
          </w:p>
        </w:tc>
      </w:tr>
      <w:tr>
        <w:trPr>
          <w:trHeight w:val="20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EBITDA Data:</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Plus: Interest expense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Income tax expense</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Depreciation &amp; amortization</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8"/>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32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For the Three Months Ended March</w:t>
            </w:r>
          </w:p>
        </w:tc>
      </w:tr>
      <w:tr>
        <w:trPr>
          <w:trHeight w:val="229"/>
        </w:trPr>
        <w:tc>
          <w:tcPr>
            <w:tcW w:w="8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31,</w:t>
            </w:r>
          </w:p>
        </w:tc>
        <w:tc>
          <w:tcPr>
            <w:tcW w:w="1220" w:type="dxa"/>
            <w:vAlign w:val="bottom"/>
            <w:tcBorders>
              <w:bottom w:val="single" w:sz="8" w:color="auto"/>
            </w:tcBorders>
          </w:tcPr>
          <w:p>
            <w:pPr>
              <w:spacing w:after="0"/>
              <w:rPr>
                <w:sz w:val="19"/>
                <w:szCs w:val="19"/>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1,326,150</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1,271,486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1,060,616</w:t>
            </w:r>
          </w:p>
        </w:tc>
      </w:tr>
      <w:tr>
        <w:trPr>
          <w:trHeight w:val="223"/>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265,534</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76,768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44,318</w:t>
            </w:r>
          </w:p>
        </w:tc>
      </w:tr>
      <w:tr>
        <w:trPr>
          <w:trHeight w:val="223"/>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121,086</w:t>
            </w:r>
          </w:p>
        </w:tc>
      </w:tr>
      <w:tr>
        <w:trPr>
          <w:trHeight w:val="223"/>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144,448</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12,673</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12,762</w:t>
            </w:r>
          </w:p>
        </w:tc>
      </w:tr>
      <w:tr>
        <w:trPr>
          <w:trHeight w:val="223"/>
        </w:trPr>
        <w:tc>
          <w:tcPr>
            <w:tcW w:w="8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before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131,686</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120,019</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per common share amounts: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244,403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243,267</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720" w:type="dxa"/>
            <w:vAlign w:val="bottom"/>
            <w:tcBorders>
              <w:top w:val="single" w:sz="8" w:color="CCEEFF"/>
            </w:tcBorders>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826,744</w:t>
            </w: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251,530</w:t>
            </w: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Accounts receivable, net of allowances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1,201,007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1,258,767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484,959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2,939,555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2,856,563</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2,938,742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2,871,058</w:t>
            </w:r>
          </w:p>
        </w:tc>
        <w:tc>
          <w:tcPr>
            <w:tcW w:w="0" w:type="dxa"/>
            <w:vAlign w:val="bottom"/>
          </w:tcPr>
          <w:p>
            <w:pPr>
              <w:spacing w:after="0"/>
              <w:rPr>
                <w:sz w:val="1"/>
                <w:szCs w:val="1"/>
                <w:color w:val="auto"/>
              </w:rPr>
            </w:pP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159,742</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23,182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24,516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6,225,787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6,038,554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45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156,692</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153,008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828,727</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Capital expenditures payable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267,598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210,875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operating lease liability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422,892</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1,679,735</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1,087,408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984,988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severance obligations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120,472</w:t>
            </w:r>
          </w:p>
        </w:tc>
        <w:tc>
          <w:tcPr>
            <w:tcW w:w="0" w:type="dxa"/>
            <w:vAlign w:val="bottom"/>
          </w:tcPr>
          <w:p>
            <w:pPr>
              <w:spacing w:after="0"/>
              <w:rPr>
                <w:sz w:val="1"/>
                <w:szCs w:val="1"/>
                <w:color w:val="auto"/>
              </w:rPr>
            </w:pP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86,300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83,937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196,876</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3,098,965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3,066,008</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1,977,134</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1,322,370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1,163,939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stock</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(219,065)</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Amkor stockholders’ equity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3,096,123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2,942,276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30,270</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3,126,822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2,972,546</w:t>
            </w:r>
          </w:p>
        </w:tc>
        <w:tc>
          <w:tcPr>
            <w:tcW w:w="0" w:type="dxa"/>
            <w:vAlign w:val="bottom"/>
          </w:tcPr>
          <w:p>
            <w:pPr>
              <w:spacing w:after="0"/>
              <w:rPr>
                <w:sz w:val="1"/>
                <w:szCs w:val="1"/>
                <w:color w:val="auto"/>
              </w:rPr>
            </w:pPr>
          </w:p>
        </w:tc>
      </w:tr>
      <w:tr>
        <w:trPr>
          <w:trHeight w:val="223"/>
        </w:trPr>
        <w:tc>
          <w:tcPr>
            <w:tcW w:w="77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6,225,787</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6,038,554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9"/>
              </w:rPr>
              <w:t>For the Three Months Ended March 31,</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171,228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120,019</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135,390</w:t>
            </w: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2,370</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(80,991)</w:t>
            </w:r>
          </w:p>
        </w:tc>
      </w:tr>
      <w:tr>
        <w:trPr>
          <w:trHeight w:val="223"/>
        </w:trPr>
        <w:tc>
          <w:tcPr>
            <w:tcW w:w="7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176,788</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(158,154)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(110,351)</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Payments for short-term investments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(125,693)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(92,879)</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w:t>
            </w: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66,694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43,790</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w:t>
            </w:r>
          </w:p>
        </w:tc>
      </w:tr>
      <w:tr>
        <w:trPr>
          <w:trHeight w:val="223"/>
        </w:trPr>
        <w:tc>
          <w:tcPr>
            <w:tcW w:w="7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(164,372)</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Proceeds from short-term debt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short-term debt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(79,684)</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Payments of finance lease obligations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(3,216)</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dividends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w:t>
            </w:r>
          </w:p>
        </w:tc>
      </w:tr>
      <w:tr>
        <w:trPr>
          <w:trHeight w:val="229"/>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financing activities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w:t>
            </w:r>
          </w:p>
        </w:tc>
      </w:tr>
      <w:tr>
        <w:trPr>
          <w:trHeight w:val="223"/>
        </w:trPr>
        <w:tc>
          <w:tcPr>
            <w:tcW w:w="7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(49,444)</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(47,425)</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702,197</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654,772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contains forward-looking statements within the meaning of federal securities laws.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press release are made based on our</w:t>
      </w:r>
    </w:p>
    <w:p>
      <w:pPr>
        <w:spacing w:after="0" w:line="2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current expectations, forecasts, estimates and assumptions. Because such statements include risks and uncertainties, actual results may differ materially from those anticipated in such forward-looking statements as a result of various factors, including, but not limited to, the following:</w:t>
      </w:r>
    </w:p>
    <w:p>
      <w:pPr>
        <w:spacing w:after="0" w:line="80" w:lineRule="exact"/>
        <w:rPr>
          <w:sz w:val="20"/>
          <w:szCs w:val="20"/>
          <w:color w:val="auto"/>
        </w:rPr>
      </w:pPr>
    </w:p>
    <w:p>
      <w:pPr>
        <w:ind w:left="6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health conditions or pandemics, such as COVID-19, impacting labor availability and operating capacity, capital availability, the supply chain and consumer demand for our customers’ products and services;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the highly cyclical, volatile semiconductor industry;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industry downturns and declines in global economic and financial conditions;</w:t>
      </w:r>
    </w:p>
    <w:p>
      <w:pPr>
        <w:spacing w:after="0" w:line="9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costs, quality, availability and delivery times of raw materials, components and equipment, including any disruption in the supply of certain materials due to regulations and customer requirements, as well as supply constraints, production delays, fluctuations in commodity prices and wage inflation;</w:t>
      </w:r>
    </w:p>
    <w:p>
      <w:pPr>
        <w:spacing w:after="0" w:line="95"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substantial indebtedness and restrictive covenants in the indentures and agreements governing our current and future indebtedness;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fluctuations in interest rates and changes in credit risk;</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funding our liquidity needs;</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key customers or concentration of customers in certain end markets, such as Communications and Automotive and Industrial;</w:t>
      </w:r>
    </w:p>
    <w:p>
      <w:pPr>
        <w:spacing w:after="0" w:line="95"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substantial investments in equipment and facilities to support the demand of our customers;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attracting, retaining or replacing qualified personnel;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achieving high capacity utilization rates due to high percentage of fixed costs;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our capacity and capacity utilization rates and fluctuations in our manufacturing yields;</w:t>
      </w:r>
    </w:p>
    <w:p>
      <w:pPr>
        <w:spacing w:after="0" w:line="93"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competition with established competitors in the packaging and test business, the internal capabilities of integrated device manufacturers and new competitors, including foundries;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decisions by our integrated device manufacturer and foundry customers to curtail outsourcing;</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maintaining an effective system of internal controls;</w:t>
      </w:r>
    </w:p>
    <w:p>
      <w:pPr>
        <w:spacing w:after="0" w:line="9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1" w:right="339" w:bottom="1440" w:gutter="0" w:footer="0" w:header="0"/>
        </w:sectPr>
      </w:pPr>
    </w:p>
    <w:bookmarkStart w:id="11" w:name="page12"/>
    <w:bookmarkEnd w:id="11"/>
    <w:p>
      <w:pPr>
        <w:jc w:val="both"/>
        <w:ind w:left="660" w:hanging="328"/>
        <w:spacing w:after="0" w:line="23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development, transition and ramp to high volume manufacture of more advanced silicon nodes and evolving wafer, packaging and test services technologies, which may cause production delays, lower manufacturing yields and supply constraints for new wafers and other materials;</w:t>
      </w:r>
    </w:p>
    <w:p>
      <w:pPr>
        <w:spacing w:after="0" w:line="5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historical downward pressure on the prices of our packaging and test services;</w:t>
      </w:r>
    </w:p>
    <w:p>
      <w:pPr>
        <w:spacing w:after="0" w:line="9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laws, rules, regulations and policies imposed by U.S. or other governments, such as tariffs, customs, duties and other restrictive trade barriers and national security, data privacy and cybersecurity, antitrust and competition, tax, currency and banking, labor, environmental, health and safety laws;</w:t>
      </w:r>
    </w:p>
    <w:p>
      <w:pPr>
        <w:spacing w:after="0" w:line="95"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any warranty claims, product return and liability risks, and the risk of negative publicity if our products fail, as well as the risk of litigation incident to our business;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possibility that we may decrease or suspend our quarterly dividend;</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continuing development and implementation of changes to, and maintenance and security of, our information technology systems;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challenges with integrating diverse operations;</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95"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significant severance plan obligations associated with our manufacturing operations in Korea;</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natural disasters and other calamities, political instability, hostilities or other disruptions; and</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ability of certain of our stockholders to effectively determine or substantially influence the outcome of matters requiring stockholder approval.</w:t>
      </w:r>
    </w:p>
    <w:p>
      <w:pPr>
        <w:spacing w:after="0" w:line="5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Other important risk factors that could affect the outcome of the events set forth in these statements and that could affect our operating results and financial condition are discussed in the company’s Annual Report on Form 10-K for the year ended December 31, 2021 (the “Form 10-K”) and from time to time in our other reports filed with or furnished to the Securities and Exchange Commission (“SEC”). Because such statements include risks and uncertainties, actual results may differ materially from those anticipated in such forward-looking statements as a result of various factors, including those set forth in the Form 10-K and from time to time in our other reports filed with or furnished to the SEC. You should carefully consider the trends, risks and uncertainties described in this press release, the Form 10-K and other reports filed with or furnished to the SEC before making any investment decision with respect to our securities. If any of the following trends, risks or uncertainties actually occurs or continues, our business, financial condition or operating results could be materially adversely affected, the trading prices of our securities could decline, and you could lose part or all of your investment. All forward-looking statements attributable to us or persons acting on our behalf are expressly qualified in their entirety by this cautionary statement. Amkor undertakes no obligation to review or update any forward-looking statements to reflect events or circumstances occurring after the date of this press release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2022-05-02T15:22:47Z</dcterms:created>
  <dcterms:modified xsi:type="dcterms:W3CDTF">2022-05-02T15:22:47Z</dcterms:modified>
</cp:coreProperties>
</file>