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5" w:lineRule="exact"/>
        <w:rPr>
          <w:sz w:val="24"/>
          <w:szCs w:val="24"/>
          <w:color w:val="auto"/>
        </w:rPr>
      </w:pPr>
    </w:p>
    <w:p>
      <w:pPr>
        <w:ind w:left="1820" w:right="1280" w:hanging="705"/>
        <w:spacing w:after="0" w:line="256" w:lineRule="auto"/>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right"/>
        <w:ind w:right="558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right"/>
        <w:ind w:right="562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20" w:right="1260" w:hanging="705"/>
        <w:spacing w:after="0" w:line="256" w:lineRule="auto"/>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82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6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Commission File Number 000-29472</w:t>
            </w: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43"/>
                <w:szCs w:val="43"/>
                <w:b w:val="1"/>
                <w:bCs w:val="1"/>
                <w:color w:val="auto"/>
              </w:rPr>
              <w:t>AMKOR TECHNOLOGY, INC.</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5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7720" w:type="dxa"/>
            <w:vAlign w:val="bottom"/>
          </w:tcPr>
          <w:p>
            <w:pPr>
              <w:jc w:val="center"/>
              <w:ind w:left="6307"/>
              <w:spacing w:after="0"/>
              <w:rPr>
                <w:sz w:val="20"/>
                <w:szCs w:val="20"/>
                <w:color w:val="auto"/>
              </w:rPr>
            </w:pPr>
            <w:r>
              <w:rPr>
                <w:rFonts w:ascii="Arial" w:cs="Arial" w:eastAsia="Arial" w:hAnsi="Arial"/>
                <w:sz w:val="18"/>
                <w:szCs w:val="18"/>
                <w:b w:val="1"/>
                <w:bCs w:val="1"/>
                <w:color w:val="auto"/>
                <w:w w:val="91"/>
              </w:rPr>
              <w:t>23-1722724</w:t>
            </w:r>
          </w:p>
        </w:tc>
        <w:tc>
          <w:tcPr>
            <w:tcW w:w="0" w:type="dxa"/>
            <w:vAlign w:val="bottom"/>
          </w:tcPr>
          <w:p>
            <w:pPr>
              <w:spacing w:after="0"/>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7720" w:type="dxa"/>
            <w:vAlign w:val="bottom"/>
          </w:tcPr>
          <w:p>
            <w:pPr>
              <w:jc w:val="center"/>
              <w:ind w:left="6307"/>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76"/>
        </w:trPr>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5"/>
              </w:rPr>
              <w:t>(State of incorporation)</w:t>
            </w:r>
          </w:p>
        </w:tc>
        <w:tc>
          <w:tcPr>
            <w:tcW w:w="7720" w:type="dxa"/>
            <w:vAlign w:val="bottom"/>
          </w:tcPr>
          <w:p>
            <w:pPr>
              <w:jc w:val="center"/>
              <w:ind w:left="6307"/>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2045 East Innovation Circle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Tempe, AZ 85284</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(480) 821-5000</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bl>
    <w:p>
      <w:pPr>
        <w:spacing w:after="0" w:line="1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740" w:val="left"/>
          <w:tab w:leader="none" w:pos="4860" w:val="left"/>
          <w:tab w:leader="none" w:pos="6920" w:val="left"/>
          <w:tab w:leader="none" w:pos="9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3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right="22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October 26, 2018 was 239,532,959.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172085</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86360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 w:name="page2"/>
    <w:bookmarkEnd w:id="1"/>
    <w:p>
      <w:pPr>
        <w:ind w:left="408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r>
      <w:tr>
        <w:trPr>
          <w:trHeight w:val="189"/>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80" w:type="dxa"/>
            <w:vAlign w:val="bottom"/>
            <w:gridSpan w:val="11"/>
          </w:tcPr>
          <w:p>
            <w:pPr>
              <w:jc w:val="center"/>
              <w:ind w:right="2800"/>
              <w:spacing w:after="0" w:line="189"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240" w:type="dxa"/>
            <w:vAlign w:val="bottom"/>
            <w:gridSpan w:val="2"/>
          </w:tcPr>
          <w:p>
            <w:pPr>
              <w:spacing w:after="0"/>
              <w:rPr>
                <w:sz w:val="21"/>
                <w:szCs w:val="21"/>
                <w:color w:val="auto"/>
              </w:rPr>
            </w:pPr>
          </w:p>
        </w:tc>
        <w:tc>
          <w:tcPr>
            <w:tcW w:w="2400" w:type="dxa"/>
            <w:vAlign w:val="bottom"/>
            <w:gridSpan w:val="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2380" w:type="dxa"/>
            <w:vAlign w:val="bottom"/>
            <w:tcBorders>
              <w:top w:val="single" w:sz="8" w:color="0000FF"/>
            </w:tcBorders>
            <w:gridSpan w:val="5"/>
          </w:tcPr>
          <w:p>
            <w:pPr>
              <w:spacing w:after="0"/>
              <w:rPr>
                <w:sz w:val="21"/>
                <w:szCs w:val="21"/>
                <w:color w:val="auto"/>
              </w:rPr>
            </w:pPr>
          </w:p>
        </w:tc>
        <w:tc>
          <w:tcPr>
            <w:tcW w:w="2800" w:type="dxa"/>
            <w:vAlign w:val="bottom"/>
            <w:gridSpan w:val="6"/>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140" w:type="dxa"/>
            <w:vAlign w:val="bottom"/>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 Three and Nine Months Ended September 30, 2018 and 2017</w:t>
              </w:r>
            </w:hyperlink>
          </w:p>
        </w:tc>
        <w:tc>
          <w:tcPr>
            <w:tcW w:w="440" w:type="dxa"/>
            <w:vAlign w:val="bottom"/>
            <w:gridSpan w:val="3"/>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Comprehensive Income - Three and Nine Months Ended September 30,</w:t>
              </w:r>
            </w:hyperlink>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2018 and 2017</w:t>
              </w:r>
            </w:hyperlink>
          </w:p>
        </w:tc>
        <w:tc>
          <w:tcPr>
            <w:tcW w:w="5880" w:type="dxa"/>
            <w:vAlign w:val="bottom"/>
            <w:tcBorders>
              <w:top w:val="single" w:sz="8" w:color="0000EE"/>
            </w:tcBorders>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400" w:type="dxa"/>
            <w:vAlign w:val="bottom"/>
            <w:gridSpan w:val="4"/>
          </w:tcPr>
          <w:p>
            <w:pPr>
              <w:jc w:val="right"/>
              <w:ind w:righ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 September 30, 2018 and December 31, 2017</w:t>
              </w:r>
            </w:hyperlink>
          </w:p>
        </w:tc>
        <w:tc>
          <w:tcPr>
            <w:tcW w:w="2120" w:type="dxa"/>
            <w:vAlign w:val="bottom"/>
            <w:gridSpan w:val="5"/>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20" w:type="dxa"/>
            <w:vAlign w:val="bottom"/>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Nine Months Ended September 30, 2018 and 2017</w:t>
              </w:r>
            </w:hyperlink>
          </w:p>
        </w:tc>
        <w:tc>
          <w:tcPr>
            <w:tcW w:w="60" w:type="dxa"/>
            <w:vAlign w:val="bottom"/>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4360" w:type="dxa"/>
            <w:vAlign w:val="bottom"/>
            <w:gridSpan w:val="8"/>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3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3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36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40" w:type="dxa"/>
            <w:vAlign w:val="bottom"/>
          </w:tcPr>
          <w:p>
            <w:pPr>
              <w:spacing w:after="0"/>
              <w:rPr>
                <w:sz w:val="21"/>
                <w:szCs w:val="21"/>
                <w:color w:val="auto"/>
              </w:rPr>
            </w:pPr>
          </w:p>
        </w:tc>
      </w:tr>
      <w:tr>
        <w:trPr>
          <w:trHeight w:val="574"/>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0"/>
          </w:tcPr>
          <w:p>
            <w:pPr>
              <w:jc w:val="center"/>
              <w:ind w:right="2900"/>
              <w:spacing w:after="0"/>
              <w:rPr>
                <w:rFonts w:ascii="Arial" w:cs="Arial" w:eastAsia="Arial" w:hAnsi="Arial"/>
                <w:sz w:val="18"/>
                <w:szCs w:val="18"/>
                <w:b w:val="1"/>
                <w:bCs w:val="1"/>
                <w:color w:val="0000FF"/>
                <w:w w:val="96"/>
              </w:rPr>
            </w:pPr>
            <w:hyperlink w:anchor="page31">
              <w:r>
                <w:rPr>
                  <w:rFonts w:ascii="Arial" w:cs="Arial" w:eastAsia="Arial" w:hAnsi="Arial"/>
                  <w:sz w:val="18"/>
                  <w:szCs w:val="18"/>
                  <w:b w:val="1"/>
                  <w:bCs w:val="1"/>
                  <w:color w:val="0000FF"/>
                  <w:w w:val="96"/>
                </w:rPr>
                <w:t>PART II. Other Information</w:t>
              </w:r>
            </w:hyperlink>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w:t>
              </w:r>
            </w:hyperlink>
          </w:p>
        </w:tc>
        <w:tc>
          <w:tcPr>
            <w:tcW w:w="120" w:type="dxa"/>
            <w:vAlign w:val="bottom"/>
          </w:tcPr>
          <w:p>
            <w:pPr>
              <w:spacing w:after="0"/>
              <w:rPr>
                <w:sz w:val="21"/>
                <w:szCs w:val="21"/>
                <w:color w:val="auto"/>
              </w:rPr>
            </w:pPr>
          </w:p>
        </w:tc>
        <w:tc>
          <w:tcPr>
            <w:tcW w:w="250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2180" w:type="dxa"/>
            <w:vAlign w:val="bottom"/>
            <w:tcBorders>
              <w:top w:val="single" w:sz="8" w:color="0000FF"/>
            </w:tcBorders>
            <w:gridSpan w:val="3"/>
          </w:tcPr>
          <w:p>
            <w:pPr>
              <w:spacing w:after="0"/>
              <w:rPr>
                <w:sz w:val="21"/>
                <w:szCs w:val="21"/>
                <w:color w:val="auto"/>
              </w:rPr>
            </w:pPr>
          </w:p>
        </w:tc>
        <w:tc>
          <w:tcPr>
            <w:tcW w:w="2900" w:type="dxa"/>
            <w:vAlign w:val="bottom"/>
            <w:gridSpan w:val="7"/>
          </w:tcPr>
          <w:p>
            <w:pPr>
              <w:spacing w:after="0"/>
              <w:rPr>
                <w:sz w:val="21"/>
                <w:szCs w:val="21"/>
                <w:color w:val="auto"/>
              </w:rPr>
            </w:pPr>
          </w:p>
        </w:tc>
        <w:tc>
          <w:tcPr>
            <w:tcW w:w="3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1A.</w:t>
              </w:r>
            </w:hyperlink>
          </w:p>
        </w:tc>
        <w:tc>
          <w:tcPr>
            <w:tcW w:w="758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3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3.</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5.</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3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6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6.</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36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98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Signatures</w:t>
              </w:r>
            </w:hyperlink>
          </w:p>
        </w:tc>
        <w:tc>
          <w:tcPr>
            <w:tcW w:w="7540" w:type="dxa"/>
            <w:vAlign w:val="bottom"/>
            <w:gridSpan w:val="18"/>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2018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or the conversion of debt in the future,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devices and our technology leadership and potential growth in this market, (18) interest savings from the redemption of our 6.625% Senior Notes due 2021 and (19)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80" w:type="dxa"/>
            <w:vAlign w:val="bottom"/>
            <w:gridSpan w:val="7"/>
          </w:tcPr>
          <w:p>
            <w:pPr>
              <w:jc w:val="center"/>
              <w:ind w:right="102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75"/>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rPr>
              <w:t>AMKOR TECHNOLOGY,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480" w:type="dxa"/>
            <w:vAlign w:val="bottom"/>
            <w:gridSpan w:val="8"/>
          </w:tcPr>
          <w:p>
            <w:pPr>
              <w:jc w:val="center"/>
              <w:ind w:left="2110"/>
              <w:spacing w:after="0"/>
              <w:rPr>
                <w:sz w:val="20"/>
                <w:szCs w:val="20"/>
                <w:color w:val="auto"/>
              </w:rPr>
            </w:pPr>
            <w:r>
              <w:rPr>
                <w:rFonts w:ascii="Arial" w:cs="Arial" w:eastAsia="Arial" w:hAnsi="Arial"/>
                <w:sz w:val="18"/>
                <w:szCs w:val="18"/>
                <w:b w:val="1"/>
                <w:bCs w:val="1"/>
                <w:color w:val="auto"/>
              </w:rPr>
              <w:t>CONSOLIDATED STATEMENTS OF INCOME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9"/>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24"/>
                <w:szCs w:val="24"/>
                <w:color w:val="auto"/>
              </w:rPr>
            </w:pPr>
          </w:p>
        </w:tc>
        <w:tc>
          <w:tcPr>
            <w:tcW w:w="288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8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1,144,192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1,148,884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3,235,195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3,056,553</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943,485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924,996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2,707,000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2,519,815</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200,707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223,888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528,195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536,738</w:t>
            </w: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70,463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75,568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225,886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219,635</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128,690</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Gain on sale of real estate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(108,109)</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108,004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345,432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240,216</w:t>
            </w: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92,703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105,479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182,763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296,522</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63,733</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Interest expense, related party</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1,715</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11,150</w:t>
            </w: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Total other expense, net</w:t>
            </w:r>
          </w:p>
        </w:tc>
        <w:tc>
          <w:tcPr>
            <w:tcW w:w="1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54,654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76,598</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before taxes</w:t>
            </w: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219,924</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53,404</w:t>
            </w:r>
          </w:p>
        </w:tc>
      </w:tr>
      <w:tr>
        <w:trPr>
          <w:trHeight w:val="27"/>
        </w:trPr>
        <w:tc>
          <w:tcPr>
            <w:tcW w:w="8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Net income</w:t>
            </w:r>
          </w:p>
        </w:tc>
        <w:tc>
          <w:tcPr>
            <w:tcW w:w="3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166,520</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(3,029)</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56,662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59,264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98,797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163,491</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Net income attributable to Amkor per common share:</w:t>
            </w: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0.68</w:t>
            </w:r>
          </w:p>
        </w:tc>
      </w:tr>
      <w:tr>
        <w:trPr>
          <w:trHeight w:val="251"/>
        </w:trPr>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Shares used in computing per common share amounts:</w:t>
            </w: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280"/>
              <w:spacing w:after="0"/>
              <w:rPr>
                <w:sz w:val="20"/>
                <w:szCs w:val="20"/>
                <w:color w:val="auto"/>
              </w:rPr>
            </w:pPr>
            <w:r>
              <w:rPr>
                <w:rFonts w:ascii="Arial" w:cs="Arial" w:eastAsia="Arial" w:hAnsi="Arial"/>
                <w:sz w:val="18"/>
                <w:szCs w:val="18"/>
                <w:color w:val="auto"/>
              </w:rPr>
              <w:t>Basic</w:t>
            </w:r>
          </w:p>
        </w:tc>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239,370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239,068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239,312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238,873</w:t>
            </w:r>
          </w:p>
        </w:tc>
      </w:tr>
      <w:tr>
        <w:trPr>
          <w:trHeight w:val="27"/>
        </w:trPr>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239,766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239,640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239,783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239,610</w:t>
            </w:r>
          </w:p>
        </w:tc>
      </w:tr>
      <w:tr>
        <w:trPr>
          <w:trHeight w:val="27"/>
        </w:trPr>
        <w:tc>
          <w:tcPr>
            <w:tcW w:w="8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14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57,292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100,671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166,520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11,784</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50,636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59,504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97,881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178,567</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Amkor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50,006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58,310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96,007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175,538</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9"/>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1,611,236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1,644,004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4,495,469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4,508,388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97,646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569,085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payable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253,756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294,258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1,171,333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1,318,059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1,240,581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and severance obligations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179,900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182,216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2,673,628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2,788,679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Common stock, $0.001 par value, 500,000 shares authorized; 285,335 and 285,129 shares issued; and 239,374</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and 239,184 shares outstanding in 2018 and 2017, respectively</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1,908,171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1,903,357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Treasury stock, at cost, 45,961 and 45,945 shares, in 2018 and 2017,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(215,982)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Amkor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1,796,944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1,821,841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1,719,709</w:t>
            </w:r>
          </w:p>
        </w:tc>
        <w:tc>
          <w:tcPr>
            <w:tcW w:w="0" w:type="dxa"/>
            <w:vAlign w:val="bottom"/>
          </w:tcPr>
          <w:p>
            <w:pPr>
              <w:spacing w:after="0"/>
              <w:rPr>
                <w:sz w:val="1"/>
                <w:szCs w:val="1"/>
                <w:color w:val="auto"/>
              </w:rPr>
            </w:pP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4,495,469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4,508,388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100,671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166,520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429,181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435,667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 and non-cash items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427,218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413,911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(413,974)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133,320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revolving credit facilities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50,333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short-term debt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223,976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(279,697)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(398,755)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 related party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 of deferred consideration for purchase of facility</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602,851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555,495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554,120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525,673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254,244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290,738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Equipment acquired through capital lease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Consolidated Financial Statements and related disclosures as of September 30, 2018, and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and 2017, are unaudited, pursuant to the rules and regulations of the United States Securities and Exchange Commission (“SEC”). The December 31, 2017,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2017, filed on Form 10-K with the SEC on February 23, 2018. The results of operations for the three and nine months ended September 30, 2018, are not necessarily indicative of the results to be expected for the full year. Unless the context otherwise requires, all references to “Amkor,” “we,” “us,” “our” or the “company” are to Amkor Technology, Inc. and our subsidiaries.</w:t>
      </w:r>
    </w:p>
    <w:p>
      <w:pPr>
        <w:spacing w:after="0" w:line="16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 xml:space="preserve">Effective January 1, 2018, we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full retrospective transition method as discussed in Note 2. All amounts and disclosures set forth in this Form 10-Q reflect these changes.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2017, we completed the purchase of Nanium, S.A. ("Nanium"). Nanium's financial results have been included in our Consolidated Financial Statements from the date of acquisition (Note 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was subsequently amended and clarified. The standard is based on the principle that revenue is recognized to depict the transfer of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contracts with customers, including significant judgments and changes in judgments. The standard permits the use of either full retrospective or modified retrospective methods of adoption.</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Effective January 1, 2018, we adopted the requirements of Topic 606 using the full retrospective transition method. The new standard resulted in a change to the timing of revenue recognition, whereby revenue is recognized "over time" as services are performed rather than at a "point in time", generally upon shipment. The new standard also resulted in an increase in accounts receivables, net and a related decrease in inventories and deferred revenues. In accordance with Topic 606, we applied the following principles in connection with the adoption of the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when we expect, at contract inception, that the period between when the entity transfers a promised good or service to a customer and when the customer pays for that good or service will be one year or less.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exclude sales, use, value-added and similar taxes from the transaction price, without performing a jurisdiction-by-jurisdiction assessment.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standard impacted our previously reported results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5"/>
          </w:tcPr>
          <w:p>
            <w:pPr>
              <w:jc w:val="center"/>
              <w:ind w:right="272"/>
              <w:spacing w:after="0"/>
              <w:rPr>
                <w:sz w:val="20"/>
                <w:szCs w:val="20"/>
                <w:color w:val="auto"/>
              </w:rPr>
            </w:pPr>
            <w:r>
              <w:rPr>
                <w:rFonts w:ascii="Arial" w:cs="Arial" w:eastAsia="Arial" w:hAnsi="Arial"/>
                <w:sz w:val="14"/>
                <w:szCs w:val="14"/>
                <w:b w:val="1"/>
                <w:bCs w:val="1"/>
                <w:color w:val="auto"/>
                <w:w w:val="93"/>
              </w:rPr>
              <w:t>For the Three Months Ended September 30, 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220" w:type="dxa"/>
            <w:vAlign w:val="bottom"/>
          </w:tcPr>
          <w:p>
            <w:pPr>
              <w:spacing w:after="0"/>
              <w:rPr>
                <w:sz w:val="12"/>
                <w:szCs w:val="12"/>
                <w:color w:val="auto"/>
              </w:rPr>
            </w:pPr>
          </w:p>
        </w:tc>
        <w:tc>
          <w:tcPr>
            <w:tcW w:w="13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42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Adjustment</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4"/>
          </w:tcPr>
          <w:p>
            <w:pPr>
              <w:jc w:val="center"/>
              <w:ind w:left="694"/>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1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1,135,027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13,857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1,148,884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918,389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924,996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216,638</w:t>
            </w: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7,250</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223,888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18,752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2,511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55,630</w:t>
            </w: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4,828</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60,458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54,435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4,829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59,264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 attributable to Amkor per common share - diluted</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0.02</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42"/>
        </w:trPr>
        <w:tc>
          <w:tcPr>
            <w:tcW w:w="5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5"/>
          </w:tcPr>
          <w:p>
            <w:pPr>
              <w:jc w:val="center"/>
              <w:ind w:right="272"/>
              <w:spacing w:after="0"/>
              <w:rPr>
                <w:sz w:val="20"/>
                <w:szCs w:val="20"/>
                <w:color w:val="auto"/>
              </w:rPr>
            </w:pPr>
            <w:r>
              <w:rPr>
                <w:rFonts w:ascii="Arial" w:cs="Arial" w:eastAsia="Arial" w:hAnsi="Arial"/>
                <w:sz w:val="14"/>
                <w:szCs w:val="14"/>
                <w:b w:val="1"/>
                <w:bCs w:val="1"/>
                <w:color w:val="auto"/>
                <w:w w:val="93"/>
              </w:rPr>
              <w:t>For the Nine Months Ended September 30, 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220" w:type="dxa"/>
            <w:vAlign w:val="bottom"/>
          </w:tcPr>
          <w:p>
            <w:pPr>
              <w:spacing w:after="0"/>
              <w:rPr>
                <w:sz w:val="12"/>
                <w:szCs w:val="12"/>
                <w:color w:val="auto"/>
              </w:rPr>
            </w:pPr>
          </w:p>
        </w:tc>
        <w:tc>
          <w:tcPr>
            <w:tcW w:w="13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42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Adjustment</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4"/>
          </w:tcPr>
          <w:p>
            <w:pPr>
              <w:jc w:val="center"/>
              <w:ind w:left="694"/>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1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3,038,074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18,479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3,056,553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2,506,295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13,520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2,519,815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531,779</w:t>
            </w: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4,959</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536,738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51,764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53,404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162,945</w:t>
            </w: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3,575</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166,520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159,936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3,555</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163,491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 attributable to Amkor per common share - diluted</w:t>
            </w: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932"/>
        </w:trPr>
        <w:tc>
          <w:tcPr>
            <w:tcW w:w="504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color w:val="auto"/>
              </w:rPr>
              <w:t>- 7-</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180" w:type="dxa"/>
            <w:vAlign w:val="bottom"/>
          </w:tcPr>
          <w:p>
            <w:pPr>
              <w:spacing w:after="0"/>
              <w:rPr>
                <w:sz w:val="12"/>
                <w:szCs w:val="12"/>
                <w:color w:val="auto"/>
              </w:rPr>
            </w:pPr>
          </w:p>
        </w:tc>
        <w:tc>
          <w:tcPr>
            <w:tcW w:w="13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300" w:type="dxa"/>
            <w:vAlign w:val="bottom"/>
          </w:tcPr>
          <w:p>
            <w:pPr>
              <w:spacing w:after="0"/>
              <w:rPr>
                <w:sz w:val="12"/>
                <w:szCs w:val="12"/>
                <w:color w:val="auto"/>
              </w:rPr>
            </w:pPr>
          </w:p>
        </w:tc>
        <w:tc>
          <w:tcPr>
            <w:tcW w:w="12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692,287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105,977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326,492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146,051</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(6,255)</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374,598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46,144</w:t>
            </w:r>
          </w:p>
        </w:tc>
        <w:tc>
          <w:tcPr>
            <w:tcW w:w="180" w:type="dxa"/>
            <w:vAlign w:val="bottom"/>
          </w:tcPr>
          <w:p>
            <w:pPr>
              <w:spacing w:after="0"/>
              <w:rPr>
                <w:sz w:val="21"/>
                <w:szCs w:val="21"/>
                <w:color w:val="auto"/>
              </w:rPr>
            </w:pP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1,679</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(42,851)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28,948</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adjustment to accumulated deficit includes the 2017 and 2016 net income impact for the adoption of Topic 606 of $2.8 million and $11.3 million, respectively. The adjustment also includes the cumulative impact to our 2016 beginning accumulated deficit of $14.8 million.</w:t>
      </w:r>
    </w:p>
    <w:p>
      <w:pPr>
        <w:spacing w:after="0" w:line="16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adoption of the standard had no impact on cash provided by or used in operating, investing, or financing activities on our consolidated cash flow statements.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ASU 2017-07 requires that the service cost component of net periodic pension costs be presented in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as other compensation costs and all other components of net periodic pension costs be presented in the statement of income as nonoperating expenses. ASU 2017-07 is effective for reporting periods beginning after December 15, 2017 and applied retrospectively. We adopted ASU 2017-07 on January 1, 2018 and estimated the impact on the prior comparative period information presented in the consolidated financial statements applying the principles permitted by the standard. For the three and nine months ended September 30, 2017, the retrospective application resulted in a $(0.1) million and $0.1 million reclassification of pension costs from operating income to other (income) expense, net in the Consolidated Statements of Income for the respective periods. Refer to Note 14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Standards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was subsequently amended and clarified. ASU 2016-02 requires a dual approach for lease accounting under which a lessee would account for leases as finance leases or operating leases. Both finance leases and operating leases will result in the lessee recognizing a right-of-use asset and a corresponding lease liability. For finance leases the lessee would recognize interest expense and amortization of the right-of-use asset, and for operating leases the lessee would recognize a straight-line lease expense. ASU 2016-02 is effective for reporting periods beginning after December 15, 2018 and requires either a modified retrospective transition approach with application in all comparative periods presented, or an alternative transition method, which permits a company to use its effective date as the date of initial application without restating comparative period financial statements. Early adoption is permitted. We plan to adopt this standard in the first quarter of the fiscal year ending December 31, 2019 using the alternative transition method with the effective date as of January 1, 2019. We are currently evaluating the impact that this guidance may have on our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significant accounting policies are detailed in Note 1 to our Consolidated Financial Statements in Part II, Item 8 of our Annual Report on Form 10-K for the year ended December 31, 2017. Significant changes to our accounting policies as a result of adopting Topic 606 are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net of sales, use, value-added and other similar taxes, after the following: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 contract with a customer has been identified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performance obligations within the customer contract have been identified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transaction price attributable to the contract has been determined and allocated to each performance obligation, and</w:t>
      </w:r>
    </w:p>
    <w:p>
      <w:pPr>
        <w:spacing w:after="0" w:line="9" w:lineRule="exact"/>
        <w:rPr>
          <w:sz w:val="20"/>
          <w:szCs w:val="20"/>
          <w:color w:val="auto"/>
        </w:rPr>
      </w:pPr>
    </w:p>
    <w:p>
      <w:pPr>
        <w:ind w:left="660" w:right="580" w:hanging="324"/>
        <w:spacing w:after="0" w:line="261" w:lineRule="auto"/>
        <w:rPr>
          <w:sz w:val="20"/>
          <w:szCs w:val="20"/>
          <w:color w:val="auto"/>
        </w:rPr>
      </w:pPr>
      <w:r>
        <w:rPr>
          <w:rFonts w:ascii="Arial" w:cs="Arial" w:eastAsia="Arial" w:hAnsi="Arial"/>
          <w:sz w:val="18"/>
          <w:szCs w:val="18"/>
          <w:color w:val="auto"/>
        </w:rPr>
        <w:t>– The performance obligations have been determined to be satisfied. Performance obligations are deemed to be satisfied when, or as, control of services has been transferred to the customer.</w:t>
      </w:r>
    </w:p>
    <w:p>
      <w:pPr>
        <w:spacing w:after="0" w:line="18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7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Unbilled receivables are revenues that have been recognized for performance obligations that have been satisfied, or partially 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in advance of billing the customer. Revenue may be recognized in advance of billing as our contracts provide us with an unconditional right to consideration for work that is performed. Total unbilled receivables as of September 30, 2018 and December 31, 2017 were $116.5 million and $101.9 million, respectively. These amounts are included in accounts receivable, net of allowances in our Consolidated Balance Sheets.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consist of raw materials and purchased components, and are stated at the lower of cost and net realizable value. Cost is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Acquisition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Sales by Product Group and End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by product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4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582,165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1,554,158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1,383,990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Mainstream products (2)</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562,027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585,861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1,681,037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1,672,563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1,144,192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1,148,884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3,235,195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3,056,553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by end market</w:t>
      </w:r>
      <w:r>
        <w:rPr>
          <w:rFonts w:ascii="Arial" w:cs="Arial" w:eastAsia="Arial" w:hAnsi="Arial"/>
          <w:sz w:val="18"/>
          <w:szCs w:val="18"/>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4"/>
              </w:rPr>
              <w:t>For the Three Months Ended</w:t>
            </w:r>
          </w:p>
        </w:tc>
        <w:tc>
          <w:tcPr>
            <w:tcW w:w="252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For the Nine Months Ended September</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4"/>
                <w:szCs w:val="14"/>
                <w:b w:val="1"/>
                <w:bCs w:val="1"/>
                <w:color w:val="auto"/>
                <w:w w:val="81"/>
              </w:rPr>
              <w:t>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Communications (smartphones, tablets, handheld devices)</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Automotive, industrial and other (driver assist, infotainment, safety, performance)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Consumer (set-top boxes, televisions, connected home, personal electronics, visual</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imaging)</w:t>
            </w: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6.  Other Income and Expense</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Other income and expense consists of the following:</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318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rPr>
              <w:t>For the Three Months Ended September 30,</w:t>
            </w:r>
          </w:p>
        </w:tc>
        <w:tc>
          <w:tcPr>
            <w:tcW w:w="20" w:type="dxa"/>
            <w:vAlign w:val="bottom"/>
          </w:tcPr>
          <w:p>
            <w:pPr>
              <w:spacing w:after="0"/>
              <w:rPr>
                <w:sz w:val="24"/>
                <w:szCs w:val="24"/>
                <w:color w:val="auto"/>
              </w:rPr>
            </w:pPr>
          </w:p>
        </w:tc>
        <w:tc>
          <w:tcPr>
            <w:tcW w:w="3060" w:type="dxa"/>
            <w:vAlign w:val="bottom"/>
            <w:gridSpan w:val="8"/>
          </w:tcPr>
          <w:p>
            <w:pPr>
              <w:jc w:val="right"/>
              <w:ind w:right="119"/>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82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94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1,352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19"/>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retirement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4,424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1,315</w:t>
            </w:r>
          </w:p>
        </w:tc>
        <w:tc>
          <w:tcPr>
            <w:tcW w:w="8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3,257</w:t>
            </w:r>
          </w:p>
        </w:tc>
        <w:tc>
          <w:tcPr>
            <w:tcW w:w="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- 10-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2017, the Tax Cuts and Jobs Act (the “Tax Act”) was signed into law. Accounting Standards Codification ("ASC") 740,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reported provisional amounts for the income tax effects of the Tax Act for which the accounting is incomplete, but a reasonable estimate could be determined in our financial statements for the year ended December 31, 2017. There were no specific impacts of the Tax Act that could not be reasonably estimated. Our estimate of the impact of the Tax Act may be adjusted throughout the allowable measurement period. We have not completed the accounting for any of the income tax effects of the Tax Act during the nine months ended September 30, 2018 as we continue to collect additional information, prepare and analyze the information and evaluate any regulatory guidance or clarifications, and evaluate any collateral impact on state income taxes. We have not made adjustments to the provisional amounts reported for the year ended December 31, 2017, nor have we concluded on any accounting policy elections. Changes to our provisional estimates and further analysis could impact our judgments, elections and assertions.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of $27.4 million for the nine months ended September 30, 2018 reflects income taxes of our various operations, including foreign withholding taxes and minimum taxes. Income tax expense also reflects income taxed in foreign jurisdictions where we benefit from tax holidays.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Except for deferred tax assets in Portugal, we consider it more likely than not that we will have sufficient taxable income to allow us to realize most of our foreign deferred tax assets.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maintain a valuation allowance on a portion of our U.S. net deferred tax assets, for net operating loss carryforwards not expected to be realized due to Global Intangible Low-Taxed Income ("GILTI") and foreign tax credit carryforwards expected to expire unused. Such valuation allowances are released as the related tax benefits are realized or when sufficient evidence exists to conclude that it is more likely than not that the deferred tax assets will be realized.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decreased from $27.2 million at December 31, 2017, to $24.6 million as of September 30, 2018. All of our unrecognized tax benefits would reduce our effective tax rate, if recognized. Our unrecognized tax benefits are subject to change for effective settlement of examinations, changes in the recognition threshold of tax positions, the expiration of statues of limitations and other factors. Tax return examinations involve uncertainties, and there can be no assurance that the outcome of examinations will be favorable.</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51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56,662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59,264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98,797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163,491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Weighted-average number of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239,370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Weighted-average number of common shares outstanding — diluted</w:t>
            </w: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239,766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239,640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239,783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239,610</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0.68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0.68</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0" w:type="dxa"/>
            <w:vAlign w:val="bottom"/>
          </w:tcPr>
          <w:p>
            <w:pPr>
              <w:spacing w:after="0"/>
              <w:rPr>
                <w:sz w:val="1"/>
                <w:szCs w:val="1"/>
                <w:color w:val="auto"/>
              </w:rPr>
            </w:pPr>
          </w:p>
        </w:tc>
      </w:tr>
      <w:tr>
        <w:trPr>
          <w:trHeight w:val="264"/>
        </w:trPr>
        <w:tc>
          <w:tcPr>
            <w:tcW w:w="6080" w:type="dxa"/>
            <w:vAlign w:val="bottom"/>
            <w:gridSpan w:val="2"/>
          </w:tcPr>
          <w:p>
            <w:pPr>
              <w:ind w:left="5760"/>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and restricted share awards</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3,656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9.  Equity and Accumulated Other Comprehensive Income (Loss)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Changes in equity consist of the following:</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Attributable</w:t>
            </w: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Attributable to</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to Amkor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at December 31, 2017</w:t>
            </w:r>
          </w:p>
        </w:tc>
        <w:tc>
          <w:tcPr>
            <w:tcW w:w="9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1,696,276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1,719,709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98,797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100,671</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Issuance of stock through employee share-based compensation plans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Subsidiary dividends paid to non-controlling interests</w:t>
            </w: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Equity at September 30, 2018</w:t>
            </w:r>
          </w:p>
        </w:tc>
        <w:tc>
          <w:tcPr>
            <w:tcW w:w="6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1,796,944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1,821,841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5540"/>
              <w:spacing w:after="0"/>
              <w:rPr>
                <w:sz w:val="20"/>
                <w:szCs w:val="20"/>
                <w:color w:val="auto"/>
              </w:rPr>
            </w:pPr>
            <w:r>
              <w:rPr>
                <w:rFonts w:ascii="Arial" w:cs="Arial" w:eastAsia="Arial" w:hAnsi="Arial"/>
                <w:sz w:val="18"/>
                <w:szCs w:val="18"/>
                <w:color w:val="auto"/>
              </w:rPr>
              <w:t>- 12-</w:t>
            </w: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Attributable</w:t>
            </w:r>
          </w:p>
        </w:tc>
        <w:tc>
          <w:tcPr>
            <w:tcW w:w="16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Attributable to</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4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7"/>
              </w:rPr>
              <w:t>to Amkor</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1,409,692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1,429,517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163,491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Issuance of stock through employee share-based compensation plans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3,872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Subsidiary dividends paid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Equity at September 30,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1,590,096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1,612,538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80" w:type="dxa"/>
            <w:vAlign w:val="bottom"/>
            <w:gridSpan w:val="3"/>
          </w:tcPr>
          <w:p>
            <w:pPr>
              <w:jc w:val="right"/>
              <w:spacing w:after="0"/>
              <w:rPr>
                <w:sz w:val="20"/>
                <w:szCs w:val="20"/>
                <w:color w:val="auto"/>
              </w:rPr>
            </w:pPr>
            <w:r>
              <w:rPr>
                <w:rFonts w:ascii="Arial" w:cs="Arial" w:eastAsia="Arial" w:hAnsi="Arial"/>
                <w:sz w:val="18"/>
                <w:szCs w:val="18"/>
                <w:color w:val="auto"/>
                <w:w w:val="90"/>
              </w:rPr>
              <w:t>Changes in accumulated other comprehensive income (loss), net of tax, consist of the following:</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4"/>
                <w:szCs w:val="24"/>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4"/>
                <w:szCs w:val="2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6,177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3"/>
                <w:szCs w:val="23"/>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3"/>
                <w:szCs w:val="2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11,784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September 30,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16,908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out of accumulated other comprehensive income (loss) are included as a component of net periodic pension cost (Note 14).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Factoring of Accounts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nine months ended September 30, 2018, we sold accounts receivable totaling $193.6 million and $622.2 million, net of discounts and fees of $1.6 million and $5.4 million, respectively. For the three and nine months ended September 30, 2017, we sold accounts receivable totaling $135.1 million and $400.4 million, net of discounts and fees of $1.3 million and $2.9 million, respectively.</w:t>
      </w:r>
    </w:p>
    <w:p>
      <w:pPr>
        <w:spacing w:after="0" w:line="1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4"/>
          </w:tcPr>
          <w:p>
            <w:pPr>
              <w:ind w:left="6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224,589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Land use rights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1,384,846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5,206,050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4,938,291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104,910</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7,235,437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6,896,008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(4,521,353)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(4,200,943)</w:t>
            </w: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2,714,084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296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28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143,334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148,099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434,394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122,520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134,785</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35,081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56,664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revenue and customer advances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14,740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 plan obligations</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settlement costs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59,833</w:t>
            </w:r>
          </w:p>
        </w:tc>
        <w:tc>
          <w:tcPr>
            <w:tcW w:w="0" w:type="dxa"/>
            <w:vAlign w:val="bottom"/>
          </w:tcPr>
          <w:p>
            <w:pPr>
              <w:spacing w:after="0"/>
              <w:rPr>
                <w:sz w:val="1"/>
                <w:szCs w:val="1"/>
                <w:color w:val="auto"/>
              </w:rPr>
            </w:pPr>
          </w:p>
        </w:tc>
      </w:tr>
      <w:tr>
        <w:trPr>
          <w:trHeight w:val="257"/>
        </w:trPr>
        <w:tc>
          <w:tcPr>
            <w:tcW w:w="42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4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271,067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60" w:type="dxa"/>
            <w:vAlign w:val="bottom"/>
            <w:vMerge w:val="restart"/>
          </w:tcPr>
          <w:p>
            <w:pPr>
              <w:jc w:val="right"/>
              <w:ind w:right="2370"/>
              <w:spacing w:after="0"/>
              <w:rPr>
                <w:sz w:val="20"/>
                <w:szCs w:val="20"/>
                <w:color w:val="auto"/>
              </w:rPr>
            </w:pPr>
            <w:r>
              <w:rPr>
                <w:rFonts w:ascii="Arial" w:cs="Arial" w:eastAsia="Arial" w:hAnsi="Arial"/>
                <w:sz w:val="18"/>
                <w:szCs w:val="18"/>
                <w:color w:val="auto"/>
              </w:rPr>
              <w:t>- 15-</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June 2021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6.375% Senior notes, due October 2022</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524,971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524,971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 (2):</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$75 million revolving credit facility, foreign currency funding-linked base rate plus 1.60%, due September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2018 (3)</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2.70%, due December 2019</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120,000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2.34%, due September 2021 (3)</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J-Devices Corporation: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term loans, variable rate (5)</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30,455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loans, fixed rate at 0.53%, due April 2018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39,933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1.30%, due July 2023 (1)</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$250 million senior secured revolving credit facility, LIBOR plus 1.25%-1.75%, due July 2023 (Singapore)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7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credit facility, TAIFX plus the applicable bank rate, due November 2020 (Taiwan) (7)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1.80%, due December 2019 (China)</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49,000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1,365,533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premium and deferred debt costs,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(123,848)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1,267,992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1,240,581</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2018, we redeemed all $200 million of our 6.625% Senior Notes due 2021 ("Notes"). In accordance with the terms of the indenture governing the Notes, the redemption price was 100% of the principal amount of the Notes plus accrued and unpaid interest. We recorded a $0.8 million charge for the write-off of the associated unamortized debt issuance costs. The redemption of the Notes was funded with proceeds from our ¥26.0 billion (US$233.2 million) term loan agreement entered into in July 2018 by J-Devices Corporation and guaranteed by Amkor Technology, Inc. Principal and interest are payable in quarterly installments.</w:t>
      </w:r>
    </w:p>
    <w:p>
      <w:pPr>
        <w:spacing w:after="0" w:line="14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October 2018, Amkor Technology Korea, Inc. entered into a revolving credit facility agreement with availability of $30.0 million. Principal will be payable at the maturity date of October 2019. Interest will be payable monthly in arrears, at LIBOR plus the applicable bank rate.</w:t>
      </w:r>
    </w:p>
    <w:p>
      <w:pPr>
        <w:spacing w:after="0" w:line="200" w:lineRule="exact"/>
        <w:rPr>
          <w:rFonts w:ascii="Arial" w:cs="Arial" w:eastAsia="Arial" w:hAnsi="Arial"/>
          <w:sz w:val="17"/>
          <w:szCs w:val="17"/>
          <w:color w:val="auto"/>
        </w:rPr>
      </w:pPr>
    </w:p>
    <w:p>
      <w:pPr>
        <w:spacing w:after="0" w:line="365" w:lineRule="exact"/>
        <w:rPr>
          <w:rFonts w:ascii="Arial" w:cs="Arial" w:eastAsia="Arial" w:hAnsi="Arial"/>
          <w:sz w:val="17"/>
          <w:szCs w:val="17"/>
          <w:color w:val="auto"/>
        </w:rPr>
      </w:pPr>
    </w:p>
    <w:p>
      <w:pPr>
        <w:ind w:left="5640" w:hanging="98"/>
        <w:spacing w:after="0"/>
        <w:tabs>
          <w:tab w:leader="none" w:pos="5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June 2018, we extended our $75.0 million credit facility from June 2018 to September 2018. In September 2018, we entered into a $75.0 million term loan agreement to repay the outstanding balance of our $75.0 million credit facility due September 2018. The new term loan extended the maturity to September 2021. Principal is payable at maturity. Interest is due quarterly in arrears, at LIBOR plus 2.34% (4.68% as of September 30, 2018).</w:t>
      </w:r>
    </w:p>
    <w:p>
      <w:pPr>
        <w:spacing w:after="0" w:line="14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May 2015, we entered into a term loan agreement pursuant to which we may borrow up to $150.0 million for capital expenditures. Principal is payable at maturity. Interest is payable quarterly in arrears, at a fund floating rate plus 1.60% (4.28% as of September 30, 2018). In the second quarter of 2018, we borrowed $64.0 million on this facility and repaid other Amkor Technology Korea, Inc. term loans with earlier maturity dates.</w:t>
      </w:r>
    </w:p>
    <w:p>
      <w:pPr>
        <w:spacing w:after="0" w:line="10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September 30, 2018 is at TIBOR plus 0.15% to 0.20% (weighted average of 0.17% as of September 30, 2018). As of September 30, 2018, $4.4 million was available to be drawn.</w:t>
      </w:r>
    </w:p>
    <w:p>
      <w:pPr>
        <w:spacing w:after="0" w:line="140"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July 2018, the senior secured revolving credit facility of Amkor Technology, Inc. was terminated and replaced by a new facility entered into by our subsidiary, Amkor Technology Singapore Holding Pte, Ltd., and guaranteed by Amkor Technology, Inc. We recorded a $0.4 million charge for the write-off of the associated unamortized debt issuance costs relating to the terminated credit facility. The availability for the new revolving credit facility is based on the amount of eligible accounts receivable. As of September 30, 2018, we had availability of $250.0 million under the new senior secured revolving credit facility with no outstanding standby letters of credit.</w:t>
      </w:r>
    </w:p>
    <w:p>
      <w:pPr>
        <w:spacing w:after="0" w:line="132"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November 2015, we entered into a $39.0 million revolving credit facility. Principal is payable at maturity. Interest is payable monthly, at TAIFX plus the applicable bank rate (3.67% as of September 30, 2018). As of September 30, 2018, $19.0 million was available to be drawn.</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the collateral exceeds the carrying amount of the debt.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September 30, 2018.</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20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516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3,029</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(gain) loss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periodic pension cost</w:t>
            </w:r>
          </w:p>
        </w:tc>
        <w:tc>
          <w:tcPr>
            <w:tcW w:w="90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24,952</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- 17-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8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264"/>
        </w:trPr>
        <w:tc>
          <w:tcPr>
            <w:tcW w:w="51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2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contribution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2,595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9,608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8,009</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3"/>
          </w:tcPr>
          <w:p>
            <w:pPr>
              <w:jc w:val="right"/>
              <w:ind w:right="9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38,557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121,627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20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8"/>
                <w:szCs w:val="18"/>
                <w:color w:val="auto"/>
              </w:rPr>
              <w:t>2,559</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535,544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524,950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745,943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723,867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838,094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840,688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639,689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640,562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1,373,638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1,365,638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1,385,632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1,364,429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warrant that our services will be performed in a professional and workmanlike manner and in compliance with our customers' specifications. We accrue costs for known warranty issues. Historically, our warranty costs have been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and selectively growing our scale and scope through strategic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We believe that our technology leadership and this technology transition create significant growth opportunities for us.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identify attractive opportunities to grow our customer base and expand the markets we serve. For example, in May 2017 we acquired Nanium, which has strengthened our position in the market for wafer-level fan-out packaging. In December 2015, we completed the acquisition of J-Devices, the largest provider of outsourced semiconductor assembly and test services in Japan. J-Devices is primarily focused in the automotive, industrial and consumer end markets. We believe that selective growth through joint ventures, acquisitions and other strategic investments can help diversify our revenue streams, improve our profits, broaden our portfolio of services and continue our technological leadership.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Our fabless customers include: Broadcom Limited, Qualcomm Incorporated and Socionext Inc. Our contract foundry customers include: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GlobalFoundries Inc. and Taiwan Semiconductor Manufacturing Company Limited.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economic slowdown or subsequent economic recovery.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business, our capital expenditure levels and our ability to repay debt out of our operating cash flows or proceeds from debt or equity financings.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utilizing the full retrospective transition method. The prior periods presented here have been revised to reflect this change. For more information, see Note 2 to our Consolidated Financial Statements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sales decreased $4.7 million or 0.4% to $1,144.2 million for the three months ended September 30, 2018 from $1,148.9 million for the three months ended September 30, 2017. Gross margin for the three months ended September 30, 2018 decreased to 17.5% from 19.5% for the three months ended September 30, 2017. The decline in gross margin was primarily attributable to changes in the mix of products sold with higher material content during the period. This was partially offset by benefits realized from our 2017 factory consolidation efforts in Japan.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are primarily for investments in advanced packaging and test equipment and totaled $478.0 million for the nine months ended September 30, 2018, compared to $414.0 million for the nine months ended September 30, 2017. The increase in spending is due to continued investment in our business and expansion of our production facilities.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was $427.2 million for the nine months ended September 30, 2018, compared to $413.9 million for the nine months ended September 30, 2017. This increase was primarily due to an increase in our net income, excluding the gain on sale of our K1 factory in the prior year. This increase was partially offset by changes in our net working capital.</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July 2018, we entered into a ¥26.0 billion term loan agreement and borrowed ¥26.0 billion (US$233.2 million). We used the proceeds from the term loan to repay all of our $200 million outstanding 6.625% Senior Notes due 2021 in August 2018. This refinancing is expected to generate net annualized interest savings of approximately $11 million.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July 2018, we also replaced our senior revolving credit facility. The terms of the new credit facility are substantially the same as the old facility, except that, among other things, the availability under the new credit facility has been increased from $200 million to $250 million and the termination date has been extended from December 2019 to July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r>
      <w:tr>
        <w:trPr>
          <w:trHeight w:val="236"/>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8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Amkor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5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For the 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4"/>
                <w:szCs w:val="14"/>
                <w:b w:val="1"/>
                <w:bCs w:val="1"/>
                <w:color w:val="auto"/>
              </w:rPr>
              <w:t>For the Nine Months Ended September 30,</w:t>
            </w:r>
          </w:p>
        </w:tc>
        <w:tc>
          <w:tcPr>
            <w:tcW w:w="58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22"/>
                <w:szCs w:val="22"/>
                <w:color w:val="auto"/>
              </w:rPr>
            </w:pPr>
          </w:p>
        </w:tc>
      </w:tr>
      <w:tr>
        <w:trPr>
          <w:trHeight w:val="250"/>
        </w:trPr>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8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1,144,192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1,148,884</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45"/>
              <w:spacing w:after="0"/>
              <w:rPr>
                <w:sz w:val="20"/>
                <w:szCs w:val="20"/>
                <w:color w:val="auto"/>
              </w:rPr>
            </w:pPr>
            <w:r>
              <w:rPr>
                <w:rFonts w:ascii="Arial" w:cs="Arial" w:eastAsia="Arial" w:hAnsi="Arial"/>
                <w:sz w:val="16"/>
                <w:szCs w:val="16"/>
                <w:color w:val="auto"/>
              </w:rPr>
              <w:t>(4,692)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(0.4)%  $</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3,235,195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3,056,553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178,642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stable for the three months ended September 30, 2018, compared to the three months ended September 30,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sales for the nine months ended September 30, 2018, compared to the nine months ended September 30, 2017, was attributable to increased participation in the major smartphone ecosystems and increased demand in the computing and automotive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263"/>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w w:val="89"/>
              </w:rPr>
              <w:t>(In thousands, except percentages)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200,707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223,888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(23,181)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528,195</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536,738</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(8,543)</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16.3%</w:t>
            </w:r>
          </w:p>
        </w:tc>
        <w:tc>
          <w:tcPr>
            <w:tcW w:w="28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direct relationship between our revenue levels and gross margin where relatively modest increases or decreases can have a significant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decreased for the three and nine months ended September 30, 2018 compared to the three and nine months ended September 30, 2017 primarily due to changes in the mix of products sold with higher material content during the period. This was partially offset by benefits realized from our 2017 factory consolidation efforts in Japan.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For the 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60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0" w:type="dxa"/>
            <w:vAlign w:val="bottom"/>
            <w:gridSpan w:val="6"/>
          </w:tcPr>
          <w:p>
            <w:pPr>
              <w:jc w:val="right"/>
              <w:ind w:right="283"/>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Selling, general and administrative  $</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70,463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75,568</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(5,105)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(6.8)%  $</w:t>
            </w:r>
          </w:p>
        </w:tc>
        <w:tc>
          <w:tcPr>
            <w:tcW w:w="6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225,886</w:t>
            </w:r>
          </w:p>
        </w:tc>
        <w:tc>
          <w:tcPr>
            <w:tcW w:w="4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219,635</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6,251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2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2018 decreased compared to the three months ended September 30, 2017 primarily due to decreased employee compensation costs.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2018 increased compared to the nine months ended September 30, 2017 primarily due to net proceeds from a one-time legal settlement received in the second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4"/>
                <w:szCs w:val="14"/>
                <w:b w:val="1"/>
                <w:bCs w:val="1"/>
                <w:color w:val="auto"/>
              </w:rPr>
              <w:t>For the Three Months Ended 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r>
      <w:tr>
        <w:trPr>
          <w:trHeight w:val="250"/>
        </w:trPr>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6"/>
          </w:tcPr>
          <w:p>
            <w:pPr>
              <w:jc w:val="right"/>
              <w:ind w:right="263"/>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37,541</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42,841</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(5,300)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(12.4)%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119,546</w:t>
            </w: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128,690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(9,144)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2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nine months ended September 30, 2018 decreased compared to the three and nine months ended September 30, 2017. We experienced reductions in costs for projects that moved into production, partially offset by development projects, primarily at our K5 factory and research and development facility in Korea.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84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Borders>
              <w:bottom w:val="single" w:sz="8" w:color="auto"/>
            </w:tcBorders>
          </w:tcPr>
          <w:p>
            <w:pPr>
              <w:spacing w:after="0"/>
              <w:rPr>
                <w:sz w:val="22"/>
                <w:szCs w:val="22"/>
                <w:color w:val="auto"/>
              </w:rPr>
            </w:pPr>
          </w:p>
        </w:tc>
      </w:tr>
      <w:tr>
        <w:trPr>
          <w:trHeight w:val="250"/>
        </w:trPr>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60" w:type="dxa"/>
            <w:vAlign w:val="bottom"/>
            <w:gridSpan w:val="6"/>
          </w:tcPr>
          <w:p>
            <w:pPr>
              <w:ind w:left="240"/>
              <w:spacing w:after="0"/>
              <w:rPr>
                <w:sz w:val="20"/>
                <w:szCs w:val="20"/>
                <w:color w:val="auto"/>
              </w:rPr>
            </w:pPr>
            <w:r>
              <w:rPr>
                <w:rFonts w:ascii="Arial" w:cs="Arial" w:eastAsia="Arial" w:hAnsi="Arial"/>
                <w:sz w:val="14"/>
                <w:szCs w:val="14"/>
                <w:b w:val="1"/>
                <w:bCs w:val="1"/>
                <w:color w:val="auto"/>
                <w:w w:val="93"/>
              </w:rPr>
              <w:t>(In thousands, except percentages)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6"/>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Interest expense, including related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party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19,770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20,501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60,908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65,448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w w:val="99"/>
              </w:rPr>
              <w:t>Foreign currency (gain) loss, net</w:t>
            </w:r>
          </w:p>
        </w:tc>
        <w:tc>
          <w:tcPr>
            <w:tcW w:w="2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1,806</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w w:val="98"/>
              </w:rPr>
              <w:t>&gt;(100)%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8,678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(9,723)</w:t>
            </w:r>
          </w:p>
        </w:tc>
        <w:tc>
          <w:tcPr>
            <w:tcW w:w="3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w w:val="98"/>
              </w:rPr>
              <w:t>&gt;(100)%</w:t>
            </w:r>
          </w:p>
        </w:tc>
      </w:tr>
      <w:tr>
        <w:trPr>
          <w:trHeight w:val="33"/>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98"/>
              </w:rPr>
              <w:t>&gt;(100)%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(7,681)</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8"/>
              </w:rPr>
              <w:t>&gt;(100)%</w:t>
            </w:r>
          </w:p>
        </w:tc>
      </w:tr>
      <w:tr>
        <w:trPr>
          <w:trHeight w:val="244"/>
        </w:trPr>
        <w:tc>
          <w:tcPr>
            <w:tcW w:w="2340" w:type="dxa"/>
            <w:vAlign w:val="bottom"/>
          </w:tcPr>
          <w:p>
            <w:pPr>
              <w:ind w:left="4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21,085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23,758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54,654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76,598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(21,944)</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0"/>
        </w:trPr>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decreased for the three and nine months ended September 30, 2018 compared to the three and nine months ended September 30, 2017, primarily due to the redemption of $200 million of our 6.625% Senior Notes due 2021 in July 2017 and the remaining $200 million of these same notes in August 2018. The early repayment of the notes resulted in losses on debt retirement of $0.8 million in the three and nine months ended September 30, 2018 and $4.4 million in the three and nine months ended September 30, 2017, which is included in other (income) expense, net.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changes in foreign currency (gain) loss, net for the three and nine months ended September 30, 2018 and the three and nine months ended September 30, 2017 were due to foreign currency exchange rate movements, mainly the Korean Won, and the associated impact on our net monetary exposure at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125"/>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123"/>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4"/>
          </w:tcPr>
          <w:p>
            <w:pPr>
              <w:jc w:val="right"/>
              <w:ind w:right="605"/>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14,326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21,263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27,438</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53,404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(25,966)</w:t>
            </w:r>
          </w:p>
        </w:tc>
      </w:tr>
      <w:tr>
        <w:trPr>
          <w:trHeight w:val="33"/>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income is earned and taxed in foreign jurisdictions in the Asia Pacific region with applicable tax rates similar to the U.S. federal and state combined tax rate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 The income tax expense for the nine months ended September 30, 2017 includes the income tax on the gain on the sale of the land and buildings comprising our K1 factory in May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2018 and 2017, our subsidiaries in Korea, Malaysia, the Philippines and Singapore operated under tax holidays. The tax holiday granted to certain operations in Taiwan and Malaysia expired as of December 31, 2017 and March 31, 2018, respectively. The tax holidays granted to certain operations in the Philippines expire in 2018. As these tax holidays expire, income earned in these jurisdictions will be subject to higher statutory income tax rates, which may cause our effective tax rate to increase.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source of cash and the source of funds for our operations are cash flows from operations, current cash and cash equivalents, borrowings under available credit facilities and proceeds from any additional debt or equity financings. As of September 30, 2018, we had cash and cash equivalents of $547.7 million. Included in our cash balance as of September 30, 2018, is $491.1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will not be subject to U.S. federal income tax. If we were to distribute this offshore cash to the U.S. as dividends from our foreign subsidiaries, we may be subject to foreign withholding and state income taxes.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2018, the senior secured revolving credit facility of Amkor Technology, Inc. was terminated and replaced by a new facility entered into by our subsidiary, Amkor Technology Singapore Holding Pte, Ltd. ("Singapore Revolver"), and guaranteed by Amkor Technology, Inc. The availability for the Singapore Revolver is based on the amount of eligible accounts receivable. As of September 30, 2018, we had availability of $250.0 million under the new first lien senior secured revolving credit facility with no outstanding standby letters of credit. We refer you to Note 13 to our Consolidated Financial Statements in Part 1, Item 1 of this Quarterly Report on Form 10-Q for additional information. Our foreign subsidiaries had $269.0 million available to be drawn under secured revolving credit facilities, including the Singapore Revolver, and $4.4 million available to be borrowed under secured term loan credit facilities for working capital purposes and capital expenditures.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we had $1,365.6 million of debt. Our scheduled principal repayments on debt include $26.0 million due over the remainder of 2018, $163.2 million due in 2019, $436.3 million due in 2020, $131.3 million due in 2021, $576.4 million due in 2022, and $34.3 million due thereafter. We were in compliance with all debt covenants at September 30, 2018, and we expect to remain in compliance with these covenants for at least the next twelve months.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redeemed all $200 million of our 6.625% Senior Notes due 2021. The redemption of the Notes was funded with proceeds from our ¥26.0 billion (US$233.2 million) term loan agreement entered into in July 2018 by J-Devices Corporation and guaranteed by Amkor Technology, Inc. This refinancing is expected to generate net annualized interest savings of approximately $11 million. We refer you to Note 13 to our Consolidated Financial Statements in Part 1, Item 1 of this Quarterly Report on Form 10-Q for additional information.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nine months ended September 30, 2018 and 2017, we sold accounts receivable totaling $622.2 million and $400.4 million, net of discounts and fees of $5.4 million and $2.9 million,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reduce our debt and future cash interest payments, we may from time to time repurchase or redeem our outstanding notes for cash or exchange shares of our common stock for our outstanding notes. Any such transaction may be made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open market, through privately negotiated transactions or otherwise and is subject to the terms of our indentures and other debt agreements, market conditions and other factors.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September 30, 2018,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2018 capital expenditures to be approximately $600 million. During the nine months ended September 30, 2018, our capital expenditures totaled $478.0 million. Ultimately, the amount of our 2018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nine months ended September 30, 2018 and 2017,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5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427,218</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413,911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(473,270)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(326,025)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594</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(126,939)</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provided by operating activities for the nine months ended September 30, 2018, increased by $13.3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nine months ended September 30, 2017, primarily due to an increase in our net income, excluding the gain on sale of our K1 factory in the prior year. This increase was partially offset by changes in our net working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flows used in investing activities are principally for payments for property, plant and equipment, which increased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2017, primarily due to continued investment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business and expansion of our production facilities. The net cash used in investing activities for the nine months ended September 30, 2017, also included a payment for the acquisition of Nanium and receipt of the remaining proceeds for the sale of the K1 factory in Korea.</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net cash provided by financing activities for the nine months ended September 30, 2018, was primarily due to net borrowings in</w:t>
      </w:r>
      <w:r>
        <w:rPr>
          <w:rFonts w:ascii="Arial" w:cs="Arial" w:eastAsia="Arial" w:hAnsi="Arial"/>
          <w:sz w:val="17"/>
          <w:szCs w:val="17"/>
          <w:i w:val="1"/>
          <w:iCs w:val="1"/>
          <w:color w:val="auto"/>
        </w:rPr>
        <w:t xml:space="preserve"> </w:t>
      </w:r>
      <w:r>
        <w:rPr>
          <w:rFonts w:ascii="Arial" w:cs="Arial" w:eastAsia="Arial" w:hAnsi="Arial"/>
          <w:sz w:val="17"/>
          <w:szCs w:val="17"/>
          <w:color w:val="auto"/>
        </w:rPr>
        <w:t>Japan, offset by the full redemption of our Senior Notes due 2021. The net cash used in financing activities for the nine months ended September 30, 2017 was primarily driven by the redemption of our Senior Notes due 2021, partially offset by the net borrowings in China and Japan.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427,218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413,911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(478,036)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(413,974)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133,320</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(49,212)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133,257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at September 30, 2018, and the effect such obligations are expected to have on our liquidity and cash flows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Payments Due for Year Ending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2018 -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1,367,518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163,230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436,288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576,422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34,301</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200,878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24,043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59,108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45,750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37,455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99,538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25,712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16,673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8,715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29,414</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Severance obligations (4)</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141,301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13,230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11,920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10,765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91,985</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payments (5)</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1,927,463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141,447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276,116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518,883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197,508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631,106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162,403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September 30, 2018, for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September 30, 2018.</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640" w:hanging="98"/>
        <w:spacing w:after="0"/>
        <w:tabs>
          <w:tab w:leader="none" w:pos="5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settlement payments for patent license litigation. At September 30, 2018, the total current obligation is $9.7 million.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September 30, 2018, include:</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$52.9 million of net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$29.4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16 to our Consolidated Financial Statements in Part I, Item 1 of this Quarterly Report on Form 10-Q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 description of our critical accounting policies and estimates affecting revenue recognition, see Note 3 to our Consolidated Financial Statements in Part I, Item 1 of this Quarterly Report on Form 10-Q. Our critical accounting policies are disclosed in our Annual Report on Form 10-K for the year ended December 31, 2017. With the exception of the changes to our revenue recognition policies referenced above, there have been no significant changes in our critical accounting policies as reported in our 2017 Annual Report on Form 10-K during the three months ended September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 accounting pronouncements, we refer you to Note 2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dollar is our reporting and functional currency and the functional currency for our subsidiaries, except for J-Devices, where the Japanese Yen is the functional currency. In order to reduce our exposure to foreign currency gains and losses, we generally use natural hedging techniques to reduce foreign currency rate risk. On a limited basis, we use forward contracts to mitigate foreign currency risk of certain monetary liabilities denominated in foreign currencies.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sensitivity analysis of our foreign currency exposure as of September 30, 2018,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nine months ended September 30, 2018 would have been approximately $19 million lower, due to the remeasurement of monetary assets and liabilities. We have a significant net monetary liability at our subsidiary in Korea, principally related to our Korean severance plan.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nine months ended September 30, 2018, approximately 78% of our net sales were denominated in U.S. dollars. Our remaining net sales were principally denominated in Japanese Yen for local country sales. For the nine months ended September 30, 2018, approximately 51%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2018, to assess the potential impact of fluctuations in exchange rates for all foreign denominated sales and operating expenses. Assuming that all foreign currencies appreciated 10% against the U.S. dollar, our operating income for the nine months ended September 30, 2018 would have been approximately $88 million lower.</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loss of $2.7 million and a gain of $11.8 million for the nine months ended September 30, 2018 and 2017, respectively, and was recognized as an adjustment to equity through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September 30,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2018 - Remaining</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w w:val="82"/>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249"/>
        </w:trPr>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Fixed rate debt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14,073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56,288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176,288</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56,288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w w:val="94"/>
              </w:rPr>
              <w:t>576,422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34,301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913,660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920,945</w:t>
            </w:r>
          </w:p>
        </w:tc>
      </w:tr>
      <w:tr>
        <w:trPr>
          <w:trHeight w:val="276"/>
        </w:trPr>
        <w:tc>
          <w:tcPr>
            <w:tcW w:w="2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Variable rate debt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11,916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106,942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260,000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453,858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452,693</w:t>
            </w:r>
          </w:p>
        </w:tc>
      </w:tr>
      <w:tr>
        <w:trPr>
          <w:trHeight w:val="270"/>
        </w:trPr>
        <w:tc>
          <w:tcPr>
            <w:tcW w:w="2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4"/>
                <w:szCs w:val="14"/>
                <w:color w:val="auto"/>
              </w:rPr>
              <w:t>Total debt</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25,989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163,230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436,288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131,288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94"/>
              </w:rPr>
              <w:t>576,422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34,301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1,367,518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1,373,638</w:t>
            </w:r>
          </w:p>
        </w:tc>
      </w:tr>
      <w:tr>
        <w:trPr>
          <w:trHeight w:val="20"/>
        </w:trPr>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15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2018,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 three months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16 and Note 17 to our Consolidated Financial Statements in Part I, Item 1 of this Quarterly Report on Form 10-Q and in our Annual Report on Form 10-K for the year ended December 31, 2017, respectively.</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For example, the financial crisis and global recession in 2008 and 2009 resulted in a downturn in the semiconductor industry that adversely affected our business and results of operations during those periods. The economic recovery since that time has been slow and uneven. If the industry or markets we compete in experience slower, or even negative growth, our business and results of operations may be adversely affected.</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events, such as the United Kingdom's vote to leave the European Union, political instability, civil disturbances or environmental or natural events, such as earthquakes like the recent ones in Japan, that impact our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40" w:hanging="98"/>
        <w:spacing w:after="0"/>
        <w:tabs>
          <w:tab w:leader="none" w:pos="5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980" w:hanging="648"/>
        <w:spacing w:after="0" w:line="259"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foreign governments;</w:t>
      </w:r>
    </w:p>
    <w:p>
      <w:pPr>
        <w:spacing w:after="0" w:line="132"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in April 2018.</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the preparation of our financial statements in accordance with U.S. GAAP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significant amount of indebtedness, and the terms of the agreements governing our indebtedness allow us and our subsidiaries to incur more debt, subject to certain limitations. As of September 30, 2018, our total debt balance was $1,365.6 million, of which $97.6 million was classified as a current liability and $554.5 million was collateralized indebtedness at our subsidiaries. We may consider investments in joint ventures, increased capital expenditures or acquisitions which may increase our indebtedness. If new debt is added to our consolidated debt level, the related risks that we face could intensify.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capital-intensive industry. We had capital expenditures of $478.0 million during the nine months ended September 30, 2018.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2018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rising interest rates, could also make it difficult or more expensive for us to maintain our existing credit facilities or refinance our debt.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Indentures and Agreements Governing Our Current and Future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our future debt agreements may contain financial covenants and ratios.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$141.3 million as of September 30, 2018.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and integrated the acquired operations of Amkor Technology Malaysia Sdn. Bhd. into our overall internal control over financial reporting.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in May 2017, we completed our acquisition of Nanium. We are continuing to integrate the acquired operations into our overall internal control over financial reporting. Although we have extended our oversight and monitoring processes that support internal control over financial reporting to include the acquired operations, there is a risk that deficiencies may occur that could constitute significant deficiencies or in the aggregate a material weakness.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Management Information Systems.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depend on our management information systems for many aspects of our business. Some of our key software has been developed by our own programmers, and this software may not be easily integrated with other software and systems. Our systems may be susceptible to damage, disruptions or shutdowns due to failures during the process of upgrading, replacing or maintaining software, databases or components thereof, power outages, hardware failures, computer viruses, attacks by computer hackers, telecommunication failures, user errors, malfeasance or catastrophic events. In addition, security breaches could result in unauthorized disclosure of confidential information. From time to time we make additions or changes to our management information systems. For example, we have implemented new shop floor systems in certain of our factories, and we are integrating J-Devices' management information systems with our existing systems and processes. </w:t>
      </w:r>
      <w:r>
        <w:rPr>
          <w:rFonts w:ascii="Arial" w:cs="Arial" w:eastAsia="Arial" w:hAnsi="Arial"/>
          <w:sz w:val="17"/>
          <w:szCs w:val="17"/>
          <w:color w:val="090909"/>
        </w:rPr>
        <w:t>In addition, in May 2017, we completed our acquisition of Nanium and have begun to integrate its</w:t>
      </w:r>
      <w:r>
        <w:rPr>
          <w:rFonts w:ascii="Arial" w:cs="Arial" w:eastAsia="Arial" w:hAnsi="Arial"/>
          <w:sz w:val="17"/>
          <w:szCs w:val="17"/>
          <w:color w:val="auto"/>
        </w:rPr>
        <w:t xml:space="preserve"> </w:t>
      </w:r>
      <w:r>
        <w:rPr>
          <w:rFonts w:ascii="Arial" w:cs="Arial" w:eastAsia="Arial" w:hAnsi="Arial"/>
          <w:sz w:val="17"/>
          <w:szCs w:val="17"/>
          <w:color w:val="090909"/>
        </w:rPr>
        <w:t xml:space="preserve">management information systems into our existing systems and processes. </w:t>
      </w:r>
      <w:r>
        <w:rPr>
          <w:rFonts w:ascii="Arial" w:cs="Arial" w:eastAsia="Arial" w:hAnsi="Arial"/>
          <w:sz w:val="17"/>
          <w:szCs w:val="17"/>
          <w:color w:val="000000"/>
        </w:rPr>
        <w:t>We face risks in connection with current and future projects to install or integrate</w:t>
      </w:r>
      <w:r>
        <w:rPr>
          <w:rFonts w:ascii="Arial" w:cs="Arial" w:eastAsia="Arial" w:hAnsi="Arial"/>
          <w:sz w:val="17"/>
          <w:szCs w:val="17"/>
          <w:color w:val="090909"/>
        </w:rPr>
        <w:t xml:space="preserve"> </w:t>
      </w:r>
      <w:r>
        <w:rPr>
          <w:rFonts w:ascii="Arial" w:cs="Arial" w:eastAsia="Arial" w:hAnsi="Arial"/>
          <w:sz w:val="17"/>
          <w:szCs w:val="17"/>
          <w:color w:val="000000"/>
        </w:rPr>
        <w:t>new management information systems or upgrade our existing systems. These risks include:</w:t>
      </w:r>
    </w:p>
    <w:p>
      <w:pPr>
        <w:spacing w:after="0" w:line="12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management information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and Retain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July 2013 and May 2017, we completed the purchase of Amkor Technology Malaysia Sdn. Bhd. and Nanium, respectively. Additionally, we increased our investment in J-Devices to 100% in 2015 through the exercise of additional options. We are now integrating these acquired entities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67% of our net sales for the year ended December 31, 2017, and one customer accounted for more than 10% of our consolidated net sales during the period. In addition, we have significant customer concentration within our end markets. The loss of a significant customer, a business combination among our customers, a reduction in orders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year to year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For example, we expect that our 2018 capital expenditures will be approximately $600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2014, we started the construction of K5. The land purchase agreement includes various construction, investment, hiring, regulatory and other compliance obligations. While we completed the initial phase of construction in December 2016, there can be no assurance regarding when K5 will be fully utilized, or that the actual scope, costs, timeline or benefits of the project will be consistent with our current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ind w:right="2700"/>
        <w:spacing w:after="0" w:line="277" w:lineRule="auto"/>
        <w:rPr>
          <w:sz w:val="20"/>
          <w:szCs w:val="20"/>
          <w:color w:val="auto"/>
        </w:rPr>
      </w:pPr>
      <w:r>
        <w:rPr>
          <w:rFonts w:ascii="Arial" w:cs="Arial" w:eastAsia="Arial" w:hAnsi="Arial"/>
          <w:sz w:val="18"/>
          <w:szCs w:val="18"/>
          <w:b w:val="1"/>
          <w:bCs w:val="1"/>
          <w:i w:val="1"/>
          <w:iCs w:val="1"/>
          <w:color w:val="auto"/>
        </w:rPr>
        <w:t>The Enactment of Recent Tax Reform Could Materially Impact Our Financial Position and Results of Operations for the Period Ending December 31, 2017 and for Subsequent Periods.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22, 2017, the Tax Cuts and Jobs Act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now expect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Our provisional estimates and preliminary view of the impact of the Tax Act are uncertain and may be adjusted in future periods as a result of the ongoing analysis of our tax positions and any new guidance from regulators and other interpretations of the law. Changes to our provisional estimate of the impacts of the Tax Act may be material to income tax expense.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Unfavorable outcomes in any legal proceedings involving intellectual property could result in significant liabilities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Japan experienced a severe earthquake and tsunami in 2011 that resulted in significant disruption in the electronics industry supply chain and adversely affected Japan's economy and consumer spending. In addition, in October 2011, Thailand experienced substantial flooding which affected the facilities and operations of customers and suppliers in our industry. In addition, some of the processes that we utilize in our operations place us at risk of fire and other damage. For example, highly flammable gases are used in the preparation of wafers holding semiconductor devices for flip chip packaging. 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2018, Mr. James J. Kim, the Executive Chairman of our Board of Directors, Mr. John T. Kim, the Executive Vice Chairman of our Board of Directors, Ms. Susan Y. Kim, member of our Board of Directors, and members of the Kim family and affiliates owned approximately 137.6 million shares, or approximately 57%, of our outstanding common stock. The Kim family also has options to acquire approximately 0.3 million shares. If the options are exercised, the Kim family's total ownership would be an aggregate of approximately 137.9 million shares of our outstanding common stock or approximately 58%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Board of Directors previously authorized the repurchase of up to $300.0 million of our common stock, $150.0 million in August 2011 and $150.0 million in February 2012, exclusive of any fees, commissions or other expenses. For the three months ended September 30, 2018, we made no common stock purchases, and at September 30, 2018, approximately $91.6 million was available pursuant to the stock repurchase program.</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w:t>
      </w:r>
    </w:p>
    <w:p>
      <w:pPr>
        <w:sectPr>
          <w:pgSz w:w="11900" w:h="16838" w:orient="portrait"/>
          <w:cols w:equalWidth="0" w:num="1">
            <w:col w:w="11420"/>
          </w:cols>
          <w:pgMar w:left="240" w:top="12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420" w:type="dxa"/>
            <w:vAlign w:val="bottom"/>
            <w:gridSpan w:val="2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580" w:type="dxa"/>
            <w:vAlign w:val="bottom"/>
            <w:gridSpan w:val="23"/>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Incorporated by Reference</w:t>
            </w:r>
          </w:p>
        </w:tc>
        <w:tc>
          <w:tcPr>
            <w:tcW w:w="2000" w:type="dxa"/>
            <w:vAlign w:val="bottom"/>
          </w:tcPr>
          <w:p>
            <w:pPr>
              <w:jc w:val="center"/>
              <w:ind w:left="101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840" w:type="dxa"/>
            <w:vAlign w:val="bottom"/>
          </w:tcPr>
          <w:p>
            <w:pPr>
              <w:ind w:left="300"/>
              <w:spacing w:after="0" w:line="139"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60" w:type="dxa"/>
            <w:vAlign w:val="bottom"/>
            <w:gridSpan w:val="21"/>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jc w:val="right"/>
              <w:ind w:right="1093"/>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gridSpan w:val="21"/>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7"/>
                <w:szCs w:val="17"/>
                <w:color w:val="auto"/>
              </w:rPr>
            </w:pPr>
          </w:p>
        </w:tc>
        <w:tc>
          <w:tcPr>
            <w:tcW w:w="5220" w:type="dxa"/>
            <w:vAlign w:val="bottom"/>
            <w:gridSpan w:val="22"/>
          </w:tcPr>
          <w:p>
            <w:pPr>
              <w:spacing w:after="0" w:line="202"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Syndicated Loan Agreement among J-Devices Corporation, Sumitomo</w:t>
              </w:r>
            </w:hyperlink>
          </w:p>
        </w:tc>
        <w:tc>
          <w:tcPr>
            <w:tcW w:w="82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7"/>
                <w:szCs w:val="17"/>
                <w:color w:val="auto"/>
              </w:rPr>
            </w:pPr>
          </w:p>
        </w:tc>
        <w:tc>
          <w:tcPr>
            <w:tcW w:w="94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10.1</w:t>
            </w:r>
          </w:p>
        </w:tc>
        <w:tc>
          <w:tcPr>
            <w:tcW w:w="2000" w:type="dxa"/>
            <w:vAlign w:val="bottom"/>
          </w:tcPr>
          <w:p>
            <w:pPr>
              <w:jc w:val="right"/>
              <w:ind w:right="953"/>
              <w:spacing w:after="0" w:line="202" w:lineRule="exact"/>
              <w:rPr>
                <w:sz w:val="20"/>
                <w:szCs w:val="20"/>
                <w:color w:val="auto"/>
              </w:rPr>
            </w:pPr>
            <w:r>
              <w:rPr>
                <w:rFonts w:ascii="Arial" w:cs="Arial" w:eastAsia="Arial" w:hAnsi="Arial"/>
                <w:sz w:val="18"/>
                <w:szCs w:val="18"/>
                <w:color w:val="auto"/>
              </w:rPr>
              <w:t>7/19/18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Mitsui Banking Corporation and other financial institutions, dated as of</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July 13, 2018 (English translation).</w:t>
              </w:r>
            </w:hyperlink>
          </w:p>
        </w:tc>
        <w:tc>
          <w:tcPr>
            <w:tcW w:w="2600" w:type="dxa"/>
            <w:vAlign w:val="bottom"/>
            <w:tcBorders>
              <w:top w:val="single" w:sz="8" w:color="0000FF"/>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1"/>
                <w:szCs w:val="21"/>
                <w:color w:val="auto"/>
              </w:rPr>
            </w:pPr>
          </w:p>
        </w:tc>
        <w:tc>
          <w:tcPr>
            <w:tcW w:w="5220" w:type="dxa"/>
            <w:vAlign w:val="bottom"/>
            <w:gridSpan w:val="22"/>
          </w:tcPr>
          <w:p>
            <w:pPr>
              <w:spacing w:after="0"/>
              <w:rPr>
                <w:rFonts w:ascii="Arial" w:cs="Arial" w:eastAsia="Arial" w:hAnsi="Arial"/>
                <w:sz w:val="18"/>
                <w:szCs w:val="18"/>
                <w:color w:val="0000FF"/>
              </w:rPr>
            </w:pPr>
            <w:hyperlink r:id="rId13">
              <w:r>
                <w:rPr>
                  <w:rFonts w:ascii="Arial" w:cs="Arial" w:eastAsia="Arial" w:hAnsi="Arial"/>
                  <w:sz w:val="18"/>
                  <w:szCs w:val="18"/>
                  <w:color w:val="0000FF"/>
                </w:rPr>
                <w:t>Guaranty by Amkor Technology, Inc. in favor of Sumitomo Mitsui</w:t>
              </w:r>
            </w:hyperlink>
          </w:p>
        </w:tc>
        <w:tc>
          <w:tcPr>
            <w:tcW w:w="820" w:type="dxa"/>
            <w:vAlign w:val="bottom"/>
          </w:tcPr>
          <w:p>
            <w:pPr>
              <w:jc w:val="center"/>
              <w:ind w:left="14"/>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10.2</w:t>
            </w:r>
          </w:p>
        </w:tc>
        <w:tc>
          <w:tcPr>
            <w:tcW w:w="2000" w:type="dxa"/>
            <w:vAlign w:val="bottom"/>
          </w:tcPr>
          <w:p>
            <w:pPr>
              <w:jc w:val="right"/>
              <w:ind w:right="953"/>
              <w:spacing w:after="0"/>
              <w:rPr>
                <w:sz w:val="20"/>
                <w:szCs w:val="20"/>
                <w:color w:val="auto"/>
              </w:rPr>
            </w:pPr>
            <w:r>
              <w:rPr>
                <w:rFonts w:ascii="Arial" w:cs="Arial" w:eastAsia="Arial" w:hAnsi="Arial"/>
                <w:sz w:val="18"/>
                <w:szCs w:val="18"/>
                <w:color w:val="auto"/>
              </w:rPr>
              <w:t>7/19/18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Banking Corporation and other financial institutions, dated as of July</w:t>
              </w:r>
            </w:hyperlink>
          </w:p>
        </w:tc>
        <w:tc>
          <w:tcPr>
            <w:tcW w:w="2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13, 2018 (English translation).</w:t>
              </w:r>
            </w:hyperlink>
          </w:p>
        </w:tc>
        <w:tc>
          <w:tcPr>
            <w:tcW w:w="302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1"/>
                <w:szCs w:val="21"/>
                <w:color w:val="auto"/>
              </w:rPr>
            </w:pPr>
          </w:p>
        </w:tc>
        <w:tc>
          <w:tcPr>
            <w:tcW w:w="5180" w:type="dxa"/>
            <w:vAlign w:val="bottom"/>
            <w:tcBorders>
              <w:bottom w:val="single" w:sz="8" w:color="0000FF"/>
            </w:tcBorders>
            <w:gridSpan w:val="21"/>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Loan and Security Agreement, dated as of July 13, 2018, by and among</w:t>
              </w:r>
            </w:hyperlink>
          </w:p>
        </w:tc>
        <w:tc>
          <w:tcPr>
            <w:tcW w:w="40" w:type="dxa"/>
            <w:vAlign w:val="bottom"/>
          </w:tcPr>
          <w:p>
            <w:pPr>
              <w:spacing w:after="0"/>
              <w:rPr>
                <w:sz w:val="21"/>
                <w:szCs w:val="21"/>
                <w:color w:val="auto"/>
              </w:rPr>
            </w:pPr>
          </w:p>
        </w:tc>
        <w:tc>
          <w:tcPr>
            <w:tcW w:w="820" w:type="dxa"/>
            <w:vAlign w:val="bottom"/>
          </w:tcPr>
          <w:p>
            <w:pPr>
              <w:jc w:val="center"/>
              <w:ind w:left="14"/>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10.3</w:t>
            </w:r>
          </w:p>
        </w:tc>
        <w:tc>
          <w:tcPr>
            <w:tcW w:w="2000" w:type="dxa"/>
            <w:vAlign w:val="bottom"/>
          </w:tcPr>
          <w:p>
            <w:pPr>
              <w:jc w:val="right"/>
              <w:ind w:right="953"/>
              <w:spacing w:after="0"/>
              <w:rPr>
                <w:sz w:val="20"/>
                <w:szCs w:val="20"/>
                <w:color w:val="auto"/>
              </w:rPr>
            </w:pPr>
            <w:r>
              <w:rPr>
                <w:rFonts w:ascii="Arial" w:cs="Arial" w:eastAsia="Arial" w:hAnsi="Arial"/>
                <w:sz w:val="18"/>
                <w:szCs w:val="18"/>
                <w:color w:val="auto"/>
              </w:rPr>
              <w:t>7/19/18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FF"/>
                <w:w w:val="99"/>
              </w:rPr>
            </w:pPr>
            <w:hyperlink r:id="rId14">
              <w:r>
                <w:rPr>
                  <w:rFonts w:ascii="Arial" w:cs="Arial" w:eastAsia="Arial" w:hAnsi="Arial"/>
                  <w:sz w:val="18"/>
                  <w:szCs w:val="18"/>
                  <w:color w:val="0000FF"/>
                  <w:w w:val="99"/>
                </w:rPr>
                <w:t>Amkor Technology Singapore Holding Pte, Ltd., Bank of America,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N.A. and other financial institutions.</w:t>
              </w:r>
            </w:hyperlink>
          </w:p>
        </w:tc>
        <w:tc>
          <w:tcPr>
            <w:tcW w:w="2200" w:type="dxa"/>
            <w:vAlign w:val="bottom"/>
            <w:tcBorders>
              <w:top w:val="single" w:sz="8" w:color="0000FF"/>
            </w:tcBorders>
            <w:gridSpan w:val="6"/>
          </w:tcPr>
          <w:p>
            <w:pPr>
              <w:spacing w:after="0"/>
              <w:rPr>
                <w:sz w:val="17"/>
                <w:szCs w:val="17"/>
                <w:color w:val="auto"/>
              </w:rPr>
            </w:pPr>
          </w:p>
        </w:tc>
        <w:tc>
          <w:tcPr>
            <w:tcW w:w="38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1"/>
                <w:szCs w:val="21"/>
                <w:color w:val="auto"/>
              </w:rPr>
            </w:pPr>
          </w:p>
        </w:tc>
        <w:tc>
          <w:tcPr>
            <w:tcW w:w="4940" w:type="dxa"/>
            <w:vAlign w:val="bottom"/>
            <w:tcBorders>
              <w:bottom w:val="single" w:sz="8" w:color="0000FF"/>
            </w:tcBorders>
            <w:gridSpan w:val="15"/>
          </w:tcPr>
          <w:p>
            <w:pPr>
              <w:spacing w:after="0"/>
              <w:rPr>
                <w:rFonts w:ascii="Arial" w:cs="Arial" w:eastAsia="Arial" w:hAnsi="Arial"/>
                <w:sz w:val="18"/>
                <w:szCs w:val="18"/>
                <w:color w:val="0000FF"/>
                <w:w w:val="89"/>
              </w:rPr>
            </w:pPr>
            <w:hyperlink r:id="rId15">
              <w:r>
                <w:rPr>
                  <w:rFonts w:ascii="Arial" w:cs="Arial" w:eastAsia="Arial" w:hAnsi="Arial"/>
                  <w:sz w:val="18"/>
                  <w:szCs w:val="18"/>
                  <w:color w:val="0000FF"/>
                  <w:w w:val="89"/>
                </w:rPr>
                <w:t>Guaranty and Security Agreement, dated as of July 13, 2018, by and</w:t>
              </w:r>
            </w:hyperlink>
          </w:p>
        </w:tc>
        <w:tc>
          <w:tcPr>
            <w:tcW w:w="280" w:type="dxa"/>
            <w:vAlign w:val="bottom"/>
            <w:gridSpan w:val="7"/>
          </w:tcPr>
          <w:p>
            <w:pPr>
              <w:spacing w:after="0"/>
              <w:rPr>
                <w:sz w:val="21"/>
                <w:szCs w:val="21"/>
                <w:color w:val="auto"/>
              </w:rPr>
            </w:pPr>
          </w:p>
        </w:tc>
        <w:tc>
          <w:tcPr>
            <w:tcW w:w="820" w:type="dxa"/>
            <w:vAlign w:val="bottom"/>
          </w:tcPr>
          <w:p>
            <w:pPr>
              <w:jc w:val="center"/>
              <w:ind w:left="14"/>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10.4</w:t>
            </w:r>
          </w:p>
        </w:tc>
        <w:tc>
          <w:tcPr>
            <w:tcW w:w="2000" w:type="dxa"/>
            <w:vAlign w:val="bottom"/>
          </w:tcPr>
          <w:p>
            <w:pPr>
              <w:jc w:val="right"/>
              <w:ind w:right="953"/>
              <w:spacing w:after="0"/>
              <w:rPr>
                <w:sz w:val="20"/>
                <w:szCs w:val="20"/>
                <w:color w:val="auto"/>
              </w:rPr>
            </w:pPr>
            <w:r>
              <w:rPr>
                <w:rFonts w:ascii="Arial" w:cs="Arial" w:eastAsia="Arial" w:hAnsi="Arial"/>
                <w:sz w:val="18"/>
                <w:szCs w:val="18"/>
                <w:color w:val="auto"/>
              </w:rPr>
              <w:t>7/19/18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among Amkor Technology, Inc., and Bank of America, N.A.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1"/>
                <w:szCs w:val="21"/>
                <w:color w:val="auto"/>
              </w:rPr>
            </w:pPr>
          </w:p>
        </w:tc>
        <w:tc>
          <w:tcPr>
            <w:tcW w:w="480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Stephen D. Kelley, President and Chief Executive</w:t>
              </w:r>
            </w:hyperlink>
          </w:p>
        </w:tc>
        <w:tc>
          <w:tcPr>
            <w:tcW w:w="420" w:type="dxa"/>
            <w:vAlign w:val="bottom"/>
            <w:gridSpan w:val="12"/>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FF"/>
                <w:w w:val="95"/>
              </w:rPr>
            </w:pPr>
            <w:hyperlink w:anchor="page50">
              <w:r>
                <w:rPr>
                  <w:rFonts w:ascii="Arial" w:cs="Arial" w:eastAsia="Arial" w:hAnsi="Arial"/>
                  <w:sz w:val="18"/>
                  <w:szCs w:val="18"/>
                  <w:color w:val="0000FF"/>
                  <w:w w:val="95"/>
                </w:rPr>
                <w:t>Officer of Amkor Technology, Inc., pursuant to Rule 13a-14(a) under</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tcBorders>
              <w:top w:val="single" w:sz="8" w:color="0000FF"/>
            </w:tcBorders>
            <w:gridSpan w:val="16"/>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the Securities Exchange Act of 1934, as adopted pursuant to Section</w:t>
              </w:r>
            </w:hyperlink>
          </w:p>
        </w:tc>
        <w:tc>
          <w:tcPr>
            <w:tcW w:w="2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302 of the Sarbanes-Oxley Act of 2002.</w:t>
              </w:r>
            </w:hyperlink>
          </w:p>
        </w:tc>
        <w:tc>
          <w:tcPr>
            <w:tcW w:w="2040" w:type="dxa"/>
            <w:vAlign w:val="bottom"/>
            <w:tcBorders>
              <w:top w:val="single" w:sz="8" w:color="0000FF"/>
            </w:tcBorders>
            <w:gridSpan w:val="8"/>
          </w:tcPr>
          <w:p>
            <w:pPr>
              <w:spacing w:after="0"/>
              <w:rPr>
                <w:sz w:val="17"/>
                <w:szCs w:val="17"/>
                <w:color w:val="auto"/>
              </w:rPr>
            </w:pPr>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1"/>
                <w:szCs w:val="21"/>
                <w:color w:val="auto"/>
              </w:rPr>
            </w:pPr>
          </w:p>
        </w:tc>
        <w:tc>
          <w:tcPr>
            <w:tcW w:w="5220" w:type="dxa"/>
            <w:vAlign w:val="bottom"/>
            <w:gridSpan w:val="2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Megan Faust, Corporate Vice President and Chief</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Financial Officer of Amkor Technology, Inc., pursuant to Rule 13a-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FF"/>
                <w:w w:val="92"/>
              </w:rPr>
            </w:pPr>
            <w:hyperlink w:anchor="page51">
              <w:r>
                <w:rPr>
                  <w:rFonts w:ascii="Arial" w:cs="Arial" w:eastAsia="Arial" w:hAnsi="Arial"/>
                  <w:sz w:val="18"/>
                  <w:szCs w:val="18"/>
                  <w:color w:val="0000FF"/>
                  <w:w w:val="92"/>
                </w:rPr>
                <w:t>14(a) under the Securities Exchange Act of 1934, as adopted pursuant</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to Section 302 of the Sarbanes-Oxley Act of 2002.</w:t>
              </w:r>
            </w:hyperlink>
          </w:p>
        </w:tc>
        <w:tc>
          <w:tcPr>
            <w:tcW w:w="20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1"/>
                <w:szCs w:val="21"/>
                <w:color w:val="auto"/>
              </w:rPr>
            </w:pPr>
          </w:p>
        </w:tc>
        <w:tc>
          <w:tcPr>
            <w:tcW w:w="490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of Chief Executive Officer and Chief Financial Officer</w:t>
              </w:r>
            </w:hyperlink>
          </w:p>
        </w:tc>
        <w:tc>
          <w:tcPr>
            <w:tcW w:w="320" w:type="dxa"/>
            <w:vAlign w:val="bottom"/>
            <w:gridSpan w:val="9"/>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pursuant to 18 U.S.C. Section 1350, as adopted pursuant to Section 906</w:t>
              </w:r>
            </w:hyperlink>
          </w:p>
        </w:tc>
        <w:tc>
          <w:tcPr>
            <w:tcW w:w="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of the Sarbanes-Oxley Act of 2002.</w:t>
              </w:r>
            </w:hyperlink>
          </w:p>
        </w:tc>
        <w:tc>
          <w:tcPr>
            <w:tcW w:w="266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40" w:type="dxa"/>
            <w:vAlign w:val="bottom"/>
          </w:tcPr>
          <w:p>
            <w:pPr>
              <w:ind w:left="4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3"/>
                <w:szCs w:val="23"/>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3"/>
                <w:szCs w:val="23"/>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3"/>
                <w:szCs w:val="23"/>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3"/>
                <w:szCs w:val="23"/>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3"/>
                <w:szCs w:val="23"/>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918"/>
        </w:trPr>
        <w:tc>
          <w:tcPr>
            <w:tcW w:w="840" w:type="dxa"/>
            <w:vAlign w:val="bottom"/>
          </w:tcPr>
          <w:p>
            <w:pPr>
              <w:spacing w:after="0"/>
              <w:rPr>
                <w:sz w:val="24"/>
                <w:szCs w:val="24"/>
                <w:color w:val="auto"/>
              </w:rPr>
            </w:pPr>
          </w:p>
        </w:tc>
        <w:tc>
          <w:tcPr>
            <w:tcW w:w="5080" w:type="dxa"/>
            <w:vAlign w:val="bottom"/>
            <w:gridSpan w:val="10"/>
          </w:tcPr>
          <w:p>
            <w:pPr>
              <w:jc w:val="right"/>
              <w:ind w:right="40"/>
              <w:spacing w:after="0"/>
              <w:rPr>
                <w:sz w:val="20"/>
                <w:szCs w:val="20"/>
                <w:color w:val="auto"/>
              </w:rPr>
            </w:pPr>
            <w:r>
              <w:rPr>
                <w:rFonts w:ascii="Arial" w:cs="Arial" w:eastAsia="Arial" w:hAnsi="Arial"/>
                <w:sz w:val="18"/>
                <w:szCs w:val="18"/>
                <w:color w:val="auto"/>
              </w:rPr>
              <w:t>- 47-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w:t>
      </w:r>
    </w:p>
    <w:p>
      <w:pPr>
        <w:sectPr>
          <w:pgSz w:w="11900" w:h="16838" w:orient="portrait"/>
          <w:cols w:equalWidth="0" w:num="1">
            <w:col w:w="11400"/>
          </w:cols>
          <w:pgMar w:left="240" w:top="121"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ectPr>
          <w:pgSz w:w="11900" w:h="16838" w:orient="portrait"/>
          <w:cols w:equalWidth="0" w:num="1">
            <w:col w:w="11420"/>
          </w:cols>
          <w:pgMar w:left="240" w:top="66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2018,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2018,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endash "/>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lvl w:ilvl="1">
      <w:lvlJc w:val="left"/>
      <w:lvlText w:val="-"/>
      <w:numFmt w:val="bullet"/>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1"/>
    </w:lvl>
    <w:lvl w:ilvl="1">
      <w:lvlJc w:val="left"/>
      <w:lvlText w:val="-"/>
      <w:numFmt w:val="bullet"/>
      <w:start w:val="1"/>
    </w:lvl>
  </w:abstractNum>
  <w:abstractNum w:abstractNumId="9">
    <w:nsid w:val="3F2DBA31"/>
    <w:multiLevelType w:val="hybridMultilevel"/>
    <w:lvl w:ilvl="0">
      <w:lvlJc w:val="left"/>
      <w:lvlText w:val="(%1)"/>
      <w:numFmt w:val="decimal"/>
      <w:start w:val="3"/>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lvl w:ilvl="1">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Archives/edgar/data/1047127/000119312518220776/d551484dex101.htm" TargetMode="External"/><Relationship Id="rId13" Type="http://schemas.openxmlformats.org/officeDocument/2006/relationships/hyperlink" Target="http://www.sec.gov/Archives/edgar/data/1047127/000119312518220776/d551484dex102.htm" TargetMode="External"/><Relationship Id="rId14" Type="http://schemas.openxmlformats.org/officeDocument/2006/relationships/hyperlink" Target="http://www.sec.gov/Archives/edgar/data/1047127/000119312518220776/d551484dex103.htm" TargetMode="External"/><Relationship Id="rId15" Type="http://schemas.openxmlformats.org/officeDocument/2006/relationships/hyperlink" Target="http://www.sec.gov/Archives/edgar/data/1047127/000119312518220776/d551484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2019-12-28T18:42:31Z</dcterms:created>
  <dcterms:modified xsi:type="dcterms:W3CDTF">2019-12-28T18:42:31Z</dcterms:modified>
</cp:coreProperties>
</file>