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July 27,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AMKOR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62" w:type="dxa"/>
        <w:jc w:val="left"/>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000-29472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23-1722724</w:t>
            </w:r>
          </w:p>
        </w:tc>
      </w:tr>
      <w:tr>
        <w:trPr/>
        <w:tc>
          <w:tcPr>
            <w:tcW w:w="3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2045 EAST INNOVATION CIRCLE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TEMPE, AZ 85284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(480) 821-5000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6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352" w:type="dxa"/>
        <w:jc w:val="center"/>
        <w:tblInd w:w="0" w:type="dxa"/>
        <w:tblLayout w:type="fixed"/>
        <w:tblCellMar>
          <w:top w:w="28" w:type="dxa"/>
          <w:left w:w="28" w:type="dxa"/>
          <w:bottom w:w="28" w:type="dxa"/>
          <w:right w:w="28" w:type="dxa"/>
        </w:tblCellMar>
      </w:tblPr>
      <w:tblGrid>
        <w:gridCol w:w="1028"/>
        <w:gridCol w:w="898"/>
        <w:gridCol w:w="908"/>
        <w:gridCol w:w="499"/>
        <w:gridCol w:w="499"/>
        <w:gridCol w:w="501"/>
        <w:gridCol w:w="1174"/>
        <w:gridCol w:w="1174"/>
        <w:gridCol w:w="1671"/>
      </w:tblGrid>
      <w:tr>
        <w:trPr/>
        <w:tc>
          <w:tcPr>
            <w:tcW w:w="10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AMKR</w:t>
            </w:r>
          </w:p>
        </w:tc>
        <w:tc>
          <w:tcPr>
            <w:tcW w:w="4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Amkor Technology, Inc. announced in a press release its financial performance for the three and six months ended June 30, 2026. 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amkr6302026er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mkr6302026erex-991.htm">
              <w:r>
                <w:rPr>
                  <w:rStyle w:val="InternetLink"/>
                  <w:rFonts w:ascii="Times New Roman;serif" w:hAnsi="Times New Roman;serif"/>
                  <w:b w:val="false"/>
                  <w:color w:val="000080"/>
                  <w:sz w:val="20"/>
                  <w:u w:val="single"/>
                </w:rPr>
                <w:t xml:space="preserve">Press Release dated </w:t>
              </w:r>
            </w:hyperlink>
            <w:hyperlink w:anchor="amkr6302026erex-991.htm">
              <w:r>
                <w:rPr>
                  <w:rStyle w:val="InternetLink"/>
                  <w:rFonts w:ascii="Times New Roman;serif" w:hAnsi="Times New Roman;serif"/>
                  <w:b w:val="false"/>
                  <w:color w:val="000080"/>
                  <w:sz w:val="20"/>
                  <w:u w:val="single"/>
                </w:rPr>
                <w:t>July</w:t>
              </w:r>
            </w:hyperlink>
            <w:hyperlink w:anchor="amkr6302026erex-991.htm">
              <w:r>
                <w:rPr>
                  <w:rStyle w:val="InternetLink"/>
                  <w:rFonts w:ascii="Times New Roman;serif" w:hAnsi="Times New Roman;serif"/>
                  <w:b w:val="false"/>
                  <w:color w:val="000080"/>
                  <w:sz w:val="20"/>
                  <w:u w:val="single"/>
                </w:rPr>
                <w:t xml:space="preserve"> 27, 2026, which is furnished (not filed)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875" w:type="dxa"/>
        <w:jc w:val="left"/>
        <w:tblInd w:w="0" w:type="dxa"/>
        <w:tblLayout w:type="fixed"/>
        <w:tblCellMar>
          <w:top w:w="28" w:type="dxa"/>
          <w:left w:w="28" w:type="dxa"/>
          <w:bottom w:w="28" w:type="dxa"/>
          <w:right w:w="28" w:type="dxa"/>
        </w:tblCellMar>
      </w:tblPr>
      <w:tblGrid>
        <w:gridCol w:w="124"/>
        <w:gridCol w:w="109"/>
        <w:gridCol w:w="109"/>
        <w:gridCol w:w="309"/>
        <w:gridCol w:w="309"/>
        <w:gridCol w:w="309"/>
        <w:gridCol w:w="869"/>
        <w:gridCol w:w="869"/>
        <w:gridCol w:w="869"/>
        <w:gridCol w:w="869"/>
        <w:gridCol w:w="869"/>
        <w:gridCol w:w="88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AMKOR 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Faust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Megan Faust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27,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color w:val="000000"/>
        </w:rPr>
      </w:pP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742950" cy="2762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742950" cy="276225"/>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Amkor Technology Reports Financial Results for the Second Quarter 2026</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TEMPE, Ariz. -- July 27, 2026 -- Amkor Technology, Inc. (Nasdaq: AMKR), a leading provider of semiconductor packaging and test services, today announced financial results for the second quarter ended June 30, 2026.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Record Second Quarter 2026 Highlights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sales $1.90 billion, up 26% year-on-year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Gross profit $319 million, operating income $200 million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w:t>
      </w:r>
      <w:r>
        <w:rPr>
          <w:rFonts w:ascii="Arial;sans-serif" w:hAnsi="Arial;sans-serif"/>
          <w:b w:val="false"/>
          <w:color w:val="000000"/>
          <w:sz w:val="20"/>
          <w:shd w:fill="FFFFFF" w:val="clear"/>
        </w:rPr>
        <w:t xml:space="preserve">come $174 million, earnings per diluted share </w:t>
      </w:r>
      <w:r>
        <w:rPr>
          <w:rFonts w:ascii="Arial;sans-serif" w:hAnsi="Arial;sans-serif"/>
          <w:b w:val="false"/>
          <w:color w:val="000000"/>
          <w:sz w:val="20"/>
        </w:rPr>
        <w:t>$0.70</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 xml:space="preserve">EBITDA </w:t>
      </w:r>
      <w:r>
        <w:rPr>
          <w:rFonts w:ascii="Arial;sans-serif" w:hAnsi="Arial;sans-serif"/>
          <w:b w:val="false"/>
          <w:color w:val="000000"/>
          <w:sz w:val="20"/>
        </w:rPr>
        <w:t xml:space="preserve">$400 </w:t>
      </w:r>
      <w:r>
        <w:rPr>
          <w:rFonts w:ascii="Arial;sans-serif" w:hAnsi="Arial;sans-serif"/>
          <w:b w:val="false"/>
          <w:color w:val="000000"/>
          <w:sz w:val="20"/>
          <w:shd w:fill="FFFFFF" w:val="clear"/>
        </w:rPr>
        <w:t>million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Amkor delivered record second quarter revenue and strong profitability, with record revenue in our Computing and Automotive &amp; Industrial end markets," said Kevin Engel, president and chief executive officer. "During the first half of 2026, we expanded strategic partnerships across the semiconductor ecosystem, advanced key customer programs in AI and HPC, and continued the expansion of our Advanced packaging and test capacity. We expect these actions will strengthen our competitive position, increase our earnings power, and create sustainable shareholder value.”</w:t>
      </w:r>
    </w:p>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Quarterly Financial Results</w:t>
      </w:r>
    </w:p>
    <w:tbl>
      <w:tblPr>
        <w:tblW w:w="7114" w:type="dxa"/>
        <w:jc w:val="left"/>
        <w:tblInd w:w="0" w:type="dxa"/>
        <w:tblLayout w:type="fixed"/>
        <w:tblCellMar>
          <w:top w:w="28" w:type="dxa"/>
          <w:left w:w="28" w:type="dxa"/>
          <w:bottom w:w="28" w:type="dxa"/>
          <w:right w:w="28" w:type="dxa"/>
        </w:tblCellMar>
      </w:tblPr>
      <w:tblGrid>
        <w:gridCol w:w="1187"/>
        <w:gridCol w:w="1047"/>
        <w:gridCol w:w="1051"/>
        <w:gridCol w:w="109"/>
        <w:gridCol w:w="109"/>
        <w:gridCol w:w="109"/>
        <w:gridCol w:w="279"/>
        <w:gridCol w:w="279"/>
        <w:gridCol w:w="281"/>
        <w:gridCol w:w="109"/>
        <w:gridCol w:w="109"/>
        <w:gridCol w:w="109"/>
        <w:gridCol w:w="279"/>
        <w:gridCol w:w="279"/>
        <w:gridCol w:w="281"/>
        <w:gridCol w:w="109"/>
        <w:gridCol w:w="109"/>
        <w:gridCol w:w="109"/>
        <w:gridCol w:w="342"/>
        <w:gridCol w:w="342"/>
        <w:gridCol w:w="486"/>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in millions, except per share data)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 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2025 (2)</w:t>
            </w:r>
          </w:p>
        </w:tc>
      </w:tr>
      <w:tr>
        <w:trPr/>
        <w:tc>
          <w:tcPr>
            <w:tcW w:w="3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$1,511</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6.1%</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Amkor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$54</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diluted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$0.22</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$259</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EBITDA is a non-GAAP measure. The reconciliation to the comparable GAAP measure is included below under “Selected Operating Data.”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(2) During the three months ended June 30, 2025, our results include a $32 million net benefit to operating income and EBITDA due to a contingency payment related to our acquisition of Nanium in May 2017. Net income and earnings per diluted share also include a $16 million and $0.07 benefit, respectively.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At June 30, 2026, total cash and short-term investments was $2.5 billion, and total debt was $2.5 billion.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company paid a quarterly dividend of $0.08352 per share on June 23, 2026. The declaration and payment of future dividends, as well as any record and payment dates, are subject to the approval of the Board of Directors. </w:t>
      </w:r>
    </w:p>
    <w:p>
      <w:pPr>
        <w:pStyle w:val="TextBody"/>
        <w:bidi w:val="0"/>
        <w:jc w:val="both"/>
        <w:rPr/>
      </w:pPr>
      <w:r>
        <w:rPr/>
      </w:r>
    </w:p>
    <w:p>
      <w:pPr>
        <w:pStyle w:val="TextBody"/>
        <w:bidi w:val="0"/>
        <w:spacing w:lineRule="auto" w:line="417" w:before="0" w:after="0"/>
        <w:jc w:val="right"/>
        <w:rPr>
          <w:color w:val="000000"/>
        </w:rPr>
      </w:pPr>
      <w:r>
        <w:rPr>
          <w:color w:val="000000"/>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0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Business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information presents Amkor’s guidance for the third quarter 2026 (unless otherwise noted):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Net sales of $1.95 billion to $2.05 billion</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Gross margin of 18.5% to 19.5%</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Net income of $180 million to $205 million, or $0.72 to $0.82 per diluted share</w:t>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0"/>
          <w:shd w:fill="FFFFFF" w:val="clear"/>
        </w:rPr>
        <w:t>Full year 2026 capital expenditures of approximately $2.5 billion to $3.0 billion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Amkor will conduct a conference call on Monday, July 27, 2026, at 5:00 p.m. Eastern Time. This call may include material information not included in this press release. To access the live audio webcast and the accompanying slide presentation, visit the Investor Relations section of Amkor’s website, located at ir.amkor.com. The live call can also be accessed by dialing 1-877-407-4019 or 1-201-689-8337.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Amkor Technology, Inc.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Amkor Technology, Inc. (Nasdaq: AMKR) is the world’s largest U.S. headquartered OSAT and is a global leader in outsourced semiconductor packaging and test services. With a strong track record of innovation, a broad and diverse geographic footprint and solid partnerships with lead customers, Amkor delivers high-quality solutions that enable the world’s leading semiconductor and electronics companies to bring advanced technologies to market. The company’s comprehensive portfolio includes advanced packaging, wafer-level processing, and system-in-package solutions targeting applications for smartphones, data centers, artificial intelligence, automobiles and wearables. For more information visit amkor.com.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Jennifer Jue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Vice President, 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480-786-7594</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jennifer.jue@amkor.com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Kris Pugsley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Vice President, Marketing Communications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480-786-7499</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kris.pugsley@amkor.com</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AMKOR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Selected Operating Data</w:t>
      </w:r>
    </w:p>
    <w:tbl>
      <w:tblPr>
        <w:tblW w:w="10205" w:type="dxa"/>
        <w:jc w:val="center"/>
        <w:tblInd w:w="0" w:type="dxa"/>
        <w:tblLayout w:type="fixed"/>
        <w:tblCellMar>
          <w:top w:w="28" w:type="dxa"/>
          <w:left w:w="28" w:type="dxa"/>
          <w:bottom w:w="28" w:type="dxa"/>
          <w:right w:w="28" w:type="dxa"/>
        </w:tblCellMar>
      </w:tblPr>
      <w:tblGrid>
        <w:gridCol w:w="2259"/>
        <w:gridCol w:w="1907"/>
        <w:gridCol w:w="1909"/>
        <w:gridCol w:w="211"/>
        <w:gridCol w:w="646"/>
        <w:gridCol w:w="286"/>
        <w:gridCol w:w="109"/>
        <w:gridCol w:w="109"/>
        <w:gridCol w:w="109"/>
        <w:gridCol w:w="211"/>
        <w:gridCol w:w="646"/>
        <w:gridCol w:w="286"/>
        <w:gridCol w:w="109"/>
        <w:gridCol w:w="109"/>
        <w:gridCol w:w="109"/>
        <w:gridCol w:w="211"/>
        <w:gridCol w:w="646"/>
        <w:gridCol w:w="333"/>
      </w:tblGrid>
      <w:tr>
        <w:trPr/>
        <w:tc>
          <w:tcPr>
            <w:tcW w:w="225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2025</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Sales Data:</w:t>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 (in millions):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Advanced products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Mainstream products (2)</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Packaging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 from top ten customers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End Market Distribution Data: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Communications (smartphones, tablets)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Computing (data center, infrastructure, PC/laptop, storage)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Automotive, industrial and other (ADAS, electrification, infotainment, safety)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(AR &amp; gaming, connected home, home electronics, wearables)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 Data:</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manufacturing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8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 Advanced products include flip chip, memory and wafer-level processing and related test services.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 Mainstream products include all other wirebond packaging and related test services.</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AMKOR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Selected Operating Data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tbl>
      <w:tblPr>
        <w:tblW w:w="7537" w:type="dxa"/>
        <w:jc w:val="center"/>
        <w:tblInd w:w="0" w:type="dxa"/>
        <w:tblLayout w:type="fixed"/>
        <w:tblCellMar>
          <w:top w:w="28" w:type="dxa"/>
          <w:left w:w="28" w:type="dxa"/>
          <w:bottom w:w="28" w:type="dxa"/>
          <w:right w:w="28" w:type="dxa"/>
        </w:tblCellMar>
      </w:tblPr>
      <w:tblGrid>
        <w:gridCol w:w="1563"/>
        <w:gridCol w:w="1377"/>
        <w:gridCol w:w="1379"/>
        <w:gridCol w:w="221"/>
        <w:gridCol w:w="505"/>
        <w:gridCol w:w="114"/>
        <w:gridCol w:w="109"/>
        <w:gridCol w:w="109"/>
        <w:gridCol w:w="109"/>
        <w:gridCol w:w="221"/>
        <w:gridCol w:w="505"/>
        <w:gridCol w:w="114"/>
        <w:gridCol w:w="109"/>
        <w:gridCol w:w="109"/>
        <w:gridCol w:w="109"/>
        <w:gridCol w:w="220"/>
        <w:gridCol w:w="503"/>
        <w:gridCol w:w="161"/>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 Reconciliation:</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millions)</w:t>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2025</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Data:</w:t>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Interest expense</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Income tax expense</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Depreciation &amp; amortization</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AMKOR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67"/>
        <w:gridCol w:w="961"/>
        <w:gridCol w:w="971"/>
        <w:gridCol w:w="233"/>
        <w:gridCol w:w="1129"/>
        <w:gridCol w:w="120"/>
        <w:gridCol w:w="120"/>
        <w:gridCol w:w="120"/>
        <w:gridCol w:w="120"/>
        <w:gridCol w:w="233"/>
        <w:gridCol w:w="1129"/>
        <w:gridCol w:w="120"/>
        <w:gridCol w:w="109"/>
        <w:gridCol w:w="109"/>
        <w:gridCol w:w="109"/>
        <w:gridCol w:w="224"/>
        <w:gridCol w:w="1086"/>
        <w:gridCol w:w="116"/>
        <w:gridCol w:w="116"/>
        <w:gridCol w:w="116"/>
        <w:gridCol w:w="116"/>
        <w:gridCol w:w="224"/>
        <w:gridCol w:w="1086"/>
        <w:gridCol w:w="171"/>
      </w:tblGrid>
      <w:tr>
        <w:trPr/>
        <w:tc>
          <w:tcPr>
            <w:tcW w:w="136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70"/>
              <w:jc w:val="center"/>
              <w:rPr>
                <w:rFonts w:ascii="Arial;sans-serif" w:hAnsi="Arial;sans-serif"/>
                <w:b/>
                <w:color w:val="000000"/>
                <w:sz w:val="20"/>
              </w:rPr>
            </w:pPr>
            <w:r>
              <w:rPr>
                <w:rFonts w:ascii="Arial;sans-serif" w:hAnsi="Arial;sans-serif"/>
                <w:b/>
                <w:color w:val="000000"/>
                <w:sz w:val="20"/>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1,897,965 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1,511,392 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3,582,666 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2,832,967 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1,579,375 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1,329,495 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3,025,044 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2,493,487 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318,590 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181,897 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557,622 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339,480 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78,904 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47,922 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175,891 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118,736 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89,930 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257,481 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215,990 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199,854 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91,967 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300,141 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123,490 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(19,132)</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14,487 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203,175 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83,214 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299,483 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109,003 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174,869 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55,052 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76,905 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Amkor</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173,753 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257,104 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75,545 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Amkor per common share:</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0.70 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1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computing per common share amounts: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247,912 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246,973 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249,978 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AMKOR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left"/>
        <w:rPr/>
      </w:pPr>
      <w:r>
        <w:rPr/>
      </w:r>
    </w:p>
    <w:tbl>
      <w:tblPr>
        <w:tblW w:w="8816" w:type="dxa"/>
        <w:jc w:val="center"/>
        <w:tblInd w:w="0" w:type="dxa"/>
        <w:tblLayout w:type="fixed"/>
        <w:tblCellMar>
          <w:top w:w="28" w:type="dxa"/>
          <w:left w:w="28" w:type="dxa"/>
          <w:bottom w:w="28" w:type="dxa"/>
          <w:right w:w="28" w:type="dxa"/>
        </w:tblCellMar>
      </w:tblPr>
      <w:tblGrid>
        <w:gridCol w:w="1895"/>
        <w:gridCol w:w="1665"/>
        <w:gridCol w:w="1674"/>
        <w:gridCol w:w="214"/>
        <w:gridCol w:w="1040"/>
        <w:gridCol w:w="111"/>
        <w:gridCol w:w="109"/>
        <w:gridCol w:w="109"/>
        <w:gridCol w:w="109"/>
        <w:gridCol w:w="287"/>
        <w:gridCol w:w="1393"/>
        <w:gridCol w:w="210"/>
      </w:tblGrid>
      <w:tr>
        <w:trPr/>
        <w:tc>
          <w:tcPr>
            <w:tcW w:w="189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881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1,551,890 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1,378,347 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960,272 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613,038 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 of allowances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1,420,353 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1,354,825 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437,797 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4,608,629 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3,884,761 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4,478,951 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3,870,808 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xml:space="preserve">Operating lease right of use assets </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93,449 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67,776 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9,716,114 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8,136,309 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1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EQUITY</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portion of long-term debt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payable</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880,686 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912,766 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 payable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621,326 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operating lease liability</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370,093 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2,122,850 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1,711,972 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2,334,950 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1,282,816 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severance obligations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69,218 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464,416 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517,467 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5,029,286 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3,630,022 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2,025,469 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2,054,051 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2,842,719 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2,627,038 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income (loss)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16,833 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(233,178)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(227,110)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Amkor stockholders’ equity</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4,650,412 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4,471,106 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subsidiaries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4,686,828 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4,506,287 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9,716,114 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8,136,309 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AMKOR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84"/>
        <w:gridCol w:w="2157"/>
        <w:gridCol w:w="2173"/>
        <w:gridCol w:w="234"/>
        <w:gridCol w:w="1133"/>
        <w:gridCol w:w="120"/>
        <w:gridCol w:w="120"/>
        <w:gridCol w:w="120"/>
        <w:gridCol w:w="120"/>
        <w:gridCol w:w="234"/>
        <w:gridCol w:w="1133"/>
        <w:gridCol w:w="177"/>
      </w:tblGrid>
      <w:tr>
        <w:trPr/>
        <w:tc>
          <w:tcPr>
            <w:tcW w:w="248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Six Months Ended June 30,</w:t>
            </w:r>
          </w:p>
        </w:tc>
      </w:tr>
      <w:tr>
        <w:trPr/>
        <w:tc>
          <w:tcPr>
            <w:tcW w:w="6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312,663 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 and non-cash items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(108,268)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381,573 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282,612 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property, plant and equipment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(688,425)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(226,086)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property, plant and equipment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foreign exchange forward contracts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foreign exchange forward contracts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short-term investments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short-term investments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short-term investments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243,651 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256,266 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(1,007,710)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(205,797)</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4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long-term debt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long-term debt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(112,163)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debt issuance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for capped call transactions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finance lease obligations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dividends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(40,860)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922,193 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308,220 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fluctuations on cash, cash equivalents and restricted cash</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294,222 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393,827 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1,446,123 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1,134,312 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1,740,345 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1,528,139 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 Disclaimer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This press release contains forward-looking statements within the meaning of the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press release are made based on our current expectations, forecasts, estimates and assumptions.</w:t>
      </w:r>
      <w:r>
        <w:rPr>
          <w:color w:val="000000"/>
        </w:rPr>
        <w:t xml:space="preserve"> </w:t>
      </w:r>
      <w:r>
        <w:rPr>
          <w:rFonts w:ascii="Arial;sans-serif" w:hAnsi="Arial;sans-serif"/>
          <w:b w:val="false"/>
          <w:color w:val="000000"/>
          <w:sz w:val="20"/>
        </w:rPr>
        <w:t>We assume no obligation to review or update any forward-looking statements to reflect events or circumstances occurring after the date of this press release, except as may be required by applicable law. Because such statements include risks and uncertainties, actual results may differ materially from those anticipated in such forward-looking statements as a result of various factors, including, but not limited to, the following:</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dependence on the cyclical and volatile semiconductor industry and vulnerability to industry downturns and declines in global economic and financial conditions;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costs, quality, availability and delivery times of raw materials, components and equipment;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fluctuations in operating results and cash flows;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competition with established competitors in the packaging and test business, the internal capabilities of integrated device manufacturers and other competitors, including foundries and contract manufacturers;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substantial investments in equipment and facilities to support the demand of our customers;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warranty claims, product return and liability risks, and the risk of negative publicity if our products fail, as well as the risk of litigation incident to our business;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difficulty achieving the relatively high-capacity utilization rates necessary to realize satisfactory gross margins given our high percentage of fixed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absence of backlog and the short-term nature of our customers’ commitments;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historical downward pressure on the prices of our packaging and test services;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fluctuations in our manufacturing yields;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downturn or lower sales to customers in the automotive industry;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dependence on key customers or concentration of customers in certain end markets, such as mobile communications and automotive;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difficulty funding our liquidity needs;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challenges with integrating diverse operations;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dependence on international factories and operations, and risks relating to trade restrictions and regional conflict, including restrictive trade barriers, export controls, tariffs, customs and duties;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ability to develop new proprietary technology, protect our proprietary technology, operate without infringing the proprietary rights of others and implement new technologies;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continuing development and implementation of changes to, and maintenance and security of, our information technology systems;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restrictive covenants in the indentures and agreements governing our current and future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substantial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terms of our convertible notes could delay or prevent an otherwise beneficial takeover of us, may dilute the ownership interest of existing stockholders or may otherwise adversely affect the price of our common stock;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capped call transactions entered into in connection with the issuance of our convertible notes subject us to counterparty risk;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effect of interest rate increases on our variable rate indebtedness;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fluctuations in interest rates and changes in credit risk;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ability of certain of our stockholders to effectively determine or substantially influence the outcome of matters requiring stockholder approval;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possibility that we may decrease or suspend our quarterly dividend;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difficulty attracting, retaining or replacing qualified personnel;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maintaining an effective system of internal controls;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environmental, health and safety liabilities and expenditures;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conditions and obligations in connection with the receipt of government awards and incentives;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natural disasters and other calamities, health conditions or pandemics, political instability, hostilities or other disruptions.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Other important risk factors that could affect the outcome of the events set forth in these statements and that could affect our operating results and financial condition are discussed in the company’s Annual Report on Form 10-K for the year ended December 31, 2025 (the “Form 10-K”) and from time to time in our other reports filed with or furnished to the Securities and Exchange Commission (“SEC”). You should carefully consider the trends, risks and uncertainties described in this press release, the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press release except as may be required by applicable law. </w:t>
      </w:r>
    </w:p>
    <w:p>
      <w:pPr>
        <w:pStyle w:val="TextBody"/>
        <w:bidi w:val="0"/>
        <w:spacing w:before="180" w:after="283"/>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3018</Words>
  <Characters>17462</Characters>
  <CharactersWithSpaces>20176</CharactersWithSpaces>
  <Paragraphs>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