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840" w:type="dxa"/>
            <w:vAlign w:val="bottom"/>
          </w:tcPr>
          <w:p>
            <w:pPr>
              <w:jc w:val="center"/>
              <w:ind w:left="666"/>
              <w:spacing w:after="0"/>
              <w:rPr>
                <w:sz w:val="20"/>
                <w:szCs w:val="20"/>
                <w:color w:val="auto"/>
              </w:rPr>
            </w:pPr>
            <w:r>
              <w:rPr>
                <w:rFonts w:ascii="Arial" w:cs="Arial" w:eastAsia="Arial" w:hAnsi="Arial"/>
                <w:sz w:val="20"/>
                <w:szCs w:val="20"/>
                <w:b w:val="1"/>
                <w:bCs w:val="1"/>
                <w:color w:val="auto"/>
                <w:w w:val="98"/>
              </w:rPr>
              <w:t>UNITED STATES</w:t>
            </w:r>
          </w:p>
        </w:tc>
        <w:tc>
          <w:tcPr>
            <w:tcW w:w="11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960" w:type="dxa"/>
            <w:vAlign w:val="bottom"/>
            <w:gridSpan w:val="2"/>
          </w:tcPr>
          <w:p>
            <w:pPr>
              <w:jc w:val="center"/>
              <w:ind w:right="259"/>
              <w:spacing w:after="0"/>
              <w:rPr>
                <w:sz w:val="20"/>
                <w:szCs w:val="20"/>
                <w:color w:val="auto"/>
              </w:rPr>
            </w:pPr>
            <w:r>
              <w:rPr>
                <w:rFonts w:ascii="Arial" w:cs="Arial" w:eastAsia="Arial" w:hAnsi="Arial"/>
                <w:sz w:val="20"/>
                <w:szCs w:val="20"/>
                <w:b w:val="1"/>
                <w:bCs w:val="1"/>
                <w:color w:val="auto"/>
              </w:rPr>
              <w:t>SECURITIES AND EXCHANGE COMMISSION</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840" w:type="dxa"/>
            <w:vAlign w:val="bottom"/>
          </w:tcPr>
          <w:p>
            <w:pPr>
              <w:jc w:val="center"/>
              <w:ind w:left="666"/>
              <w:spacing w:after="0"/>
              <w:rPr>
                <w:sz w:val="20"/>
                <w:szCs w:val="20"/>
                <w:color w:val="auto"/>
              </w:rPr>
            </w:pPr>
            <w:r>
              <w:rPr>
                <w:rFonts w:ascii="Arial" w:cs="Arial" w:eastAsia="Arial" w:hAnsi="Arial"/>
                <w:sz w:val="20"/>
                <w:szCs w:val="20"/>
                <w:b w:val="1"/>
                <w:bCs w:val="1"/>
                <w:color w:val="auto"/>
                <w:w w:val="89"/>
              </w:rPr>
              <w:t>Washington, D.C. 20549</w:t>
            </w:r>
          </w:p>
        </w:tc>
        <w:tc>
          <w:tcPr>
            <w:tcW w:w="11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840" w:type="dxa"/>
            <w:vAlign w:val="bottom"/>
          </w:tcPr>
          <w:p>
            <w:pPr>
              <w:jc w:val="center"/>
              <w:ind w:left="666"/>
              <w:spacing w:after="0"/>
              <w:rPr>
                <w:sz w:val="20"/>
                <w:szCs w:val="20"/>
                <w:color w:val="auto"/>
              </w:rPr>
            </w:pPr>
            <w:r>
              <w:rPr>
                <w:rFonts w:ascii="Arial" w:cs="Arial" w:eastAsia="Arial" w:hAnsi="Arial"/>
                <w:sz w:val="25"/>
                <w:szCs w:val="25"/>
                <w:b w:val="1"/>
                <w:bCs w:val="1"/>
                <w:color w:val="auto"/>
                <w:w w:val="97"/>
              </w:rPr>
              <w:t>Form 10-K</w:t>
            </w:r>
          </w:p>
        </w:tc>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0" w:type="dxa"/>
            <w:vAlign w:val="bottom"/>
          </w:tcPr>
          <w:p>
            <w:pPr>
              <w:spacing w:after="0"/>
              <w:rPr>
                <w:sz w:val="24"/>
                <w:szCs w:val="24"/>
                <w:color w:val="auto"/>
              </w:rPr>
            </w:pPr>
          </w:p>
        </w:tc>
        <w:tc>
          <w:tcPr>
            <w:tcW w:w="8220" w:type="dxa"/>
            <w:vAlign w:val="bottom"/>
            <w:gridSpan w:val="3"/>
          </w:tcPr>
          <w:p>
            <w:pPr>
              <w:jc w:val="center"/>
              <w:ind w:left="2815"/>
              <w:spacing w:after="0"/>
              <w:rPr>
                <w:sz w:val="20"/>
                <w:szCs w:val="20"/>
                <w:color w:val="auto"/>
              </w:rPr>
            </w:pPr>
            <w:r>
              <w:rPr>
                <w:rFonts w:ascii="Arial" w:cs="Arial" w:eastAsia="Arial" w:hAnsi="Arial"/>
                <w:sz w:val="20"/>
                <w:szCs w:val="20"/>
                <w:b w:val="1"/>
                <w:bCs w:val="1"/>
                <w:color w:val="auto"/>
                <w:w w:val="97"/>
              </w:rPr>
              <w:t>ANNUAL REPORT PURSUANT TO SECTION 13 OR 15(d)</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960" w:type="dxa"/>
            <w:vAlign w:val="bottom"/>
            <w:gridSpan w:val="2"/>
          </w:tcPr>
          <w:p>
            <w:pPr>
              <w:jc w:val="center"/>
              <w:ind w:right="259"/>
              <w:spacing w:after="0"/>
              <w:rPr>
                <w:sz w:val="20"/>
                <w:szCs w:val="20"/>
                <w:color w:val="auto"/>
              </w:rPr>
            </w:pPr>
            <w:r>
              <w:rPr>
                <w:rFonts w:ascii="Arial" w:cs="Arial" w:eastAsia="Arial" w:hAnsi="Arial"/>
                <w:sz w:val="20"/>
                <w:szCs w:val="20"/>
                <w:b w:val="1"/>
                <w:bCs w:val="1"/>
                <w:color w:val="auto"/>
                <w:w w:val="98"/>
              </w:rPr>
              <w:t>OF THE SECURITIES EXCHANGE ACT OF 1934</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960" w:type="dxa"/>
            <w:vAlign w:val="bottom"/>
            <w:gridSpan w:val="2"/>
          </w:tcPr>
          <w:p>
            <w:pPr>
              <w:jc w:val="center"/>
              <w:ind w:right="259"/>
              <w:spacing w:after="0"/>
              <w:rPr>
                <w:sz w:val="20"/>
                <w:szCs w:val="20"/>
                <w:color w:val="auto"/>
              </w:rPr>
            </w:pPr>
            <w:r>
              <w:rPr>
                <w:rFonts w:ascii="Arial" w:cs="Arial" w:eastAsia="Arial" w:hAnsi="Arial"/>
                <w:sz w:val="18"/>
                <w:szCs w:val="18"/>
                <w:b w:val="1"/>
                <w:bCs w:val="1"/>
                <w:color w:val="auto"/>
                <w:w w:val="90"/>
              </w:rPr>
              <w:t>For the Fiscal Year Ended December 31, 2020</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40" w:type="dxa"/>
            <w:vAlign w:val="bottom"/>
          </w:tcPr>
          <w:p>
            <w:pPr>
              <w:jc w:val="center"/>
              <w:ind w:left="666"/>
              <w:spacing w:after="0"/>
              <w:rPr>
                <w:sz w:val="20"/>
                <w:szCs w:val="20"/>
                <w:color w:val="auto"/>
              </w:rPr>
            </w:pPr>
            <w:r>
              <w:rPr>
                <w:rFonts w:ascii="Arial" w:cs="Arial" w:eastAsia="Arial" w:hAnsi="Arial"/>
                <w:sz w:val="18"/>
                <w:szCs w:val="18"/>
                <w:b w:val="1"/>
                <w:bCs w:val="1"/>
                <w:color w:val="auto"/>
                <w:w w:val="90"/>
              </w:rPr>
              <w:t>Commission File Number 000-29472</w:t>
            </w:r>
          </w:p>
        </w:tc>
        <w:tc>
          <w:tcPr>
            <w:tcW w:w="1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960" w:type="dxa"/>
            <w:vAlign w:val="bottom"/>
            <w:gridSpan w:val="2"/>
          </w:tcPr>
          <w:p>
            <w:pPr>
              <w:jc w:val="center"/>
              <w:ind w:right="279"/>
              <w:spacing w:after="0"/>
              <w:rPr>
                <w:sz w:val="20"/>
                <w:szCs w:val="20"/>
                <w:color w:val="auto"/>
              </w:rPr>
            </w:pPr>
            <w:r>
              <w:rPr>
                <w:rFonts w:ascii="Arial" w:cs="Arial" w:eastAsia="Arial" w:hAnsi="Arial"/>
                <w:sz w:val="36"/>
                <w:szCs w:val="36"/>
                <w:b w:val="1"/>
                <w:bCs w:val="1"/>
                <w:color w:val="auto"/>
                <w:w w:val="90"/>
              </w:rPr>
              <w:t>Amkor Technology, Inc.</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840" w:type="dxa"/>
            <w:vAlign w:val="bottom"/>
          </w:tcPr>
          <w:p>
            <w:pPr>
              <w:jc w:val="center"/>
              <w:ind w:left="666"/>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11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60" w:type="dxa"/>
            <w:vAlign w:val="bottom"/>
          </w:tcPr>
          <w:p>
            <w:pPr>
              <w:spacing w:after="0"/>
              <w:rPr>
                <w:sz w:val="24"/>
                <w:szCs w:val="24"/>
                <w:color w:val="auto"/>
              </w:rPr>
            </w:pPr>
          </w:p>
        </w:tc>
        <w:tc>
          <w:tcPr>
            <w:tcW w:w="3260" w:type="dxa"/>
            <w:vAlign w:val="bottom"/>
          </w:tcPr>
          <w:p>
            <w:pPr>
              <w:ind w:left="1400"/>
              <w:spacing w:after="0"/>
              <w:rPr>
                <w:sz w:val="20"/>
                <w:szCs w:val="20"/>
                <w:color w:val="auto"/>
              </w:rPr>
            </w:pPr>
            <w:r>
              <w:rPr>
                <w:rFonts w:ascii="Arial" w:cs="Arial" w:eastAsia="Arial" w:hAnsi="Arial"/>
                <w:sz w:val="16"/>
                <w:szCs w:val="16"/>
                <w:b w:val="1"/>
                <w:bCs w:val="1"/>
                <w:color w:val="auto"/>
              </w:rPr>
              <w:t>Delaware</w:t>
            </w:r>
          </w:p>
        </w:tc>
        <w:tc>
          <w:tcPr>
            <w:tcW w:w="3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20" w:type="dxa"/>
            <w:vAlign w:val="bottom"/>
          </w:tcPr>
          <w:p>
            <w:pPr>
              <w:jc w:val="center"/>
              <w:ind w:right="499"/>
              <w:spacing w:after="0"/>
              <w:rPr>
                <w:sz w:val="20"/>
                <w:szCs w:val="20"/>
                <w:color w:val="auto"/>
              </w:rPr>
            </w:pPr>
            <w:r>
              <w:rPr>
                <w:rFonts w:ascii="Arial" w:cs="Arial" w:eastAsia="Arial" w:hAnsi="Arial"/>
                <w:sz w:val="16"/>
                <w:szCs w:val="16"/>
                <w:b w:val="1"/>
                <w:bCs w:val="1"/>
                <w:color w:val="auto"/>
                <w:w w:val="91"/>
              </w:rPr>
              <w:t>23-1722724</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3260" w:type="dxa"/>
            <w:vAlign w:val="bottom"/>
            <w:vMerge w:val="restart"/>
          </w:tcPr>
          <w:p>
            <w:pPr>
              <w:ind w:left="960"/>
              <w:spacing w:after="0"/>
              <w:rPr>
                <w:sz w:val="20"/>
                <w:szCs w:val="20"/>
                <w:color w:val="auto"/>
              </w:rPr>
            </w:pPr>
            <w:r>
              <w:rPr>
                <w:rFonts w:ascii="Arial" w:cs="Arial" w:eastAsia="Arial" w:hAnsi="Arial"/>
                <w:sz w:val="16"/>
                <w:szCs w:val="16"/>
                <w:i w:val="1"/>
                <w:iCs w:val="1"/>
                <w:color w:val="auto"/>
              </w:rPr>
              <w:t>(State of incorporation)</w:t>
            </w:r>
          </w:p>
        </w:tc>
        <w:tc>
          <w:tcPr>
            <w:tcW w:w="3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20" w:type="dxa"/>
            <w:vAlign w:val="bottom"/>
          </w:tcPr>
          <w:p>
            <w:pPr>
              <w:jc w:val="center"/>
              <w:ind w:right="479"/>
              <w:spacing w:after="0" w:line="171" w:lineRule="exact"/>
              <w:rPr>
                <w:sz w:val="20"/>
                <w:szCs w:val="20"/>
                <w:color w:val="auto"/>
              </w:rPr>
            </w:pPr>
            <w:r>
              <w:rPr>
                <w:rFonts w:ascii="Arial" w:cs="Arial" w:eastAsia="Arial" w:hAnsi="Arial"/>
                <w:sz w:val="16"/>
                <w:szCs w:val="16"/>
                <w:i w:val="1"/>
                <w:iCs w:val="1"/>
                <w:color w:val="auto"/>
                <w:w w:val="91"/>
              </w:rPr>
              <w:t>(I.R.S. Employer</w:t>
            </w: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3260" w:type="dxa"/>
            <w:vAlign w:val="bottom"/>
            <w:vMerge w:val="continue"/>
          </w:tcPr>
          <w:p>
            <w:pPr>
              <w:spacing w:after="0"/>
              <w:rPr>
                <w:sz w:val="10"/>
                <w:szCs w:val="10"/>
                <w:color w:val="auto"/>
              </w:rPr>
            </w:pPr>
          </w:p>
        </w:tc>
        <w:tc>
          <w:tcPr>
            <w:tcW w:w="3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920" w:type="dxa"/>
            <w:vAlign w:val="bottom"/>
            <w:vMerge w:val="restart"/>
          </w:tcPr>
          <w:p>
            <w:pPr>
              <w:jc w:val="center"/>
              <w:ind w:right="499"/>
              <w:spacing w:after="0"/>
              <w:rPr>
                <w:sz w:val="20"/>
                <w:szCs w:val="20"/>
                <w:color w:val="auto"/>
              </w:rPr>
            </w:pPr>
            <w:r>
              <w:rPr>
                <w:rFonts w:ascii="Arial" w:cs="Arial" w:eastAsia="Arial" w:hAnsi="Arial"/>
                <w:sz w:val="16"/>
                <w:szCs w:val="16"/>
                <w:i w:val="1"/>
                <w:iCs w:val="1"/>
                <w:color w:val="auto"/>
                <w:w w:val="95"/>
              </w:rPr>
              <w:t>Identification Number)</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8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3840" w:type="dxa"/>
            <w:vAlign w:val="bottom"/>
          </w:tcPr>
          <w:p>
            <w:pPr>
              <w:jc w:val="center"/>
              <w:ind w:left="666"/>
              <w:spacing w:after="0"/>
              <w:rPr>
                <w:sz w:val="20"/>
                <w:szCs w:val="20"/>
                <w:color w:val="auto"/>
              </w:rPr>
            </w:pPr>
            <w:r>
              <w:rPr>
                <w:rFonts w:ascii="Arial" w:cs="Arial" w:eastAsia="Arial" w:hAnsi="Arial"/>
                <w:sz w:val="16"/>
                <w:szCs w:val="16"/>
                <w:b w:val="1"/>
                <w:bCs w:val="1"/>
                <w:color w:val="auto"/>
                <w:w w:val="92"/>
              </w:rPr>
              <w:t>2045 East Innovation Circle</w:t>
            </w:r>
          </w:p>
        </w:tc>
        <w:tc>
          <w:tcPr>
            <w:tcW w:w="11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840" w:type="dxa"/>
            <w:vAlign w:val="bottom"/>
          </w:tcPr>
          <w:p>
            <w:pPr>
              <w:jc w:val="center"/>
              <w:ind w:left="686"/>
              <w:spacing w:after="0"/>
              <w:rPr>
                <w:sz w:val="20"/>
                <w:szCs w:val="20"/>
                <w:color w:val="auto"/>
              </w:rPr>
            </w:pPr>
            <w:r>
              <w:rPr>
                <w:rFonts w:ascii="Arial" w:cs="Arial" w:eastAsia="Arial" w:hAnsi="Arial"/>
                <w:sz w:val="16"/>
                <w:szCs w:val="16"/>
                <w:b w:val="1"/>
                <w:bCs w:val="1"/>
                <w:color w:val="auto"/>
                <w:w w:val="93"/>
              </w:rPr>
              <w:t>Tempe, AZ 85284</w:t>
            </w:r>
          </w:p>
        </w:tc>
        <w:tc>
          <w:tcPr>
            <w:tcW w:w="11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840" w:type="dxa"/>
            <w:vAlign w:val="bottom"/>
          </w:tcPr>
          <w:p>
            <w:pPr>
              <w:jc w:val="center"/>
              <w:ind w:left="686"/>
              <w:spacing w:after="0"/>
              <w:rPr>
                <w:sz w:val="20"/>
                <w:szCs w:val="20"/>
                <w:color w:val="auto"/>
              </w:rPr>
            </w:pPr>
            <w:r>
              <w:rPr>
                <w:rFonts w:ascii="Arial" w:cs="Arial" w:eastAsia="Arial" w:hAnsi="Arial"/>
                <w:sz w:val="16"/>
                <w:szCs w:val="16"/>
                <w:b w:val="1"/>
                <w:bCs w:val="1"/>
                <w:color w:val="auto"/>
                <w:w w:val="93"/>
              </w:rPr>
              <w:t>(480) 821-5000</w:t>
            </w:r>
          </w:p>
        </w:tc>
        <w:tc>
          <w:tcPr>
            <w:tcW w:w="11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840" w:type="dxa"/>
            <w:vAlign w:val="bottom"/>
          </w:tcPr>
          <w:p>
            <w:pPr>
              <w:jc w:val="center"/>
              <w:ind w:left="666"/>
              <w:spacing w:after="0"/>
              <w:rPr>
                <w:sz w:val="20"/>
                <w:szCs w:val="20"/>
                <w:color w:val="auto"/>
              </w:rPr>
            </w:pPr>
            <w:r>
              <w:rPr>
                <w:rFonts w:ascii="Arial" w:cs="Arial" w:eastAsia="Arial" w:hAnsi="Arial"/>
                <w:sz w:val="14"/>
                <w:szCs w:val="14"/>
                <w:i w:val="1"/>
                <w:iCs w:val="1"/>
                <w:color w:val="auto"/>
                <w:w w:val="92"/>
              </w:rPr>
              <w:t>(Address of principal executive offices and zip code)</w:t>
            </w:r>
          </w:p>
        </w:tc>
        <w:tc>
          <w:tcPr>
            <w:tcW w:w="11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8"/>
        </w:trPr>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960" w:type="dxa"/>
            <w:vAlign w:val="bottom"/>
            <w:gridSpan w:val="2"/>
          </w:tcPr>
          <w:p>
            <w:pPr>
              <w:jc w:val="center"/>
              <w:ind w:right="27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0" w:type="dxa"/>
            <w:vAlign w:val="bottom"/>
          </w:tcPr>
          <w:p>
            <w:pPr>
              <w:spacing w:after="0"/>
              <w:rPr>
                <w:sz w:val="24"/>
                <w:szCs w:val="24"/>
                <w:color w:val="auto"/>
              </w:rPr>
            </w:pPr>
          </w:p>
        </w:tc>
        <w:tc>
          <w:tcPr>
            <w:tcW w:w="3260" w:type="dxa"/>
            <w:vAlign w:val="bottom"/>
            <w:tcBorders>
              <w:bottom w:val="single" w:sz="8" w:color="auto"/>
            </w:tcBorders>
          </w:tcPr>
          <w:p>
            <w:pPr>
              <w:ind w:left="1420"/>
              <w:spacing w:after="0"/>
              <w:rPr>
                <w:sz w:val="20"/>
                <w:szCs w:val="20"/>
                <w:color w:val="auto"/>
              </w:rPr>
            </w:pPr>
            <w:r>
              <w:rPr>
                <w:rFonts w:ascii="Arial" w:cs="Arial" w:eastAsia="Arial" w:hAnsi="Arial"/>
                <w:sz w:val="16"/>
                <w:szCs w:val="16"/>
                <w:b w:val="1"/>
                <w:bCs w:val="1"/>
                <w:color w:val="auto"/>
              </w:rPr>
              <w:t>Title of Each Class</w:t>
            </w:r>
          </w:p>
        </w:tc>
        <w:tc>
          <w:tcPr>
            <w:tcW w:w="3840" w:type="dxa"/>
            <w:vAlign w:val="bottom"/>
            <w:tcBorders>
              <w:bottom w:val="single" w:sz="8" w:color="auto"/>
            </w:tcBorders>
          </w:tcPr>
          <w:p>
            <w:pPr>
              <w:jc w:val="center"/>
              <w:ind w:left="26"/>
              <w:spacing w:after="0"/>
              <w:rPr>
                <w:sz w:val="20"/>
                <w:szCs w:val="20"/>
                <w:color w:val="auto"/>
              </w:rPr>
            </w:pPr>
            <w:r>
              <w:rPr>
                <w:rFonts w:ascii="Arial" w:cs="Arial" w:eastAsia="Arial" w:hAnsi="Arial"/>
                <w:sz w:val="16"/>
                <w:szCs w:val="16"/>
                <w:b w:val="1"/>
                <w:bCs w:val="1"/>
                <w:color w:val="auto"/>
                <w:w w:val="92"/>
              </w:rPr>
              <w:t>Trading Symbol</w:t>
            </w:r>
          </w:p>
        </w:tc>
        <w:tc>
          <w:tcPr>
            <w:tcW w:w="4040" w:type="dxa"/>
            <w:vAlign w:val="bottom"/>
            <w:tcBorders>
              <w:bottom w:val="single" w:sz="8" w:color="auto"/>
            </w:tcBorders>
            <w:gridSpan w:val="2"/>
          </w:tcPr>
          <w:p>
            <w:pPr>
              <w:jc w:val="center"/>
              <w:ind w:right="699"/>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260" w:type="dxa"/>
            <w:vAlign w:val="bottom"/>
          </w:tcPr>
          <w:p>
            <w:pPr>
              <w:ind w:left="980"/>
              <w:spacing w:after="0"/>
              <w:rPr>
                <w:sz w:val="20"/>
                <w:szCs w:val="20"/>
                <w:color w:val="auto"/>
              </w:rPr>
            </w:pPr>
            <w:r>
              <w:rPr>
                <w:rFonts w:ascii="Arial" w:cs="Arial" w:eastAsia="Arial" w:hAnsi="Arial"/>
                <w:sz w:val="16"/>
                <w:szCs w:val="16"/>
                <w:color w:val="auto"/>
                <w:w w:val="95"/>
              </w:rPr>
              <w:t>Common Stock, $0.001 par value</w:t>
            </w:r>
          </w:p>
        </w:tc>
        <w:tc>
          <w:tcPr>
            <w:tcW w:w="3840" w:type="dxa"/>
            <w:vAlign w:val="bottom"/>
          </w:tcPr>
          <w:p>
            <w:pPr>
              <w:jc w:val="center"/>
              <w:ind w:left="26"/>
              <w:spacing w:after="0"/>
              <w:rPr>
                <w:sz w:val="20"/>
                <w:szCs w:val="20"/>
                <w:color w:val="auto"/>
              </w:rPr>
            </w:pPr>
            <w:r>
              <w:rPr>
                <w:rFonts w:ascii="Arial" w:cs="Arial" w:eastAsia="Arial" w:hAnsi="Arial"/>
                <w:sz w:val="16"/>
                <w:szCs w:val="16"/>
                <w:color w:val="auto"/>
              </w:rPr>
              <w:t>AMKR</w:t>
            </w:r>
          </w:p>
        </w:tc>
        <w:tc>
          <w:tcPr>
            <w:tcW w:w="4040" w:type="dxa"/>
            <w:vAlign w:val="bottom"/>
            <w:gridSpan w:val="2"/>
          </w:tcPr>
          <w:p>
            <w:pPr>
              <w:jc w:val="center"/>
              <w:ind w:right="699"/>
              <w:spacing w:after="0"/>
              <w:rPr>
                <w:sz w:val="20"/>
                <w:szCs w:val="20"/>
                <w:color w:val="auto"/>
              </w:rPr>
            </w:pPr>
            <w:r>
              <w:rPr>
                <w:rFonts w:ascii="Arial" w:cs="Arial" w:eastAsia="Arial" w:hAnsi="Arial"/>
                <w:sz w:val="16"/>
                <w:szCs w:val="16"/>
                <w:color w:val="auto"/>
                <w:w w:val="94"/>
              </w:rPr>
              <w:t>The NASDAQ Global Select Market</w:t>
            </w:r>
          </w:p>
        </w:tc>
        <w:tc>
          <w:tcPr>
            <w:tcW w:w="0" w:type="dxa"/>
            <w:vAlign w:val="bottom"/>
          </w:tcPr>
          <w:p>
            <w:pPr>
              <w:spacing w:after="0"/>
              <w:rPr>
                <w:sz w:val="1"/>
                <w:szCs w:val="1"/>
                <w:color w:val="auto"/>
              </w:rPr>
            </w:pPr>
          </w:p>
        </w:tc>
      </w:tr>
      <w:tr>
        <w:trPr>
          <w:trHeight w:val="393"/>
        </w:trPr>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960" w:type="dxa"/>
            <w:vAlign w:val="bottom"/>
            <w:gridSpan w:val="2"/>
          </w:tcPr>
          <w:p>
            <w:pPr>
              <w:jc w:val="center"/>
              <w:ind w:right="279"/>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840" w:type="dxa"/>
            <w:vAlign w:val="bottom"/>
          </w:tcPr>
          <w:p>
            <w:pPr>
              <w:jc w:val="center"/>
              <w:ind w:left="666"/>
              <w:spacing w:after="0"/>
              <w:rPr>
                <w:sz w:val="20"/>
                <w:szCs w:val="20"/>
                <w:color w:val="auto"/>
              </w:rPr>
            </w:pPr>
            <w:r>
              <w:rPr>
                <w:rFonts w:ascii="Arial" w:cs="Arial" w:eastAsia="Arial" w:hAnsi="Arial"/>
                <w:sz w:val="18"/>
                <w:szCs w:val="18"/>
                <w:b w:val="1"/>
                <w:bCs w:val="1"/>
                <w:color w:val="auto"/>
                <w:w w:val="88"/>
              </w:rPr>
              <w:t>None</w:t>
            </w:r>
          </w:p>
        </w:tc>
        <w:tc>
          <w:tcPr>
            <w:tcW w:w="1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8280" w:type="dxa"/>
            <w:vAlign w:val="bottom"/>
            <w:gridSpan w:val="4"/>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3"/>
              </w:rPr>
              <w:t>☑</w:t>
            </w:r>
          </w:p>
        </w:tc>
        <w:tc>
          <w:tcPr>
            <w:tcW w:w="2920" w:type="dxa"/>
            <w:vAlign w:val="bottom"/>
          </w:tcPr>
          <w:p>
            <w:pPr>
              <w:ind w:left="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54"/>
        </w:trPr>
        <w:tc>
          <w:tcPr>
            <w:tcW w:w="8280" w:type="dxa"/>
            <w:vAlign w:val="bottom"/>
            <w:gridSpan w:val="4"/>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2"/>
              </w:rPr>
              <w:t>☐</w:t>
            </w:r>
          </w:p>
        </w:tc>
        <w:tc>
          <w:tcPr>
            <w:tcW w:w="2920" w:type="dxa"/>
            <w:vAlign w:val="bottom"/>
          </w:tcPr>
          <w:p>
            <w:pPr>
              <w:ind w:left="1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as amended,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ind w:left="200"/>
        <w:spacing w:after="0" w:line="321" w:lineRule="exact"/>
        <w:tabs>
          <w:tab w:leader="none" w:pos="1800" w:val="left"/>
          <w:tab w:leader="none" w:pos="2400" w:val="left"/>
          <w:tab w:leader="none" w:pos="3780" w:val="left"/>
          <w:tab w:leader="none" w:pos="4240" w:val="left"/>
          <w:tab w:leader="none" w:pos="5800" w:val="left"/>
          <w:tab w:leader="none" w:pos="6320" w:val="left"/>
          <w:tab w:leader="none" w:pos="8320" w:val="left"/>
          <w:tab w:leader="none" w:pos="8840" w:val="left"/>
          <w:tab w:leader="none" w:pos="108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32"/>
          <w:szCs w:val="32"/>
          <w:color w:val="auto"/>
          <w:vertAlign w:val="superscript"/>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2" w:lineRule="exact"/>
        <w:rPr>
          <w:sz w:val="24"/>
          <w:szCs w:val="24"/>
          <w:color w:val="auto"/>
        </w:rPr>
      </w:pPr>
    </w:p>
    <w:p>
      <w:pPr>
        <w:jc w:val="both"/>
        <w:spacing w:after="0" w:line="257"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4" w:lineRule="exact"/>
        <w:rPr>
          <w:sz w:val="24"/>
          <w:szCs w:val="24"/>
          <w:color w:val="auto"/>
        </w:rPr>
      </w:pPr>
    </w:p>
    <w:p>
      <w:pPr>
        <w:jc w:val="both"/>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4" w:lineRule="exact"/>
        <w:tabs>
          <w:tab w:leader="none" w:pos="80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05"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June 30, 2020, based upon the closing price of the common stock as reported by the NASDAQ Global Select Market on that date, was approximately $1,222 million.</w:t>
      </w:r>
    </w:p>
    <w:p>
      <w:pPr>
        <w:spacing w:after="0" w:line="10"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The number of shares outstanding of each of the issuer’s classes of common equity, as of February 12, 2021, was as follows: 243,341,709 shares of Common Stock, $0.001 par value.</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140"/>
        <w:spacing w:after="0" w:line="275" w:lineRule="auto"/>
        <w:rPr>
          <w:sz w:val="20"/>
          <w:szCs w:val="20"/>
          <w:color w:val="auto"/>
        </w:rPr>
      </w:pPr>
      <w:r>
        <w:rPr>
          <w:rFonts w:ascii="Arial" w:cs="Arial" w:eastAsia="Arial" w:hAnsi="Arial"/>
          <w:sz w:val="16"/>
          <w:szCs w:val="16"/>
          <w:color w:val="auto"/>
        </w:rPr>
        <w:t>Portions of the registrant’s Proxy Statement relating to its 2021 Annual Meeting of Stockholders, to be filed subsequently, are incorporated by reference into Part III of this Report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827405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2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0"/>
                <w:szCs w:val="20"/>
                <w:color w:val="auto"/>
              </w:rPr>
            </w:pPr>
          </w:p>
        </w:tc>
      </w:tr>
      <w:tr>
        <w:trPr>
          <w:trHeight w:val="304"/>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215"/>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20" w:type="dxa"/>
            <w:vAlign w:val="bottom"/>
          </w:tcPr>
          <w:p>
            <w:pPr>
              <w:jc w:val="center"/>
              <w:ind w:right="110"/>
              <w:spacing w:after="0"/>
              <w:rPr>
                <w:rFonts w:ascii="Arial" w:cs="Arial" w:eastAsia="Arial" w:hAnsi="Arial"/>
                <w:sz w:val="18"/>
                <w:szCs w:val="18"/>
                <w:b w:val="1"/>
                <w:bCs w:val="1"/>
                <w:u w:val="single" w:color="auto"/>
                <w:color w:val="0000FF"/>
                <w:w w:val="98"/>
              </w:rPr>
            </w:pPr>
            <w:hyperlink w:anchor="page3">
              <w:r>
                <w:rPr>
                  <w:rFonts w:ascii="Arial" w:cs="Arial" w:eastAsia="Arial" w:hAnsi="Arial"/>
                  <w:sz w:val="18"/>
                  <w:szCs w:val="18"/>
                  <w:b w:val="1"/>
                  <w:bCs w:val="1"/>
                  <w:u w:val="single" w:color="auto"/>
                  <w:color w:val="0000FF"/>
                  <w:w w:val="98"/>
                </w:rPr>
                <w:t>PART I</w:t>
              </w:r>
            </w:hyperlink>
          </w:p>
        </w:tc>
        <w:tc>
          <w:tcPr>
            <w:tcW w:w="700" w:type="dxa"/>
            <w:vAlign w:val="bottom"/>
          </w:tcPr>
          <w:p>
            <w:pPr>
              <w:spacing w:after="0"/>
              <w:rPr>
                <w:sz w:val="18"/>
                <w:szCs w:val="18"/>
                <w:color w:val="auto"/>
              </w:rPr>
            </w:pPr>
          </w:p>
        </w:tc>
      </w:tr>
      <w:tr>
        <w:trPr>
          <w:trHeight w:val="229"/>
        </w:trPr>
        <w:tc>
          <w:tcPr>
            <w:tcW w:w="90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9620" w:type="dxa"/>
            <w:vAlign w:val="bottom"/>
          </w:tcPr>
          <w:p>
            <w:pPr>
              <w:ind w:left="2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70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229"/>
        </w:trPr>
        <w:tc>
          <w:tcPr>
            <w:tcW w:w="900" w:type="dxa"/>
            <w:vAlign w:val="bottom"/>
            <w:gridSpan w:val="2"/>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Item 1A.</w:t>
              </w:r>
            </w:hyperlink>
          </w:p>
        </w:tc>
        <w:tc>
          <w:tcPr>
            <w:tcW w:w="9620" w:type="dxa"/>
            <w:vAlign w:val="bottom"/>
          </w:tcPr>
          <w:p>
            <w:pPr>
              <w:ind w:left="26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Risk Factors</w:t>
              </w:r>
            </w:hyperlink>
          </w:p>
        </w:tc>
        <w:tc>
          <w:tcPr>
            <w:tcW w:w="70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15</w:t>
              </w:r>
            </w:hyperlink>
          </w:p>
        </w:tc>
      </w:tr>
      <w:tr>
        <w:trPr>
          <w:trHeight w:val="230"/>
        </w:trPr>
        <w:tc>
          <w:tcPr>
            <w:tcW w:w="900" w:type="dxa"/>
            <w:vAlign w:val="bottom"/>
            <w:gridSpan w:val="2"/>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1B.</w:t>
              </w:r>
            </w:hyperlink>
          </w:p>
        </w:tc>
        <w:tc>
          <w:tcPr>
            <w:tcW w:w="9620" w:type="dxa"/>
            <w:vAlign w:val="bottom"/>
          </w:tcPr>
          <w:p>
            <w:pPr>
              <w:ind w:left="26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Unresolved Staff Comments</w:t>
              </w:r>
            </w:hyperlink>
          </w:p>
        </w:tc>
        <w:tc>
          <w:tcPr>
            <w:tcW w:w="70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31</w:t>
              </w:r>
            </w:hyperlink>
          </w:p>
        </w:tc>
      </w:tr>
      <w:tr>
        <w:trPr>
          <w:trHeight w:val="190"/>
        </w:trPr>
        <w:tc>
          <w:tcPr>
            <w:tcW w:w="52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90"/>
              </w:rPr>
              <w:t>Item 2.</w:t>
            </w:r>
          </w:p>
        </w:tc>
        <w:tc>
          <w:tcPr>
            <w:tcW w:w="380" w:type="dxa"/>
            <w:vAlign w:val="bottom"/>
          </w:tcPr>
          <w:p>
            <w:pPr>
              <w:spacing w:after="0"/>
              <w:rPr>
                <w:sz w:val="16"/>
                <w:szCs w:val="16"/>
                <w:color w:val="auto"/>
              </w:rPr>
            </w:pPr>
          </w:p>
        </w:tc>
        <w:tc>
          <w:tcPr>
            <w:tcW w:w="9620" w:type="dxa"/>
            <w:vAlign w:val="bottom"/>
          </w:tcPr>
          <w:p>
            <w:pPr>
              <w:ind w:left="260"/>
              <w:spacing w:after="0" w:line="190" w:lineRule="exact"/>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Properties</w:t>
              </w:r>
            </w:hyperlink>
          </w:p>
        </w:tc>
        <w:tc>
          <w:tcPr>
            <w:tcW w:w="700" w:type="dxa"/>
            <w:vAlign w:val="bottom"/>
          </w:tcPr>
          <w:p>
            <w:pPr>
              <w:jc w:val="right"/>
              <w:spacing w:after="0" w:line="190" w:lineRule="exact"/>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32</w:t>
              </w:r>
            </w:hyperlink>
          </w:p>
        </w:tc>
      </w:tr>
      <w:tr>
        <w:trPr>
          <w:trHeight w:val="249"/>
        </w:trPr>
        <w:tc>
          <w:tcPr>
            <w:tcW w:w="900" w:type="dxa"/>
            <w:vAlign w:val="bottom"/>
            <w:gridSpan w:val="2"/>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3.</w:t>
              </w:r>
            </w:hyperlink>
          </w:p>
        </w:tc>
        <w:tc>
          <w:tcPr>
            <w:tcW w:w="9620" w:type="dxa"/>
            <w:vAlign w:val="bottom"/>
          </w:tcPr>
          <w:p>
            <w:pPr>
              <w:ind w:left="26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Legal Proceedings</w:t>
              </w:r>
            </w:hyperlink>
          </w:p>
        </w:tc>
        <w:tc>
          <w:tcPr>
            <w:tcW w:w="70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32</w:t>
              </w:r>
            </w:hyperlink>
          </w:p>
        </w:tc>
      </w:tr>
      <w:tr>
        <w:trPr>
          <w:trHeight w:val="230"/>
        </w:trPr>
        <w:tc>
          <w:tcPr>
            <w:tcW w:w="900" w:type="dxa"/>
            <w:vAlign w:val="bottom"/>
            <w:gridSpan w:val="2"/>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4.</w:t>
              </w:r>
            </w:hyperlink>
          </w:p>
        </w:tc>
        <w:tc>
          <w:tcPr>
            <w:tcW w:w="9620" w:type="dxa"/>
            <w:vAlign w:val="bottom"/>
          </w:tcPr>
          <w:p>
            <w:pPr>
              <w:ind w:left="26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Mine Safety Disclosures</w:t>
              </w:r>
            </w:hyperlink>
          </w:p>
        </w:tc>
        <w:tc>
          <w:tcPr>
            <w:tcW w:w="70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32</w:t>
              </w:r>
            </w:hyperlink>
          </w:p>
        </w:tc>
      </w:tr>
      <w:tr>
        <w:trPr>
          <w:trHeight w:val="499"/>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20" w:type="dxa"/>
            <w:vAlign w:val="bottom"/>
          </w:tcPr>
          <w:p>
            <w:pPr>
              <w:jc w:val="center"/>
              <w:ind w:right="11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PART II</w:t>
              </w:r>
            </w:hyperlink>
          </w:p>
        </w:tc>
        <w:tc>
          <w:tcPr>
            <w:tcW w:w="700" w:type="dxa"/>
            <w:vAlign w:val="bottom"/>
          </w:tcPr>
          <w:p>
            <w:pPr>
              <w:spacing w:after="0"/>
              <w:rPr>
                <w:sz w:val="24"/>
                <w:szCs w:val="24"/>
                <w:color w:val="auto"/>
              </w:rPr>
            </w:pPr>
          </w:p>
        </w:tc>
      </w:tr>
      <w:tr>
        <w:trPr>
          <w:trHeight w:val="230"/>
        </w:trPr>
        <w:tc>
          <w:tcPr>
            <w:tcW w:w="900" w:type="dxa"/>
            <w:vAlign w:val="bottom"/>
            <w:gridSpan w:val="2"/>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5.</w:t>
              </w:r>
            </w:hyperlink>
          </w:p>
        </w:tc>
        <w:tc>
          <w:tcPr>
            <w:tcW w:w="9620" w:type="dxa"/>
            <w:vAlign w:val="bottom"/>
          </w:tcPr>
          <w:p>
            <w:pPr>
              <w:ind w:left="26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70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32</w:t>
              </w:r>
            </w:hyperlink>
          </w:p>
        </w:tc>
      </w:tr>
      <w:tr>
        <w:trPr>
          <w:trHeight w:val="229"/>
        </w:trPr>
        <w:tc>
          <w:tcPr>
            <w:tcW w:w="900" w:type="dxa"/>
            <w:vAlign w:val="bottom"/>
            <w:gridSpan w:val="2"/>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6.</w:t>
              </w:r>
            </w:hyperlink>
          </w:p>
        </w:tc>
        <w:tc>
          <w:tcPr>
            <w:tcW w:w="9620" w:type="dxa"/>
            <w:vAlign w:val="bottom"/>
          </w:tcPr>
          <w:p>
            <w:pPr>
              <w:ind w:left="2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Selected Financial Data</w:t>
              </w:r>
            </w:hyperlink>
          </w:p>
        </w:tc>
        <w:tc>
          <w:tcPr>
            <w:tcW w:w="70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35</w:t>
              </w:r>
            </w:hyperlink>
          </w:p>
        </w:tc>
      </w:tr>
      <w:tr>
        <w:trPr>
          <w:trHeight w:val="229"/>
        </w:trPr>
        <w:tc>
          <w:tcPr>
            <w:tcW w:w="900" w:type="dxa"/>
            <w:vAlign w:val="bottom"/>
            <w:gridSpan w:val="2"/>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7.</w:t>
              </w:r>
            </w:hyperlink>
          </w:p>
        </w:tc>
        <w:tc>
          <w:tcPr>
            <w:tcW w:w="9620" w:type="dxa"/>
            <w:vAlign w:val="bottom"/>
          </w:tcPr>
          <w:p>
            <w:pPr>
              <w:ind w:left="2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Management’s Discussion and Analysis of Financial Condition and Results of Operations</w:t>
              </w:r>
            </w:hyperlink>
          </w:p>
        </w:tc>
        <w:tc>
          <w:tcPr>
            <w:tcW w:w="70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36</w:t>
              </w:r>
            </w:hyperlink>
          </w:p>
        </w:tc>
      </w:tr>
      <w:tr>
        <w:trPr>
          <w:trHeight w:val="230"/>
        </w:trPr>
        <w:tc>
          <w:tcPr>
            <w:tcW w:w="900" w:type="dxa"/>
            <w:vAlign w:val="bottom"/>
            <w:gridSpan w:val="2"/>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7A.</w:t>
              </w:r>
            </w:hyperlink>
          </w:p>
        </w:tc>
        <w:tc>
          <w:tcPr>
            <w:tcW w:w="9620" w:type="dxa"/>
            <w:vAlign w:val="bottom"/>
          </w:tcPr>
          <w:p>
            <w:pPr>
              <w:ind w:left="26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Quantitative and Qualitative Disclosures About Market Risk</w:t>
              </w:r>
            </w:hyperlink>
          </w:p>
        </w:tc>
        <w:tc>
          <w:tcPr>
            <w:tcW w:w="70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46</w:t>
              </w:r>
            </w:hyperlink>
          </w:p>
        </w:tc>
      </w:tr>
      <w:tr>
        <w:trPr>
          <w:trHeight w:val="229"/>
        </w:trPr>
        <w:tc>
          <w:tcPr>
            <w:tcW w:w="900" w:type="dxa"/>
            <w:vAlign w:val="bottom"/>
            <w:gridSpan w:val="2"/>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8.</w:t>
              </w:r>
            </w:hyperlink>
          </w:p>
        </w:tc>
        <w:tc>
          <w:tcPr>
            <w:tcW w:w="9620" w:type="dxa"/>
            <w:vAlign w:val="bottom"/>
          </w:tcPr>
          <w:p>
            <w:pPr>
              <w:ind w:left="26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Financial Statements and Supplementary Data</w:t>
              </w:r>
            </w:hyperlink>
          </w:p>
        </w:tc>
        <w:tc>
          <w:tcPr>
            <w:tcW w:w="70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48</w:t>
              </w:r>
            </w:hyperlink>
          </w:p>
        </w:tc>
      </w:tr>
      <w:tr>
        <w:trPr>
          <w:trHeight w:val="229"/>
        </w:trPr>
        <w:tc>
          <w:tcPr>
            <w:tcW w:w="900" w:type="dxa"/>
            <w:vAlign w:val="bottom"/>
            <w:gridSpan w:val="2"/>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Item 9.</w:t>
              </w:r>
            </w:hyperlink>
          </w:p>
        </w:tc>
        <w:tc>
          <w:tcPr>
            <w:tcW w:w="9620" w:type="dxa"/>
            <w:vAlign w:val="bottom"/>
          </w:tcPr>
          <w:p>
            <w:pPr>
              <w:ind w:left="26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Changes in and Disagreements with Accountants on Accounting and Financial Disclosure</w:t>
              </w:r>
            </w:hyperlink>
          </w:p>
        </w:tc>
        <w:tc>
          <w:tcPr>
            <w:tcW w:w="700" w:type="dxa"/>
            <w:vAlign w:val="bottom"/>
          </w:tcPr>
          <w:p>
            <w:pPr>
              <w:jc w:val="right"/>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90</w:t>
              </w:r>
            </w:hyperlink>
          </w:p>
        </w:tc>
      </w:tr>
      <w:tr>
        <w:trPr>
          <w:trHeight w:val="230"/>
        </w:trPr>
        <w:tc>
          <w:tcPr>
            <w:tcW w:w="900" w:type="dxa"/>
            <w:vAlign w:val="bottom"/>
            <w:gridSpan w:val="2"/>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9A.</w:t>
              </w:r>
            </w:hyperlink>
          </w:p>
        </w:tc>
        <w:tc>
          <w:tcPr>
            <w:tcW w:w="9620" w:type="dxa"/>
            <w:vAlign w:val="bottom"/>
          </w:tcPr>
          <w:p>
            <w:pPr>
              <w:ind w:left="26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Controls and Procedures</w:t>
              </w:r>
            </w:hyperlink>
          </w:p>
        </w:tc>
        <w:tc>
          <w:tcPr>
            <w:tcW w:w="700" w:type="dxa"/>
            <w:vAlign w:val="bottom"/>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90</w:t>
              </w:r>
            </w:hyperlink>
          </w:p>
        </w:tc>
      </w:tr>
      <w:tr>
        <w:trPr>
          <w:trHeight w:val="230"/>
        </w:trPr>
        <w:tc>
          <w:tcPr>
            <w:tcW w:w="900" w:type="dxa"/>
            <w:vAlign w:val="bottom"/>
            <w:gridSpan w:val="2"/>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9B.</w:t>
              </w:r>
            </w:hyperlink>
          </w:p>
        </w:tc>
        <w:tc>
          <w:tcPr>
            <w:tcW w:w="9620" w:type="dxa"/>
            <w:vAlign w:val="bottom"/>
          </w:tcPr>
          <w:p>
            <w:pPr>
              <w:ind w:left="26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Other Information</w:t>
              </w:r>
            </w:hyperlink>
          </w:p>
        </w:tc>
        <w:tc>
          <w:tcPr>
            <w:tcW w:w="70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91</w:t>
              </w:r>
            </w:hyperlink>
          </w:p>
        </w:tc>
      </w:tr>
      <w:tr>
        <w:trPr>
          <w:trHeight w:val="499"/>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20" w:type="dxa"/>
            <w:vAlign w:val="bottom"/>
          </w:tcPr>
          <w:p>
            <w:pPr>
              <w:jc w:val="center"/>
              <w:ind w:right="130"/>
              <w:spacing w:after="0"/>
              <w:rPr>
                <w:rFonts w:ascii="Arial" w:cs="Arial" w:eastAsia="Arial" w:hAnsi="Arial"/>
                <w:sz w:val="18"/>
                <w:szCs w:val="18"/>
                <w:b w:val="1"/>
                <w:bCs w:val="1"/>
                <w:u w:val="single" w:color="auto"/>
                <w:color w:val="0000FF"/>
              </w:rPr>
            </w:pPr>
            <w:hyperlink w:anchor="page92">
              <w:r>
                <w:rPr>
                  <w:rFonts w:ascii="Arial" w:cs="Arial" w:eastAsia="Arial" w:hAnsi="Arial"/>
                  <w:sz w:val="18"/>
                  <w:szCs w:val="18"/>
                  <w:b w:val="1"/>
                  <w:bCs w:val="1"/>
                  <w:u w:val="single" w:color="auto"/>
                  <w:color w:val="0000FF"/>
                </w:rPr>
                <w:t>PART III</w:t>
              </w:r>
            </w:hyperlink>
          </w:p>
        </w:tc>
        <w:tc>
          <w:tcPr>
            <w:tcW w:w="700" w:type="dxa"/>
            <w:vAlign w:val="bottom"/>
          </w:tcPr>
          <w:p>
            <w:pPr>
              <w:spacing w:after="0"/>
              <w:rPr>
                <w:sz w:val="24"/>
                <w:szCs w:val="24"/>
                <w:color w:val="auto"/>
              </w:rPr>
            </w:pPr>
          </w:p>
        </w:tc>
      </w:tr>
      <w:tr>
        <w:trPr>
          <w:trHeight w:val="230"/>
        </w:trPr>
        <w:tc>
          <w:tcPr>
            <w:tcW w:w="900" w:type="dxa"/>
            <w:vAlign w:val="bottom"/>
            <w:gridSpan w:val="2"/>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10.</w:t>
              </w:r>
            </w:hyperlink>
          </w:p>
        </w:tc>
        <w:tc>
          <w:tcPr>
            <w:tcW w:w="9620" w:type="dxa"/>
            <w:vAlign w:val="bottom"/>
          </w:tcPr>
          <w:p>
            <w:pPr>
              <w:ind w:left="26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Directors, Executive Officers and Corporate Governance</w:t>
              </w:r>
            </w:hyperlink>
          </w:p>
        </w:tc>
        <w:tc>
          <w:tcPr>
            <w:tcW w:w="70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91</w:t>
              </w:r>
            </w:hyperlink>
          </w:p>
        </w:tc>
      </w:tr>
      <w:tr>
        <w:trPr>
          <w:trHeight w:val="230"/>
        </w:trPr>
        <w:tc>
          <w:tcPr>
            <w:tcW w:w="900" w:type="dxa"/>
            <w:vAlign w:val="bottom"/>
            <w:gridSpan w:val="2"/>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11.</w:t>
              </w:r>
            </w:hyperlink>
          </w:p>
        </w:tc>
        <w:tc>
          <w:tcPr>
            <w:tcW w:w="9620" w:type="dxa"/>
            <w:vAlign w:val="bottom"/>
          </w:tcPr>
          <w:p>
            <w:pPr>
              <w:ind w:left="26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Executive Compensation</w:t>
              </w:r>
            </w:hyperlink>
          </w:p>
        </w:tc>
        <w:tc>
          <w:tcPr>
            <w:tcW w:w="70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91</w:t>
              </w:r>
            </w:hyperlink>
          </w:p>
        </w:tc>
      </w:tr>
      <w:tr>
        <w:trPr>
          <w:trHeight w:val="229"/>
        </w:trPr>
        <w:tc>
          <w:tcPr>
            <w:tcW w:w="900" w:type="dxa"/>
            <w:vAlign w:val="bottom"/>
            <w:gridSpan w:val="2"/>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12.</w:t>
              </w:r>
            </w:hyperlink>
          </w:p>
        </w:tc>
        <w:tc>
          <w:tcPr>
            <w:tcW w:w="9620" w:type="dxa"/>
            <w:vAlign w:val="bottom"/>
          </w:tcPr>
          <w:p>
            <w:pPr>
              <w:ind w:left="26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Security Ownership of Certain Beneficial Owners and Management and Related Stockholder Matters</w:t>
              </w:r>
            </w:hyperlink>
          </w:p>
        </w:tc>
        <w:tc>
          <w:tcPr>
            <w:tcW w:w="70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91</w:t>
              </w:r>
            </w:hyperlink>
          </w:p>
        </w:tc>
      </w:tr>
      <w:tr>
        <w:trPr>
          <w:trHeight w:val="230"/>
        </w:trPr>
        <w:tc>
          <w:tcPr>
            <w:tcW w:w="900" w:type="dxa"/>
            <w:vAlign w:val="bottom"/>
            <w:gridSpan w:val="2"/>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Item 13.</w:t>
              </w:r>
            </w:hyperlink>
          </w:p>
        </w:tc>
        <w:tc>
          <w:tcPr>
            <w:tcW w:w="9620" w:type="dxa"/>
            <w:vAlign w:val="bottom"/>
          </w:tcPr>
          <w:p>
            <w:pPr>
              <w:ind w:left="26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Certain Relationships and Related Transactions and Director Independence</w:t>
              </w:r>
            </w:hyperlink>
          </w:p>
        </w:tc>
        <w:tc>
          <w:tcPr>
            <w:tcW w:w="70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92</w:t>
              </w:r>
            </w:hyperlink>
          </w:p>
        </w:tc>
      </w:tr>
      <w:tr>
        <w:trPr>
          <w:trHeight w:val="230"/>
        </w:trPr>
        <w:tc>
          <w:tcPr>
            <w:tcW w:w="900" w:type="dxa"/>
            <w:vAlign w:val="bottom"/>
            <w:gridSpan w:val="2"/>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Item 14.</w:t>
              </w:r>
            </w:hyperlink>
          </w:p>
        </w:tc>
        <w:tc>
          <w:tcPr>
            <w:tcW w:w="9620" w:type="dxa"/>
            <w:vAlign w:val="bottom"/>
          </w:tcPr>
          <w:p>
            <w:pPr>
              <w:ind w:left="26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Principal Accountant Fees and Services</w:t>
              </w:r>
            </w:hyperlink>
          </w:p>
        </w:tc>
        <w:tc>
          <w:tcPr>
            <w:tcW w:w="70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92</w:t>
              </w:r>
            </w:hyperlink>
          </w:p>
        </w:tc>
      </w:tr>
      <w:tr>
        <w:trPr>
          <w:trHeight w:val="499"/>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20" w:type="dxa"/>
            <w:vAlign w:val="bottom"/>
          </w:tcPr>
          <w:p>
            <w:pPr>
              <w:jc w:val="center"/>
              <w:ind w:right="130"/>
              <w:spacing w:after="0"/>
              <w:rPr>
                <w:rFonts w:ascii="Arial" w:cs="Arial" w:eastAsia="Arial" w:hAnsi="Arial"/>
                <w:sz w:val="18"/>
                <w:szCs w:val="18"/>
                <w:b w:val="1"/>
                <w:bCs w:val="1"/>
                <w:u w:val="single" w:color="auto"/>
                <w:color w:val="0000FF"/>
              </w:rPr>
            </w:pPr>
            <w:hyperlink w:anchor="page94">
              <w:r>
                <w:rPr>
                  <w:rFonts w:ascii="Arial" w:cs="Arial" w:eastAsia="Arial" w:hAnsi="Arial"/>
                  <w:sz w:val="18"/>
                  <w:szCs w:val="18"/>
                  <w:b w:val="1"/>
                  <w:bCs w:val="1"/>
                  <w:u w:val="single" w:color="auto"/>
                  <w:color w:val="0000FF"/>
                </w:rPr>
                <w:t>PART IV</w:t>
              </w:r>
            </w:hyperlink>
          </w:p>
        </w:tc>
        <w:tc>
          <w:tcPr>
            <w:tcW w:w="700" w:type="dxa"/>
            <w:vAlign w:val="bottom"/>
          </w:tcPr>
          <w:p>
            <w:pPr>
              <w:spacing w:after="0"/>
              <w:rPr>
                <w:sz w:val="24"/>
                <w:szCs w:val="24"/>
                <w:color w:val="auto"/>
              </w:rPr>
            </w:pPr>
          </w:p>
        </w:tc>
      </w:tr>
      <w:tr>
        <w:trPr>
          <w:trHeight w:val="229"/>
        </w:trPr>
        <w:tc>
          <w:tcPr>
            <w:tcW w:w="900" w:type="dxa"/>
            <w:vAlign w:val="bottom"/>
            <w:gridSpan w:val="2"/>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Item 15.</w:t>
              </w:r>
            </w:hyperlink>
          </w:p>
        </w:tc>
        <w:tc>
          <w:tcPr>
            <w:tcW w:w="9620" w:type="dxa"/>
            <w:vAlign w:val="bottom"/>
          </w:tcPr>
          <w:p>
            <w:pPr>
              <w:ind w:left="26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Exhibits and Financial Statement Schedules</w:t>
              </w:r>
            </w:hyperlink>
          </w:p>
        </w:tc>
        <w:tc>
          <w:tcPr>
            <w:tcW w:w="700" w:type="dxa"/>
            <w:vAlign w:val="bottom"/>
          </w:tcPr>
          <w:p>
            <w:pPr>
              <w:jc w:val="right"/>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93</w:t>
              </w:r>
            </w:hyperlink>
          </w:p>
        </w:tc>
      </w:tr>
      <w:tr>
        <w:trPr>
          <w:trHeight w:val="230"/>
        </w:trPr>
        <w:tc>
          <w:tcPr>
            <w:tcW w:w="900" w:type="dxa"/>
            <w:vAlign w:val="bottom"/>
            <w:gridSpan w:val="2"/>
          </w:tcPr>
          <w:p>
            <w:pPr>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Item 16.</w:t>
              </w:r>
            </w:hyperlink>
          </w:p>
        </w:tc>
        <w:tc>
          <w:tcPr>
            <w:tcW w:w="9620" w:type="dxa"/>
            <w:vAlign w:val="bottom"/>
          </w:tcPr>
          <w:p>
            <w:pPr>
              <w:ind w:left="26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Form 10-K Summary</w:t>
              </w:r>
            </w:hyperlink>
          </w:p>
        </w:tc>
        <w:tc>
          <w:tcPr>
            <w:tcW w:w="700" w:type="dxa"/>
            <w:vAlign w:val="bottom"/>
          </w:tcPr>
          <w:p>
            <w:pPr>
              <w:jc w:val="right"/>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95</w:t>
              </w:r>
            </w:hyperlink>
          </w:p>
        </w:tc>
      </w:tr>
    </w:tbl>
    <w:p>
      <w:pPr>
        <w:spacing w:after="0" w:line="200" w:lineRule="exact"/>
        <w:rPr>
          <w:sz w:val="20"/>
          <w:szCs w:val="20"/>
          <w:color w:val="auto"/>
        </w:rPr>
      </w:pPr>
    </w:p>
    <w:p>
      <w:pPr>
        <w:spacing w:after="0" w:line="35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All references in this Annual Report on Form 10-K to “Amkor,” “we,” “us,” “our” or the “company” are to Amkor Technology, Inc. and its subsidiaries. We refer to the Republic of Korea, which is also commonly known as South Korea, as “Korea”. All references to “J-Devices” are to Amkor Technology Japan, Inc., formerly known as J-Devices Corporation, our wholly owned subsidiary in Japan. Amounts preceded by ¥ are in Japanese yen. Amkor</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Amkor Technology</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ChipArray</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FusionQuad</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J-Devices</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w:t>
      </w:r>
      <w:r>
        <w:rPr>
          <w:rFonts w:ascii="Arial" w:cs="Arial" w:eastAsia="Arial" w:hAnsi="Arial"/>
          <w:sz w:val="18"/>
          <w:szCs w:val="18"/>
          <w:i w:val="1"/>
          <w:iCs w:val="1"/>
          <w:color w:val="auto"/>
        </w:rPr>
        <w:t>Micro</w:t>
      </w:r>
      <w:r>
        <w:rPr>
          <w:rFonts w:ascii="Arial" w:cs="Arial" w:eastAsia="Arial" w:hAnsi="Arial"/>
          <w:sz w:val="18"/>
          <w:szCs w:val="18"/>
          <w:color w:val="auto"/>
        </w:rPr>
        <w:t>LeadFrame</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TMV</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and SWIFT</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among others, are trademarks of Amkor Technology, Inc. All other trademarks appearing herein are held by their respective owners. Subsequent use of the above trademarks in this report may occur without the respective superscript symbol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w:t>
      </w:r>
      <w:r>
        <w:rPr>
          <w:rFonts w:ascii="Arial" w:cs="Arial" w:eastAsia="Arial" w:hAnsi="Arial"/>
          <w:sz w:val="23"/>
          <w:szCs w:val="23"/>
          <w:color w:val="auto"/>
          <w:vertAlign w:val="superscript"/>
        </w:rPr>
        <w:t>TM</w:t>
      </w:r>
      <w:r>
        <w:rPr>
          <w:rFonts w:ascii="Arial" w:cs="Arial" w:eastAsia="Arial" w:hAnsi="Arial"/>
          <w:sz w:val="18"/>
          <w:szCs w:val="18"/>
          <w:color w:val="auto"/>
        </w:rPr>
        <w:t>) in order to facilitate the readability of the report and are not a waiver of any rights that may be associated with the relevant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This report contains forward-looking statements within the meaning of the federal securities laws, including but not limited to statements regarding (1) the amount, timing and focus of our expected capital investments in 2021 including expenditures in support of advanced packaging and test equipment, (2) our ability to fund our operating activities and financial requirements for the next twelve months, (3) the effect of changes in revenue levels and capacity utilization on our gross margin, (4) the costs attributable to compliance with environmental laws and regulations or green initiatives, (5) the impact of the novel coronavirus disease, or Covid-19, pandemic on our operations and financial results, (6) the focus of our research and development activities, (7) the anticipated impact of the Tax Cuts and Jobs Act (the “Tax Act”) and tax law changes in the jurisdictions in which we operate, (8) the grant and expiration of tax holidays in jurisdictions in which we operate and expectations regarding our effective tax rate and the availability of tax incentives, (9) the creation or release of valuation allowances related to taxes in the future, (10) our repurchase or repayment of outstanding debt, (11) payment of dividends, (12) compliance with our covenants, (13) expected contributions to foreign pension plans and potential future conversion of our unfunded severance plan in Korea to a defined contribution plan, (14) liability for unrecognized tax benefits and the potential impact of our unrecognized tax benefits on our effective tax rate, (15) expected timing of and charges related to restructuring activities, (16) the effect of foreign currency exchange rate exposure on our financial results, (17) the volatility of the trading price of our common stock, (18) changes to our internal controls related to integration of acquired operations and implementation of an enterprise resource planning system, (19) our efforts to enlarge our customer base in certain geographic areas and markets, (20) demand for advanced packages in mobile and automotive devices and our technology leadership and potential growth in this market, (21) our expected forfeiture rate for outstanding stock options and restricted shares, (22) our expected rate of return for pension plan assets, (23) projects to install or integrate new information technology systems or upgrade our existing systems and (24) other statements that are not historical facts. In some cases, you can identify forward-looking statements by terminology such as “may,” “will,” “should,” “expects,” “plans,” “anticipates,” “believes,” “estimates,” “predicts,” “potential,” “continue,” “intend” or the negative of these terms or other comparable terminology. Because such statements include risks and uncertainties, actual results may differ materially from those anticipated in such forward-looking statements as a result of various factors, including those set forth in the following report as well as in Part I, 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Amkor is one of the world’s leading providers of outsourced semiconductor packaging and test services. Amkor pioneered the outsourcing of semiconductor packaging and test services through a predecessor corporation in 1968, and over the years we have built a leading position by:</w:t>
      </w:r>
    </w:p>
    <w:p>
      <w:pPr>
        <w:spacing w:after="0" w:line="92"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Designing and developing innovative packaging and test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Offering a broad portfolio of cost-effective solutions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Focusing on strategic end markets that offer solid growth potential;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Cultivating long-standing relationships with our customers, which include many of the world’s leading semiconductor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Collaborating with customers, original equipment manufacturers (“OEMs”) and equipment and material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Developing a competitive cost structure with disciplined capital investment;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Building expertise in high-volume manufacturing processes and developing a reputation for high quality and solid execution;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Providing a geographically diverse operating base, with research and development, engineering support and production capabilities at various facilities in China, Japan, Korea, Malaysia, the Philippines, Portugal and Taiwan.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packaging and test services are designed to meet application and chip specific requirements including: the required type of interconnect technology; size; thickness; and electrical, mechanical and thermal performance. We provide turnkey packaging and test services including semiconductor wafer bump, wafer probe, wafer back-grind, package design, packaging, system-level and final test and drop shipment services. Our customers use us for one or more of these services.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provide our services to integrated device manufacturers (“IDMs”), “fabless” semiconductor companies, OEMs and contract foundries. IDMs generally design, manufacture, package and test semiconductors in their own facilities. However, the availability of technologically advanced outsourced manufacturing services has encouraged IDMs to outsource a portion of their manufacturing. Fabless semiconductor companies do not have factories and focus exclusively on the semiconductor design process and outsource virtually every step of the manufacturing process. Fabless semiconductor companies utilize contract foundries to manufacture their semiconductors in wafer form and companies such as Amkor for their packaging and test needs. Some companies will engage a contract foundry to manage the complete semiconductor manufacturing process, and in turn, the contract foundry will outsource some of its packaging and test needs.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Amkor files annual, quarterly and current reports, proxy statements and other information with the U.S. Securities and Exchange Commission (the “SEC”). The SEC maintains a website that contains annual, quarterly and current reports, proxy statements and other information that issuers (including Amkor) file electronically with the SEC. The SEC’s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Amkor’s website is </w:t>
      </w:r>
      <w:r>
        <w:rPr>
          <w:rFonts w:ascii="Arial" w:cs="Arial" w:eastAsia="Arial" w:hAnsi="Arial"/>
          <w:sz w:val="17"/>
          <w:szCs w:val="17"/>
          <w:i w:val="1"/>
          <w:iCs w:val="1"/>
          <w:color w:val="auto"/>
        </w:rPr>
        <w:t>http://www.amkor.com.</w:t>
      </w:r>
      <w:r>
        <w:rPr>
          <w:rFonts w:ascii="Arial" w:cs="Arial" w:eastAsia="Arial" w:hAnsi="Arial"/>
          <w:sz w:val="17"/>
          <w:szCs w:val="17"/>
          <w:color w:val="auto"/>
        </w:rPr>
        <w:t xml:space="preserve"> Amkor makes available, free of charge, through its website: our annual reports on Form 10-K; quarterly reports on Form 10-Q; current reports on Form 8-K; Forms 3, 4 and 5 filed on behalf of directors and executive officers and any amendments to those reports filed or furnished pursuant to the Securities Exchange Act of 1934, as amended (the “Exchange Act”), as soon as reasonably practicable after such material is electronically filed with, or furnished to, the SEC. We also make available, free of charge, through our website,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Governance Guidelines, the charters of the Audit Committee, Nominating and Governance Committee and Compensation Committee of our Board of Directors, our Code of Business Conduct, our Code of Ethics for Directors and other information and materials. The information on Amkor’s website is not incorporated by reference into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Semiconductor devices are the essential building blocks used in most electronic products. As electronic and semiconductor devices have evolved, several important trends have emerged that have fueled the growth of the overall semiconductor industry, as well as the market for outsourced semiconductor packaging and test services. These trends include:</w:t>
      </w:r>
    </w:p>
    <w:p>
      <w:pPr>
        <w:spacing w:after="0" w:line="130" w:lineRule="exact"/>
        <w:rPr>
          <w:sz w:val="20"/>
          <w:szCs w:val="20"/>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increasing demand for mobile and connected devices, including the worldwide adoption of “smart” phones, tablets and other Internet-of-Things (IoT) devices that can access the internet and provide multimedia capabilities.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in mobility and connectivity capabilities and growing digital content driving demand for new broadband wired and wireless networking equipment.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proliferation of semiconductor devices into well-established end products such as automotive systems due to increased use of electronics for safety, navigation, fuel efficiency, emission reduction and entertainment systems.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overall increase in the semiconductor content within electronic products to provide greater functionality and higher levels of performance.</w:t>
      </w:r>
    </w:p>
    <w:p>
      <w:pPr>
        <w:spacing w:after="0" w:line="182"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emergence of specialized chips designed to collect, analyze and store the digital content driven by the growth of cloud computing. These chips, sometimes referred to as “chiplets,” include data accelerators, artificial intelligence and machine learning devices. The semiconductor industry is adopting a chiplet based approach to reduce the overall cost, improve the individual yields and deliver required performance. In this type of packaging, diverse dies of different geometries are positioned close to each other within the same package.</w:t>
      </w:r>
    </w:p>
    <w:p>
      <w:pPr>
        <w:spacing w:after="0" w:line="103"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growth of advanced System-in-Package (“SiP”) modules where multiple semiconductor and other electronic components with different functionalities are combined into a single package. The increasing demand for miniaturization and higher functionality at competitive cost is driving the adoption of advanced SiP in new products. Advanced SiPs are the primary vehicle for package-level integration, which allow customers to combine integrated circuits (“ICs”) from different silicon nodes and different foundries.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supplier in the semiconductor industry, our business is cyclical by nature and impacted by broad economic factors, such as worldwide gross domestic product and consumer spending. Historical trends indicate there has been a strong correlation between worldwide gross domestic product levels, consumer spending and semiconductor industry cycles.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Outsourcing Trends in Semiconductor Manufacturing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Semiconductor companies outsource their packaging and test needs to service providers such as Amkor for the following reasons: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 and test service providers have developed expertise in advanced technologies.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increasing demands for miniaturization, greater functionality, lower power consumption and improved thermal and electrical performance are driving the continuous development of semiconductor packaging and test technologies that are more sophisticated, complex and customized. This trend has led many semiconductor companies and OEMs to view packaging and test as enabling technologies requiring the kind of leading-edge expertise for technological innovation found in the leading outsourced assembly and test companies. At the same time, these companies are often looking to reduce the internal manufacturing and research and development costs in packaging and test solutions. As a result, many of these companies are increasingly relying on packaging and test service providers as key sources for new package designs and advanced interconnect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 and test service providers offer a cost-effective solution in a highly cyclical, capital intensive industry.</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semiconductor industry is cyclical by nature and impacted by broad economic factors, such as changes in worldwide gross domestic product and consumer spending. Semiconductor packaging and test are complex processes requiring substantial investment in specialized equipment, factories and human capital. As a result of this cyclicality and the large investments required, manufacturing facilities must operate at consistently high levels of utilization to be cost-effective. Shorter product life cycles, coupled with the need to update or replace packaging and test equipment to accommodate new package types, make it more difficult for integrated semiconductor companies to maintain cost-effective utilization of their packaging and test assets throughout semiconductor industry cycles. Packaging and test service providers, on the other hand, can typically use their assets to support a broad range of customers and multiple end markets, potentially generating more efficient use of their production assets and a more cost-effective solution.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 and test service providers can facilitate a more efficient supply chain and help shorten time-to-market for new products.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that semiconductor companies, together with their customers, are seeking to shorten the time-to-market for their new products and that having an effective supply chain is a critical factor in facilitating timely and successful product introductions. Packaging and test service providers have the resources and expertise to timely develop their capabilities and implement new packaging technology in volume. For this reason, semiconductor companies and OEMs are leveraging the capabilities of packaging and test service providers to deliver their new products to market more quickly.</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High quality packaging and test service providers enable semiconductor manufacturers to focus their resources on semiconductor design and wafer fabrication.</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semiconductor process technology migrates to larger wafers and smaller feature sizes, the cost of building a state-of-the-art wafer fabrication factory has risen significantly and can now be several billions of dollars. The high cost of investing in next generation silicon technology and equipment is causing many semiconductor companies to adopt or maintain a “fabless” or “fab-lite” strategy to reduce or eliminate their investment in wafer fabrication and associated packaging and test operations. As a result, these companies are increasing their reliance on outsourced providers of semiconductor manufacturing services, including packaging and test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COMPETITIVE STRENGTHS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goals are sales growth and improved profitability, and we are focusing on the following strategies to achieve these goals: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Our Investment in Services for Advanced Technologies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an industry leader in developing and commercializing cost-effective advanced packaging and test technologies. We believe these advanced technology solutions provide increased value to our customers. An important factor for success in the advanced packaging and test area is to generate reasonably quick returns on investments made in support of customers seeking leading-edge technologies.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recent years we have made significant investments in state-of-the-art facilities and equipment to provide services for the industry’s most complex devices. With approximately 650 employees engaged in research and development and manufacturing process engineering for new semiconductor packaging and test technologies, we are a technology leader in areas such as fine pitch bumping, advanced flip chip, wafer-level processing and advanced SiPs. During 2020, we had success capitalizing on our advanced technology to achieve design wins and new product introductions in areas such as: chips fabricated at 5, 7, 10, 14 and 16 nanometer geometries; advanced SiP products including radio frequency (“RF”), front end modules and micro-electro-mechanical systems (“MEMS”) devices; optical sensors and cavity MEMS; advanced Flip Chip with Through Silicon Via (“TSV”) technology; wafer-level Chip Scale Packaging (“CSP”); and wafer-level fan-out packages.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work closely with our customers to develop cost-effective leading-edge packages for the next generation of devices. These include integrated technologies such as advanced SiP, wafer-level fan-out, Silicon Wafer Integrated Fan-out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Technology (“SWIFT”), High Density Fan-Out (“HDFO”) and redistribution layer (“RDL”) solutions which enable very thin, very small products combining application processors, memory, baseband and other peripheral integrated circuits (“ICs”). They also include packages utilizing TSV interconnects and silicon interposers which enable the integration of high-performance chips such as high bandwidth memory and graphics processors into a single package. Our approach is to work with lead customers to develop processes that will enable volume manufacturing with high yields and reliability.</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advanced packaging services will continue to grow as our customers and leading electronics OEMs strive for smaller device geometries, higher levels of integration and performance and lower power consumption. We intend to continue to leverage our investment in advanced technology to meet the demand for these services in high growth markets.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 Utilization of Existing Assets and Broaden Our Customer Base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Another key to our success is to improve the utilization of our existing assets. The transition by leading edge customers to newer packaging and test equipment platforms typically frees up capacity in existing, previously installed equipment. As part of our strategy, we are focused on developing a second wave of customers to more effectively utilize these assets over a longer period of time. We are building and utilizing manufacturing lines which support multiple customers and increasing factory utilization through more sophisticated planning processes and more intensive efficiency improvement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Balanced Growth</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growth is a significant objective for Amkor. We strive to grow in a balanced way and avoid over-reliance on any single market or customer. Our goal is to achieve more consistent financial performance through all phases of the business cycle. Our balanced growth strategy consists of the following two components:</w:t>
      </w:r>
    </w:p>
    <w:p>
      <w:pPr>
        <w:spacing w:after="0" w:line="130" w:lineRule="exact"/>
        <w:rPr>
          <w:sz w:val="20"/>
          <w:szCs w:val="20"/>
          <w:color w:val="auto"/>
        </w:rPr>
      </w:pPr>
    </w:p>
    <w:p>
      <w:pPr>
        <w:jc w:val="both"/>
        <w:ind w:left="660" w:hanging="328"/>
        <w:spacing w:after="0" w:line="270"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First, we are increasing our revenue in markets beyond communications, including consumer, computing and automotive and industrial end markets. As computing power increases in additional applications, these additional markets are requiring more advanced packaging technology. Revenue from these markets tends to be more stable, with less pronounced seasonality tied to the launch of flagship phones.</w:t>
      </w:r>
    </w:p>
    <w:p>
      <w:pPr>
        <w:spacing w:after="0" w:line="109"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 we continue to focus on share gains in the iOS and high-end Android ecosystems, leveraging our expertise in advanced SiP, MEMS and other advanced packages to expand our content in next generation 5G phones.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Selectively Grow Our Scale and Scope through Strategic Investments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see attractive opportunities to grow our customer base and expand markets through strategic investments. For example, in 2017 we completed the acquisition of Nanium, S.A. (“Nanium”), a provider of wafer-level fan-out semiconductor packaging solutions. We believe that this acquisition has strengthened our position in the market for wafer-level packaging.</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selective growth through joint ventures, acquisitions and other strategic investments can help diversify our revenue streams, improve our profits and maintain our technological leadership.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outsourced semiconductor packaging and test market is very competitive. We also compete with the internal semiconductor packaging and test capabilities of many of our customers and foundries. We believe we are well-positioned in the outsourced packaging and test services market. The following competitive strengths allow us to build upon our industry position and to remain one of the preferred providers of semiconductor packaging and test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Leading Technology Innovator</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leader in developing and deploying advanced semiconductor packaging and test solutions. We have designed and developed several state-of-the-art package formats and technologies, including our Package-on-Package (“PoP”) platform with Through Mold Via (“TMV”) technology, molded embedded packages, FusionQuad, flip chip ball grid array, multi-chip modules with a silicon interposer placed between the module chips and substrate, copper pillar bumping and fine pitch copper pillar flip chip packaging technologies. In addition, we believe that as semiconductor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technology continues to achieve smaller device geometries with higher levels of integration, speed and performance, packages will increasingly require wafer-level CSP, wafer-level fan-out, SWIFT and flip chip interconnect solutions and advanced SiP products.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continue to invest in developing the key processes and packaging and test technologies required for our customers to deliver advanced integrated and modular solutions to market. We are a leader in wafer thinning, micro-bumping, die stacking, hybrid packaging and TSV-based flip chip innovation. We are also a developer of environmentally friendly IC packaging, which involves the elimination of lead and certain other materials.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Long-Standing Relationships and Collaboration with Prominent Semiconductor Companies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customers include most of the world’s largest semiconductor companies, and over the last five decades we have developed long-standing relationships with many of these companies. We believe that our production excellence has been a key factor in our success in attracting and retaining customers. We work with our customers and our suppliers to develop proprietary process technologies to enhance our existing capabilities, reduce time-to-market, increase quality and lower costs.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focus on research and product development will enable us to enter new markets early, capture market share and promote the adoption of our new package designs as industry standards. We collaborate with customers and leading OEMs to develop comprehensive packaging solutions that make it easier for next-generation semiconductors to be designed into next-generation end products. By collaborating with leading semiconductor companies and OEM electronic companies, we gain access to technology roadmaps that allow us to focus resources on developing new packages that satisfy their future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 Offering of Semiconductor Package Design, Packaging and Test Services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Creating successful interconnect solutions for advanced semiconductor devices often poses unique thermal, electrical and mechanical design challenges, and we employ a large number of engineers to solve these challenges for a wide variety of products. This wide variety of packaging offerings is necessary to meet the diverse needs of our customers for the optimal combination of performance, size and cost attributes. Our solutions enable our customers to focus on semiconductor design and wafer fabrication while utilizing Amkor as their turnkey design, packaging and test services provider and, in many cases, their packaging technology innovator.</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also offer an extensive line of advanced probe and final test services for analog, digital, logic, mixed signal and RF semiconductor devices. We believe that the breadth of our design, packaging and test services is important to customers seeking to limit the number of their suppliers.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Geographically Diversified Operating Base</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 broad and geographically diversified operating footprint strategically located in seven countries in many of the world’s important electronics manufacturing regions. We believe that our scale and scope allow us to provide a flexible supply chain and cost-effective solutions to our customers by:</w:t>
      </w:r>
    </w:p>
    <w:p>
      <w:pPr>
        <w:spacing w:after="0" w:line="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Offering capacity to absorb large orders and accommodate quick turn-around times;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Obtaining favorable pricing on materials and equipment, where possible, by using our purchasing power and leading industry position;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Qualifying production of customer devices at multiple manufacturing sites to mitigate the risks of supply disruptions;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capabilities and solutions for customer-specific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Cost Structure and Disciplined Capital Investment</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is a continuous push throughout the entire semiconductor supply chain for lower cost solutions. We work to maintain a competitive cost structure and make disciplined capital investment decisions so that we can provide cost-competitive solutions to our customers and achieve sustainable profitability and cash flow. Some of our cost control efforts have been directed at: (1) improving the utilization of our existing assets; (2) developing new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methods to reduce processing costs; (3) utilizing flexible manufacturing lines that can accommodate a variety of products and customers; (4) increasing test densities to drive higher throughput; (5) implementing more cost-effective materials; (6) utilizing our scale to drive worldwide purchasing leverage; and (7) increasing labor productivity.</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in a cyclical industry. During an industry downturn we seek to reduce our costs and drive greater factory and administrative efficiencies. Cost control efforts can include reducing labor costs by temporarily lowering compensation, reducing employee and contractor headcount, shortening work weeks and obtaining labor-related foreign government subsidies where available.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PACKAGING AND TEST SERVICES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general, the semiconductor manufacturing process consists of IC design, wafer fabrication, wafer probe, packaging and final test. The packaging and test services we provide occur subsequent to wafer fabrication. The wafers that we receive from our customers are generally consigned to us; we do not own the consigned wafers or record their value in our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Advanced Products and Mainstream Products</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offer a broad range of advanced and mainstream packaging and test services to our customers. We refer to our flip chip, wafer-level processing and related test services as “Advanced Products”, and our wirebond packaging and related test services as “Mainstream Products”. The following table sets forth, for the periods indicated, the amount of advanced and mainstream packaging and test net sales and the percentage of such net sales: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For the Year Ended December 31,</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29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070"/>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4"/>
                <w:szCs w:val="14"/>
                <w:b w:val="1"/>
                <w:bCs w:val="1"/>
                <w:color w:val="auto"/>
                <w:w w:val="96"/>
              </w:rPr>
              <w:t>2018</w:t>
            </w:r>
          </w:p>
        </w:tc>
      </w:tr>
      <w:tr>
        <w:trPr>
          <w:trHeight w:val="183"/>
        </w:trPr>
        <w:tc>
          <w:tcPr>
            <w:tcW w:w="2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0"/>
              </w:rPr>
              <w:t>(In millions, except percentage of net sales)</w:t>
            </w: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1"/>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Products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52.1 %</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49.1 %</w:t>
            </w: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Mainstream Products</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1,942</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47.9 %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2,198</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50.9 %</w:t>
            </w:r>
          </w:p>
        </w:tc>
      </w:tr>
      <w:tr>
        <w:trPr>
          <w:trHeight w:val="248"/>
        </w:trPr>
        <w:tc>
          <w:tcPr>
            <w:tcW w:w="2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net sales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Products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Advanced Products include flip chip chip scale packages, wafer-level packages and flip chip ball grid array packages. These package families use flip chip interconnect technology so that the die can be connected to a substrate package carrier or, in the case of wafer-level chip scale packages, directly to a printed circuit board.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Flip Chip Chip Scale Package (“FC CSP”) Products</w:t>
      </w:r>
      <w:r>
        <w:rPr>
          <w:rFonts w:ascii="Arial" w:cs="Arial" w:eastAsia="Arial" w:hAnsi="Arial"/>
          <w:sz w:val="18"/>
          <w:szCs w:val="18"/>
          <w:color w:val="auto"/>
        </w:rPr>
        <w:t>: FC CSP packages are small form factor packages where the substrate size is not much larger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die itself. The size advantage provided by CSP technologies has made FC CSP an attractive choice for a wide variety of applications that require very small form factors such as smartphones, tablets and other mobile consumer electronic devices.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Flip chip stacked chip scale packages (“FC SCSP”) stack a second die on top of the original flip-chip die. The top die is typically a memory device, and wirebond interconnects are used to attach it to the substrate. FC SCSP is frequently used to stack memory on top of digital baseband and applications processors for use in mobile devices.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drive thinner package solutions for our PoP technology through the development of ultra-thin substrates and enhancing our pre-stacking and thin die handling capabilities.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developed fine pitch copper pillar flip chip interconnect technology, which creates interconnections at finer pitches using a plating process to reduce the number of substrate layers to facilitate very thin packages. This innovative solution is also an enabling technology for package stacking with TSVs.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Flip Chip Ball Grid Array (“FC BGA”) Products</w:t>
      </w:r>
      <w:r>
        <w:rPr>
          <w:rFonts w:ascii="Arial" w:cs="Arial" w:eastAsia="Arial" w:hAnsi="Arial"/>
          <w:sz w:val="17"/>
          <w:szCs w:val="17"/>
          <w:color w:val="auto"/>
        </w:rPr>
        <w:t>: FC BGA packages are large form factor substrate-based packages which are used where processing</w:t>
      </w:r>
      <w:r>
        <w:rPr>
          <w:rFonts w:ascii="Arial" w:cs="Arial" w:eastAsia="Arial" w:hAnsi="Arial"/>
          <w:sz w:val="17"/>
          <w:szCs w:val="17"/>
          <w:i w:val="1"/>
          <w:iCs w:val="1"/>
          <w:color w:val="auto"/>
        </w:rPr>
        <w:t xml:space="preserve"> </w:t>
      </w:r>
      <w:r>
        <w:rPr>
          <w:rFonts w:ascii="Arial" w:cs="Arial" w:eastAsia="Arial" w:hAnsi="Arial"/>
          <w:sz w:val="17"/>
          <w:szCs w:val="17"/>
          <w:color w:val="auto"/>
        </w:rPr>
        <w:t>power and speed are needed and small form factors are not required. Our FC BGA packages are assembled around state-of-the-art substrates. Utilizing multiple high density routing layers, laser drilled vias, and ultra-fine line and space metallization, FC BGA substrates have the highest routing density available. The variety of FC BGA package options allows package selection to be tailored to the specific thermal needs of the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product. We offer FC BGA packaging in a variety of product formats to fit a wide range of end application requirements, including networking, storage, computing and consumer applications.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Wafer-level Package Products</w:t>
      </w:r>
      <w:r>
        <w:rPr>
          <w:rFonts w:ascii="Arial" w:cs="Arial" w:eastAsia="Arial" w:hAnsi="Arial"/>
          <w:sz w:val="18"/>
          <w:szCs w:val="18"/>
          <w:color w:val="auto"/>
        </w:rPr>
        <w:t>: We offer three types of wafer-level packages: Wafer-level CSP; wafer-level fan-out; and SWIFT.</w:t>
      </w:r>
    </w:p>
    <w:p>
      <w:pPr>
        <w:spacing w:after="0" w:line="171" w:lineRule="exact"/>
        <w:rPr>
          <w:sz w:val="20"/>
          <w:szCs w:val="20"/>
          <w:color w:val="auto"/>
        </w:rPr>
      </w:pPr>
    </w:p>
    <w:p>
      <w:pPr>
        <w:jc w:val="both"/>
        <w:ind w:left="6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Wafer-level CSP packages (also known as fan-in wafer-level packages) do not utilize a package carrier. The bumped wafer is singulated into individual die, and the wafer-level package is then attached directly to the system board. Wafer-level CSP offers one of the lowest total system costs, enabling higher semiconductor content while leveraging the smallest form factor and one of the highest performing, most reliable semiconductor package platforms on the market today. We have seen consistent content gains in our wafer-level CSP business, driven largely by mobile communications. Applications for wafer-level CSP include power management, transceivers, sensors, wireless charging, codecs and specialty silicon for new or unique functionality.</w:t>
      </w:r>
    </w:p>
    <w:p>
      <w:pPr>
        <w:spacing w:after="0" w:line="138"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Wafer-level fan-out packages (also known as low-density fan-out packages) are utilized for ICs where the die surface area is too small to accommodate all of the bond pads. The fan-out package enlarges the bondable surface area by building a border around the die using low-cost molding compound. Wafer-level CSP and wafer-level fan-out are complementary technologies. Customers can choose between the two package types as their die sizes shrink or grow. With the acquisition of Nanium, we became a leader in low-density fan-out technology.</w:t>
      </w:r>
    </w:p>
    <w:p>
      <w:pPr>
        <w:spacing w:after="0" w:line="117"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Silicon Wafer Integrated Fan-out Technology (“SWIFT”, also known as high-density fan-out) replaces a laminate substrate with a thinner structure. SWIFT solutions enable very thin, very small products combining application processors, memory, baseband and other peripheral ICs.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Mainstream Products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Mainstream Products include leadframe packages, substrate-based wirebond packages and MEMS packages. These package families use wirebond interconnect technology to connect a die to a leadframe or substrate package carrier.</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Leadframe Packages: </w:t>
      </w:r>
      <w:r>
        <w:rPr>
          <w:rFonts w:ascii="Arial" w:cs="Arial" w:eastAsia="Arial" w:hAnsi="Arial"/>
          <w:sz w:val="16"/>
          <w:szCs w:val="16"/>
          <w:color w:val="auto"/>
        </w:rPr>
        <w:t>Leadframe packages use wirebond or flip chip technology to interconnect a die to a leadframe package carrier. Leadframe packages</w:t>
      </w:r>
      <w:r>
        <w:rPr>
          <w:rFonts w:ascii="Arial" w:cs="Arial" w:eastAsia="Arial" w:hAnsi="Arial"/>
          <w:sz w:val="16"/>
          <w:szCs w:val="16"/>
          <w:i w:val="1"/>
          <w:iCs w:val="1"/>
          <w:color w:val="auto"/>
        </w:rPr>
        <w:t xml:space="preserve"> </w:t>
      </w:r>
      <w:r>
        <w:rPr>
          <w:rFonts w:ascii="Arial" w:cs="Arial" w:eastAsia="Arial" w:hAnsi="Arial"/>
          <w:sz w:val="16"/>
          <w:szCs w:val="16"/>
          <w:color w:val="auto"/>
        </w:rPr>
        <w:t>are used in many electronic devices and remain the most practical and cost-effective solution for many low to medium pin count applications.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Traditional leadframe packages support a wide variety of device types and applications. Two of our most popular traditional leadframe package types are small outline integrated circuit and quad flat package, commonly known as “dual” and “quad” products, respectively, based upon the number of sides from which the leads extend. The traditional leadframe package family has evolved from “through hole design,” where the leads are plugged into holes on the circuit board to “surface mount design,” where the leads are soldered to the surface of the circuit board. We offer a wide range of lead counts and body sizes to satisfy variations in the size of customers’ semiconductor devices.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Through a process of continuous engineering and customization, we have designed several leadframe package types that are thinner and smaller than traditional leadframe packages and can accommodate more leads on the perimeter of the package. These leadframe packages typically have superior thermal and electrical characteristics, which allow them to dissipate heat generated by high-powered semiconductor devices while providing enhanced electrical connectivity. We are developing increasingly smaller versions of these packages to keep pace with continually shrinking semiconductor device sizes and demand for miniaturization of portable electronic products. One of our more successful leadframe package offerings is the </w:t>
      </w:r>
      <w:r>
        <w:rPr>
          <w:rFonts w:ascii="Arial" w:cs="Arial" w:eastAsia="Arial" w:hAnsi="Arial"/>
          <w:sz w:val="18"/>
          <w:szCs w:val="18"/>
          <w:i w:val="1"/>
          <w:iCs w:val="1"/>
          <w:color w:val="auto"/>
        </w:rPr>
        <w:t>Micro</w:t>
      </w:r>
      <w:r>
        <w:rPr>
          <w:rFonts w:ascii="Arial" w:cs="Arial" w:eastAsia="Arial" w:hAnsi="Arial"/>
          <w:sz w:val="18"/>
          <w:szCs w:val="18"/>
          <w:color w:val="auto"/>
        </w:rPr>
        <w:t>LeadFrame family of quad flat no lead packages.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Power discrete devices use a leadframe as the package carrier and primarily use wirebond interconnect technology. However, power applications that require improved thermal and electrical performance will use packaging with copper clip interconnect technology.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Substrate-based Wirebond Packages</w:t>
      </w:r>
      <w:r>
        <w:rPr>
          <w:rFonts w:ascii="Arial" w:cs="Arial" w:eastAsia="Arial" w:hAnsi="Arial"/>
          <w:sz w:val="18"/>
          <w:szCs w:val="18"/>
          <w:color w:val="auto"/>
        </w:rPr>
        <w:t>: Substrate-based wirebond packages use wirebond technology to connect a die to a substrate. Some of our packages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category include stacked CSP, wirebond ball grid array packages and plastic ball grid array (“PBGA”) packages.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Stacked CSP technology enables the stacking of a wide range of different semiconductor devices to deliver high levels of silicon integration and area efficiency. Stacked CSP utilizes high density thin core substrates and advanced materials, along with leading-edge wafer thinning, die attach and molding capabilities, to stack multiple die on a substrate. Stacked CSP is ideal for memory and mixed signal applications.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Wirebond ball grid array packages offer a broad selection of ball array pitches, ball counts and body sizes, single and multi-die layouts, stacked die and passive component integration. They are applicable for a wide range of semiconductors requiring a smaller package size than conventional PBGAs or leadframe packages.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PBGA packages are used in applications requiring higher pin count than leadframe packages, but typically have lower pin counts than flip chip. PBGA packages are designed for low inductance, improved thermal operation and enhanced surface-mount technology ability. Custom performance enhancements, like ground and power planes, are also available.</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Micro-Electro-Mechanical Systems Packages</w:t>
      </w:r>
      <w:r>
        <w:rPr>
          <w:rFonts w:ascii="Arial" w:cs="Arial" w:eastAsia="Arial" w:hAnsi="Arial"/>
          <w:sz w:val="17"/>
          <w:szCs w:val="17"/>
          <w:color w:val="auto"/>
        </w:rPr>
        <w:t>: MEMS are miniaturized mechanical and electro-mechanical devices that can sense and provide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about the physical world and sometimes trigger a response. Examples of MEMS devices include microphones, accelerometers, airbag deployment sensors, gyrometers, magnetometers, and humidity, temperature and pressure sensors. We also specialize in sensor fusion products which utilize our cavity MEMS platform and combine multiple sensors into a single package. MEMS packages leverage our expertise in wafer thinning, die stacking, wirebonding and flip chip interconnect to deliver sophisticated products with a very small form factor.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System-in-Package Modules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Advanced SiP modules combine multiple semiconductor and other electronic components with different functionalities into a single package. These modules use wirebond, flip chip or wafer-level interconnect technologies. Components can include integrated circuits, passive devices (inductors, capacitors, resistors, filters and diplexers), antennas and mechanical parts.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increasing demand for miniaturization and higher functionality at competitive cost is driving the adoption of advanced SiP in new products. Advanced SiP modules are used for many applications such as RF and front end modules, basebands, connectivity, fingerprint sensors, display and touch screen drivers, sensors and MEMS, NAND memory and solid state drives. Advanced SiP modules are found in many products including smartphones and tablets, automobiles, IoT wearables, high-performance gaming systems, computers and network systems.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2020, 2019 and 2018, we had net sales of approximately $1,885 million, $1,075 million and $990 million, respectively, from our advanced SiP modules which are included in either Advanced Products or Mainstream Products depending upon the interconnect technology used in the module.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Markets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the end markets that use our products and sets forth, for the periods indicated, the percentage of net sales in each end market.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r>
      <w:tr>
        <w:trPr>
          <w:trHeight w:val="152"/>
        </w:trPr>
        <w:tc>
          <w:tcPr>
            <w:tcW w:w="798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w w:val="92"/>
              </w:rPr>
              <w:t xml:space="preserve">End Market Distribution Data </w:t>
            </w:r>
            <w:r>
              <w:rPr>
                <w:rFonts w:ascii="Arial" w:cs="Arial" w:eastAsia="Arial" w:hAnsi="Arial"/>
                <w:sz w:val="16"/>
                <w:szCs w:val="16"/>
                <w:color w:val="auto"/>
                <w:w w:val="92"/>
              </w:rPr>
              <w:t>(an approximation including representative devices and applications based on a sampling</w:t>
            </w: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our largest customers):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Communications (handheld devices, smart phones, tablets)</w:t>
            </w:r>
          </w:p>
        </w:tc>
        <w:tc>
          <w:tcPr>
            <w:tcW w:w="1000" w:type="dxa"/>
            <w:vAlign w:val="bottom"/>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44 %</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 (connected home, set-top boxes, televisions, visual imaging, wearables)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Automotive, industrial and other (driver assist, infotainment, performance, safety)</w:t>
            </w:r>
          </w:p>
        </w:tc>
        <w:tc>
          <w:tcPr>
            <w:tcW w:w="100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26 %</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Computing (datacenter, infrastructure, PC/laptops, storage)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Total net sales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23"/>
        </w:trPr>
        <w:tc>
          <w:tcPr>
            <w:tcW w:w="7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research efforts focus on developing new packaging solutions and test services, as well as improving the efficiency and capabilities of our existing production processes. We believe that technology development is one of the keys to success in the semiconductor packaging and test industry. By concentrating our research and development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customers’ needs for innovative packages, increased performance and lower cost, we gain opportunities to enter markets early, capture market share and promote our new package offerings as industry standards.</w:t>
      </w:r>
    </w:p>
    <w:p>
      <w:pPr>
        <w:spacing w:after="0" w:line="1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One of our top priorities is developing highly integrated modules for the next generation of mobile devices, which reduce material and processing costs and minimize form factor. This development effort is particularly important for customers requiring miniaturization of high performance functionality in the mobile phone and consumer markets. Another important focus area is the development of wafer-level packages for larger chips. These wafer-level chip-scale packages and wafer-level fan-out (low density) packages are increasingly the preferred package type for many chips used in mobile devices. They provide a very low-profile product at a competitive cost. We are also developing new applications for the automotive market using existing and new package technologies as higher performance compute and sensor content are used to support new automotive features including ADAS, infotainment and electric vehicles.</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Another focus for development is in the area of integrated multi-die solutions, including higher density MCMs and wafer-level fan-out solutions which enable package level integration of different types and levels of silicon technologies. This is accomplished by combining application processors and other chiplets into one packaged module. Through the use of die partitioning and heterogeneous die integration, these modules provide higher functionality at lower total product cost.</w:t>
      </w:r>
    </w:p>
    <w:p>
      <w:pPr>
        <w:spacing w:after="0" w:line="13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research and development employees are based in Korea, the United States, Portugal and throughout other parts of Asia. In 2020, we had approximately 650 employees engaged in research and development activities. In 2020, 2019 and 2018, we incurred $140.7 million, $137.6 million and $157.2 million, respectively, of research and development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sales offices are located throughout Asia, Europe and North America. Our support personnel manage and promote our packaging and test services and provide key customer and technical support. To provide comprehensive sales and customer service, we typically assign our customers a direct support team consisting of an account manager, technical program manager, test program manager and both field and factory customer support representatives. We also support our largest multinational customers from multiple office locations to ensure that we are aligned with their global operational and business requirements.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direct support teams are further supported by an extended staff of product, process, quality and reliability engineers, as well as marketing and advertising specialists, information systems technicians and factory personnel. Together, these direct and extended support teams deliver an array of services to our customers.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sales have generally been higher in the second half of the year than in the first half due to the effect of consumer buying patterns in the U.S., Europe and Asia and the timing of flagship mobile device launches. In addition, semiconductor companies generally reduce their production during the holidays at the end of December, which generally results in a decrease in packaging and test services during the first quarter. General economic conditions, changes in our product mix or overall demand in any of our end-markets can impact our seasonality.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2020, we had approximately 250 customers, including many of the largest semiconductor companies in the world. Our ten largest customers accounted for 65% of our net sales in 2020. Direct sales to Apple Inc., our largest customer, increased during 2020 and accounted for 14.5% of our net revenue for the year ended December 31,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EQUIPMENT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materials are used primarily for packaging activities. Our packaging operations depend upon obtaining adequate supplies of materials on a timely basis. The principal materials used in our packaging process are leadframes, laminate substrates, gold and copper wire, mold compound, epoxy, tubes and trays. The silicon wafer is generally consigned from the customer. We generally do not take ownership of the customer consigned wafer, and title and risk of loss remains with the customer for these materials. Test materials constitute a very small portion of our total test cost. We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materials based on customer forecasts, and our customers are generally responsible for any unused materials which we purchased based on such forecasts.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obtain the materials required for packaging services from various suppliers. We source most of our materials, including critical materials such as leadframes, laminate substrates and gold wire, from a limited group of suppliers. We work closely with our primary material suppliers in an effort to ensure consistent quality, availability and timely delivery. We also negotiate worldwide pricing agreements with our major suppliers to take advantage of the scale of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ability to meet the changing demand from our customers for manufacturing capacity depends upon obtaining packaging and test equipment in a timely manner. We work closely with our main equipment suppliers to coordinate the ordering and delivery of equipment to meet our expected capacity needs.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types of equipment used in providing our packaging services are wirebonders and die bonders. In addition, we maintain a variety of other packaging equipment, including mold, singulation, die attach, ball attach and wafer backgrind, along with numerous other types of manufacturing equipment. A substantial portion of our packaging equipment base can generally be used and adapted to support the manufacture of many of our packages through the use of relatively low cost tooling, although equipment used in advanced packaging can be more difficult to redeploy than equipment used in traditional wirebond packaging.</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purchase wafer bumping equipment to facilitate our flip chip and wafer level packaging services. Wafer bump equipment includes sputter and spin coaters, electroplating equipment, reflow ovens and other types of equipment. This equipment tends to have longer lead times for delivery and installation than other packaging equipment and is sold in relatively larger increments of capacity.</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primary equipment used in the testing process includes testers, handlers and probers. Handlers are used to transfer individual or small groups of packaged ICs to a tester. Test equipment is generally a more capital intensive portion of the process and tends to have longer delivery lead times than most types of packaging equipment. We focus our capital expenditures on standardized tester platforms in order to maximize test equipment utilization where possible. In some cases, our customers will consign test equipment to us. In those cases, we operate the equipment on their behalf but do not own it.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public company with global operations, we are subject to various federal, state, local, and foreign laws and our products and services are governed by a number of rules and regulations. These regulations, which differ among jurisdictions, include those related to financial and other disclosures, accounting standards, environmental, corporate governance, intellectual property, tax, trade, antitrust, employment, immigration and travel regulations, privacy, and anti-corruption. Costs and accruals incurred to comply with these governmental regulations are presently not material to our capital expenditures, results of operations and competitive position. Although there is no assurance that existing or future government laws applicable to our operations, services or products will not have a material adverse effect on our capital expenditures, results of operations and competitive position, we do not currently anticipate material expenditures for compliance with government regulations.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use chemicals and materials in the semiconductor packaging process that generate byproducts such as wastewater, solid waste and flue gas. For example, water used for rinsing or cooling wafers being sawed or used in the etching or solder deposition process produces wastewater. Scraps from metal lead-frame or substrate or excessive molding resin produces solid waste. Emissions from solvents used for coating produce flue gases. In addition to byproducts, semiconductor packages have historically contained lead (“Pb”), a naturally occurring element that can be toxic. The use of Pb in our packages has decreased over time due to the use of Pb-free alternatives. The use and storage of chemicals and materials are subject to various laws and regulations governing waste disposal, water discharge, emissions into the atmosphere and employee health and safety. We are engaged in continuing efforts to comply with these environmental laws and regulations, including the establishment of Environmental Management Systems, safety training for employees and installation of pollution control equipment at our factories.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future we may be subject to changes to existing environmental regulations or new green initiatives required by our customers, investors or other stakeholders. We do not believe that capital expenditures or other costs attributable to compliance with environmental laws and regulations or green initiatives will have a material adverse effect on our business, liquidity, results of operations, financial condition or cash flows.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committed to responsible environmental practices that go beyond legal requirements in conducting our business. These environmental practices include:</w:t>
      </w:r>
    </w:p>
    <w:p>
      <w:pPr>
        <w:spacing w:after="0" w:line="116" w:lineRule="exact"/>
        <w:rPr>
          <w:sz w:val="20"/>
          <w:szCs w:val="20"/>
          <w:color w:val="auto"/>
        </w:rPr>
      </w:pPr>
    </w:p>
    <w:p>
      <w:pPr>
        <w:ind w:left="340" w:hanging="332"/>
        <w:spacing w:after="0" w:line="27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Certification of our factories worldwide to International Organization for Standards (“ISO”) framework 14001, widely recognized as the standard for effective Environmental Management Systems.</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Measurement and independent verification of greenhouse gases (“GHG”) generated by our factories worldwide. Once collected, our GHG data is submitted to, and disclosed publicly by, the CDP, formerly known as the Carbon Disclosure Project. CDP is a leading organization that assesses the impact of climate change and promotes a sustainable economy.</w:t>
      </w:r>
    </w:p>
    <w:p>
      <w:pPr>
        <w:spacing w:after="0" w:line="129"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Membership in the Responsible Business Alliance (“RBA”), an international industry group dedicated to corporate social responsibility. RBA members agree to follow a uniform Code of Conduct that includes standards of environmental responsibility, and our factories have been subject to independent audits to assess compliance with these standards.</w:t>
      </w:r>
    </w:p>
    <w:p>
      <w:pPr>
        <w:spacing w:after="0" w:line="129"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investment and process optimization activities to reduce GHGs include installation of solar photovoltaic panels, replacement of or improvements to chiller unit systems and use of lighting based on Light Emitting Diode (“LED”) technology.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outsourced semiconductor packaging and test market is very competitive. We face substantial competition from established packaging and test service providers primarily located in Asia, including companies with significant manufacturing capacity, financial resources, research and development operations, marketing and other capabilities. These companies include ASE Technology Holding Co., Ltd. and JCET Group Co., Ltd. Such companies also have developed relationships with most of the world’s largest semiconductor companies, including current or potential customers of Amkor.</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compete with the internal semiconductor packaging and test capabilities of many of our customers. Our IDM customers continually evaluate the attractiveness of outsourced services against their own in-house packaging and test services and at times may decide to shift some or all of their outsourced packaging and test services to internally sourced capacity. We also compete with contract foundries, such as Taiwan Semiconductor Manufacturing Company Limited and Samsung Electronics Co., Ltd., which offer full turnkey services from silicon wafer fabrication through packaging and final test. In addition, we compete with companies that offer only test services and not packaging.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elements of competition in the semiconductor packaging and test services market include:</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technical competence;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packaging and test services offered, including turnkey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package and test design, technology innovation and implementation;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cycle times;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available capacity;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invest in capacity, geographic location and scale of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compete favorably with respect to each of these elements.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an active program to protect and derive value from our investment in technology and the associated intellectual property rights. Intellectual property rights that apply to our various products and services include patents, copyrights, trade secrets and trademarks. We have filed and obtained a number of patents in the U.S. and abroad, and their durations vary depending on the jurisdiction in which each patent is filed. Although our patents are an important element of our intellectual property strategy as a whole, we are not materially dependent on any one patent or any one technology. We expect to continue to file patent applications when appropriate to protect our proprietary technologies, but we cannot assure you that we will receive patents from pending or future applications. In addition, any patents we obtain may be challenged, invalidated or circumvented and may not provide meaningful protection or other commercial advantage to us.</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also protect and maintain the confidentiality of certain information about our processes, products and strategies which we believe provides us with a competitive advantage. We have ongoing programs designed to maintain the confidentiality of such information. As part of these efforts, all employees who have access to Amkor’s information systems are required to participate in cybersecurity training within the first 14 days of employment, after which recurring mandatory training is required on an annual basis. Further, to distinguish our products from our competitors’ products, we have obtained certain trademarks and service marks and may promote our particular brands through advertising and other marketing techniques.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2020, Amkor employed 29,050 regular full-time employees, of whom approximately 97%, 2% and 1% resided in the Asia-Pacific region, Europe and North America, respectively. Our global workforce spans 11 countries, reflecting various cultures, backgrounds, ages, genders and ethnicities. Of our global employee base, 91% are employed in manufacturing roles. Our employees in the Philippines, Singapore, Taiwan and the U.S. are not represented by any union. Certain employees at our factories in China, Japan, Korea, Malaysia and Portugal are members of a union, and we operate subject to collective bargaining agreements that we have entered into with these unions. We believe that our relations with our employees are good, and we have not experienced a work stoppage in any of our factories.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Amkor believes that its future success is highly dependent upon our continued ability to attract, retain and motivate qualified employees. As part of our effort to attract and motivate employees, Amkor is committed to providing comprehensive benefit options that are intended to allow our employees and their families to live healthier and more secure lives. Additionally, Amkor has implemented various retention programs at factory locations to incentivize and retain high-performing employees. Factory locations also maintain training and development programs that enable the continued learning and growth of our employees, and senior management regularly meets to share and implement best practices among our various facilities. We believe that our efforts to motivate and retain qualified employees is reflected in the long average tenure of our key employees. Additionally, we strive to promote our management-level employees from within Amkor and believe that we have been successful in this effort.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health and safety of our employees is very important to us and, accordingly, we endeavor to provide comprehensive health benefits to all of our full-time employees. Our focus on health and safety is further evident in our response to the Covid-19 pandemic around the globe. Because our business involves the manufacturing and testing of physical products, many of our employees are unable to work from home. In an effort to keep our employees safe and to maintain operations during the Covid-19 pandemic, we implemented a number of new health and safety-related measures during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Actions taken at Amkor’s facilities during the pandemic include:</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a response team with executive sponsors;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Adopting a “no factory visit”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Implementing a work from home environment in all U.S. locations, and certain international locations;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Implementing extraordinary travel restrictions across the Company, including 14-day waiting periods for entry to Amkor factories after international travel;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Communicating with employees about health and safety measures and educating employees about the outbreak;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Arranging for alternative housing for employees in China who traveled;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Screening everyone at campus entrances for fever and signs of illness;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hygiene measures at dormitories, canteens and shuttles;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Requiring masks to be worn and the use of disinfectants for hand washing;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Implementing protocols to address actual and suspected Covid-19 cases and potential exposure;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Restricting domestic and international non-essential travel for all employees.</w:t>
      </w:r>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report, see the Table of Contents of this Annual Report on Form 10-K. You should carefully consider the risks and uncertainties described below, together with all of the other information included in this report, in considering our business and prospects. Many of the following risks and uncertainties are, and will be, exacerbated by the Covid-19 pandemic and any worsening of the global business and economic environment as a result. The risks and uncertainties described below are not the only ones facing Amkor. Additional risks and uncertainties not presently known to us may also adversely affect our business operations. The occurrence of any of the risks and uncertainties described below could affect our business, liquidity, results of operations, financial condition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3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 investment in our common stock involves various risks, and you are urged to carefully consider all of the matters discussed in Part I, Item 1A of this Annual Report on Form 10-K under the caption “Risk Factors” (not just those discussed under “Summary of Risk Factors”) in considering our business and prospects. The following is a list of some of these risks: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Company-Specific Risk Factors</w:t>
      </w:r>
    </w:p>
    <w:p>
      <w:pPr>
        <w:spacing w:after="0" w:line="131" w:lineRule="exact"/>
        <w:rPr>
          <w:sz w:val="20"/>
          <w:szCs w:val="20"/>
          <w:color w:val="auto"/>
        </w:rPr>
      </w:pPr>
    </w:p>
    <w:p>
      <w:pPr>
        <w:ind w:left="660" w:hanging="328"/>
        <w:spacing w:after="0" w:line="23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dependence on the highly cyclical, volatile semiconductor industry and vulnerability to industry downturns and declines in global economic and financial conditions;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operating results and cash flows;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dependence on international factories and operations, and risks relating to our customers’ and vendors’ international operations;</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with established competitors in the packaging and test business, the internal capabilities of integrated device manufacturers, and new competitors, including foundries;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decisions by our integrated device manufacturer and foundry customers to curtail outsourcing;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substantial investments in equipment and facilities to support the demand of our customers;</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achieving the relatively high capacity utilization rates necessary to realize satisfactory gross margins given our high percentage of fixed costs;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absence of backlog and the short-term nature of our customers’ commitments;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historical downward pressure on the prices of our packaging and test services;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new proprietary technology, protect our proprietary technology, operate without infringing the proprietary rights of others, and implement new technologies;</w:t>
      </w:r>
    </w:p>
    <w:p>
      <w:pPr>
        <w:spacing w:after="0" w:line="107" w:lineRule="exact"/>
        <w:rPr>
          <w:rFonts w:ascii="Arial" w:cs="Arial" w:eastAsia="Arial" w:hAnsi="Arial"/>
          <w:sz w:val="18"/>
          <w:szCs w:val="18"/>
          <w:color w:val="auto"/>
        </w:rPr>
      </w:pPr>
    </w:p>
    <w:p>
      <w:pPr>
        <w:ind w:left="660" w:right="20" w:hanging="328"/>
        <w:spacing w:after="0" w:line="23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warranty claims, product return and liability risks, and the risk of negative publicity if our products fail, as well as the risk of litigation incident to our business;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restrictive covenants in the indentures and agreements governing our current and future indebtedness;</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interest rates and changes in credit risk;</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possibility that we may decrease or suspend our quarterly dividend;</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significant severance plan obligations associated with our manufacturing operations in Korea; and</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ability of certain of our stockholders to effectively determine or substantially influence the outcome of matters requiring stockholder approval.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31" w:lineRule="exact"/>
        <w:rPr>
          <w:sz w:val="20"/>
          <w:szCs w:val="20"/>
          <w:color w:val="auto"/>
        </w:rPr>
      </w:pPr>
    </w:p>
    <w:p>
      <w:pPr>
        <w:ind w:left="660" w:hanging="328"/>
        <w:spacing w:after="0" w:line="23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 conditions or pandemics, such as Covid-19, impacting labor availability and operating capacity, capital availability, the supply chain and consumer demand for our customers’ products and services;</w:t>
      </w:r>
    </w:p>
    <w:p>
      <w:pPr>
        <w:spacing w:after="0" w:line="107" w:lineRule="exact"/>
        <w:rPr>
          <w:rFonts w:ascii="Arial" w:cs="Arial" w:eastAsia="Arial" w:hAnsi="Arial"/>
          <w:sz w:val="18"/>
          <w:szCs w:val="18"/>
          <w:color w:val="auto"/>
        </w:rPr>
      </w:pPr>
    </w:p>
    <w:p>
      <w:pPr>
        <w:ind w:left="660" w:right="20" w:hanging="328"/>
        <w:spacing w:after="0" w:line="25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funding our liquidity needs;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attracting, retaining or replacing qualified personnel;</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an effective system of internal controls;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continuing development and implementation of changes to, and maintenance and security of, our information technology systems;</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with integrating diverse operations;</w:t>
      </w:r>
    </w:p>
    <w:p>
      <w:pPr>
        <w:spacing w:after="0" w:line="130" w:lineRule="exact"/>
        <w:rPr>
          <w:rFonts w:ascii="Arial" w:cs="Arial" w:eastAsia="Arial" w:hAnsi="Arial"/>
          <w:sz w:val="18"/>
          <w:szCs w:val="18"/>
          <w:color w:val="auto"/>
        </w:rPr>
      </w:pPr>
    </w:p>
    <w:p>
      <w:pPr>
        <w:ind w:left="660" w:hanging="328"/>
        <w:spacing w:after="0" w:line="289"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changes in tax laws (including with respect to the Tax Act), taxing authorities not agreeing with our interpretation of applicable tax laws, including whether we continue to qualify for tax holidays, or any requirements to establish or adjust valuation allowances on deferred tax assets;</w:t>
      </w:r>
    </w:p>
    <w:p>
      <w:pPr>
        <w:spacing w:after="0" w:line="69" w:lineRule="exact"/>
        <w:rPr>
          <w:rFonts w:ascii="Arial" w:cs="Arial" w:eastAsia="Arial" w:hAnsi="Arial"/>
          <w:sz w:val="16"/>
          <w:szCs w:val="16"/>
          <w:color w:val="auto"/>
        </w:rPr>
      </w:pPr>
    </w:p>
    <w:p>
      <w:pPr>
        <w:jc w:val="both"/>
        <w:ind w:left="660" w:hanging="328"/>
        <w:spacing w:after="0" w:line="289"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laws, rules, regulations and policies imposed by U.S. or other governments, such as tariffs, customs, duties and other restrictive trade barriers, national security, data privacy and cybersecurity, antitrust and competition, tax, currency and banking, labor, environmental, health and safety;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disasters and other calamities, health conditions or pandemics, political instability, hostilities or other disruptions.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Company-Specific Risk Factors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Dependence on the Highly Cyclical Semiconductor Industry - Our Packaging and Test Services Are Used in Volatile Industries and Industry Downturns, and Declines in Global Economic and Financial Conditions Could Harm Our Performance.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markets we compete in experience slower, or even negative growth, our business and results of operations may be adversely affected.</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consumer electronics, or computing, could have a material adverse effect on our business and operating results. During downturns, we have experienced, among other things, reduced demand, excess capacity and reduced sales. For example, the Covid-19 pandemic has currently disrupted demand in the automotive end market, and during 2019 there was weakness in the general market and an inventory correction in the smartphone market.</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declines in global economic and financial conditions have harmed our business in the past, and future global downturns could adversely affect our business. The Covid-19 pandemic and the effects of governmental initiatives to control the pandemic have adversely affected and may continue to adversely affect the economies and financial markets of many countries, resulting in an economic downturn that may affect demand for our services and our operating results. Although the magnitude of any potential future impact of the Covid-19 pandemic on our business and operations remains uncertain, the continued spread or potential re-emergence of Covid-19 or the occurrence of other epidemics or pandemics, and the imposition of related public health measures and travel and business restrictions may adversely impact our business, financial condition, operating results and cash flows. In addition, we have experienced and will continue to experience disruptions to our business operations resulting from quarantines, self-isolations, or other movement and restrictions on the ability of our employees to perform their jobs that may impact our ability to meet customer commitments. It is difficult to predict the timing, strength or duration of any economic slowdown caused by the Covid-19 pandemic, or which end markets will experience a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which could materially impact our business, liquidity, results of operations, financial condition and cash flows.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Operating Results and Cash Flows - Our Operating Results and Cash Flows Have Varied and May Vary Significantly as a Result of Factors That We Cannot Control.</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92" w:lineRule="exact"/>
        <w:rPr>
          <w:sz w:val="20"/>
          <w:szCs w:val="20"/>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and increasing our share of the automotive end market;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equipment and labor;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leverage and debt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instability and government shutdowns, civil disturbances or international events, such as the United Kingdom’s departure from the European Union;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or natural disasters such as earthquakes, typhoons and volcanic eruptions;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pandemics or other illnesses that may impact our labor force, operations, liquidity, supply chain and end-user demand for products which incorporate semiconductors, such as the Covid-19 pandemic;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fluctuations in interest rates and currency exchange rates, including the potential impact of the phase-out of LIBOR on our variable rate debt;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factors may have a material and adverse effect on our business, liquidity, results of operations, financial condition and cash flows or lead to significant variability of quarterly or annual operating results. In addition, these factors may adversely affect our credit ratings, which could make it more difficult and expensive for us to raise capital and could adversely affect the price of our securities.</w:t>
      </w:r>
    </w:p>
    <w:p>
      <w:pPr>
        <w:spacing w:after="0" w:line="13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Risks Associated with International Operations - We Depend on Our Factories and Operations in China, Japan, Korea, Malaysia, the Philippines, Portugal, Singapore and Taiwan. Many of Our Customers’ and Vendors’ Operations Are Also Located Outside of the U.S.</w:t>
      </w:r>
    </w:p>
    <w:p>
      <w:pPr>
        <w:spacing w:after="0" w:line="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provide packaging and test services through our factories and other operations located in China, Japan, Korea, Malaysia, the Philippines, Portugal, Singapore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9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 and safety concerns, including widespread outbreak of infectious diseases, such as Covid-19;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consumer demand resulting from variations in local economies;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rules, regulations and policies imposed by U.S. or foreign governments in areas such as data privacy, cybersecurity, antitrust and competition, tax, currency and banking, labor, and environmental;</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payment of dividends and other payments by non-U.S. subsidiaries may be subject to prohibitions, limitations or taxes in local jurisdictions;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dollar/yen exchange rate for our operations in Japan;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social conditions, and the potential for civil unrest, terrorism or other hostilities;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other jurisdictions;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 Covid-19 pandemic has impacted and may continue to impact our operations and the operations of our customers and suppliers as a result of illness, quarantines, facility closures and travel and logistics restrictions in connection with the outbreak. For example, quarantine orders and orders restricting movement have affected, and may in the future affect, our operations, in the Philippines and Malaysia. Other national, regional and local governments have implemented and may continue to implement similar restrictions to mitigate the spread of Covid-19 in jurisdictions in which we, our customers and our suppliers operate, and such restrictions may adversely impact our operations and the operations of our customers and suppliers. Such restrictions may also affect end-user demand in each geography where our customers sell their products and services, which may adversely affect demand for our services, our operating results and financial condition.</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 We Compete Against Established Competitors in the Packaging and Test Business as Well as Internal Capabilities of Integrated Device Manufacturers and Face Competition from New Competitors, Including Foundries.</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outsourced semiconductor packaging and test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China, where there are government-supported efforts to promote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current or potential customers, or key suppliers to these customers. Consolidation among our competitors could also strengthen their competitive position.</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face competition from contract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reduced if the customer also engages that foundry for related packaging and test services.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or that our customers will not rely on internal sources or foundries for packaging and test services, or that our business, liquidity, results of operations, financial condition and cash flows will not be adversely affected by such increased competition.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Decisions by Our Integrated Device Manufacturer and Foundry Customers to Curtail Outsourcing May Adversely Affect Our Business.</w:t>
      </w:r>
    </w:p>
    <w:p>
      <w:pPr>
        <w:spacing w:after="0" w:line="1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Historically, we have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experience a significant loss of IDM or foundry business, it could have a material adverse effect on our business, liquidity, results of operations, financial condition and cash flows, especially during a prolonged industry downturn.</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Dependence on Materials and Equipment Suppliers - Our Business May Suffer If the Cost, Quality or Supply of Materials or Equipment Changes Adversely.</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have a negative impact on our business. For example, the actions that government authorities and businesses worldwide have taken in response to Covid-19 have resulted in, to date, limited business disruption, including delays in shipments of equipment, supplies and other materials. To the extent the impact of Covid-19 continues or worsens, we may have greater difficulty obtaining the equipment, supplies and other materials necessary for performance of our services. Furthermore, severe earthquakes, flooding and tsunamis in the past have significantly and adversely affected the electronics industry supply chain by impacting the supply of specialty chemicals, substrates, silicon wafers, equipment and other supplies to the electronics industry.</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origin of all of the materials we procure. If we are unable to meet these requirements and customer initiatives, it could adversely affect our business as some customers may move their business to other suppliers, and our reputation could also be adversely affected.</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any of which could have a material adverse effect on our results of operations.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adversely impact our gross margin in future periods to the extent we are unable to pass along past or future commodity price increases to our customers.</w:t>
      </w:r>
    </w:p>
    <w:p>
      <w:pPr>
        <w:spacing w:after="0" w:line="1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short-term asset balances,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High Fixed Costs - Due to Our High Percentage of Fixed Costs, We Will Be Unable to Maintain Satisfactory Gross Margins if We Are Unable to Achieve Relatively High Capacity Utilization Rates.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 capacity utilization, and if we fail to do so, our gross margins will be negatively impacted.</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our fixed operating costs have increased as a result of capital expenditures for capacity expansion. The anticipated customer demand for which we have made capital investments may not materialize, and our sales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adequately cover fixed costs, resulting in reduced profit levels or even significant losses, either of which may adversely impact our business, liquidity, results of operations, financial condition and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Absence of Backlog - The Lack of Contractually Committed Customer Demand May Adversely Affect Our Sales.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packaging and test business does not typically operate with any material backlog. Our quarterly net sales from packaging and test services are substantially dependent upon our customers’ demand in that quarter. Generally, none of our customers have committed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Declining Average Selling Prices - Historically There Has Been Downward Pressure on the Prices of Our Packaging and Test Services.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are unable to offset a decline in average selling prices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w:t>
      </w:r>
    </w:p>
    <w:p>
      <w:pPr>
        <w:spacing w:after="0" w:line="13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failure to qualify new processes, maintain quality standards or acceptable production yields, if significant and prolonged, could result in loss of customers, increased costs of production, delays, substantial amounts of returned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claims by customers relating thereto. Any of these problems could have a material adverse effect on our business, liquidity, results of operations, financial condition and cash flows.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us meaningful protection or other commercial advantage.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3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Annual Report on Form 10-K on our results of operations, financial condition and cash flows could change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Warranty Claims, Product Return and Liability Risks, the Risk of Economic Damage Claims and the Risk of Negative Publicity if Our Packages Fail</w:t>
      </w:r>
      <w:r>
        <w:rPr>
          <w:rFonts w:ascii="Arial" w:cs="Arial" w:eastAsia="Arial" w:hAnsi="Arial"/>
          <w:sz w:val="18"/>
          <w:szCs w:val="18"/>
          <w:color w:val="auto"/>
        </w:rPr>
        <w:t>.</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are incorporated into a number of end products, and our business is exposed to warranty claims, product return and liability risks, the risk of economic damage claims and the risk of negative publicity if our packages fail.</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 warranty claims from our customers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 in the Indentures and Agreements Governing Our Current and Future Indebtedness Could Restrict Our Operating Flexibility.</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Decrease or Suspend our Quarterly Dividend, and Any Decrease in or Suspension of the Dividend Could Cause Our Stock Price to Decline.</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currently anticipate the payment of a regular quarterly cash dividend of $0.04 per share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could cause our stock price to decline.</w:t>
      </w:r>
    </w:p>
    <w:p>
      <w:pPr>
        <w:spacing w:after="0" w:line="1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subsidiary in Korea maintains an unfunded severance plan under which we have an accrued liability of $98.0 million as of December 31, 2020.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From time to time, we may offer some or all of the covered employees the option to convert from the severance plan to the defined contribution plan, which could impact the timing of future payments, reducing our cash flow and negatively affecting our financial condition. As recently as October 2020, some employees accepted our offer to convert their Korean severance plan participation to a defined contribution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Mr. James J. Kim and Members of His Family Can Effectively Determine or Substantially Influence the Outcome of All Matters Requiring Stockholder Approval.</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2020, Mr. James J. Kim, the Executive Chairman of our Board of Directors, Ms. Susan Y. Kim, the Vice Chairman of our Board of Directors, and members of the Kim family and affiliates owned approximately 141.9 million shares, or approximately 58%, of our outstanding common stock. The Kim family also has options to acquire approximately 0.5 million shares. If the options are exercised, the Kim family’s total ownership would be an aggregate of approximately 142.4 million shares of our outstanding common stock or approximately 58% of our outstanding common stock.</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2013, the Kim family exchanged convertible notes issued by Amkor in 2009 for approximately 49.6 million shares of common stock (the “Convert Shares”). The Convert Shares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Covid-19 Outbreak Has Impacted and May Continue to Impact the Supply Chain and Consumer Demand for Our Customers’ Products and Services, Which May Adversely Affect Our Business, Results of Operations, and Financial Condition.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has been and may continue to be adversely impacted by the effects of the Covid-19 outbreak. The impacts have varied, and likely will continue to vary, by location, by industry and by end market. We, our suppliers and our customers have been and may continue to be disrupted by worker illness and absenteeism, quarantines and restrictions on employees’ ability to work, office and factory closures, disruptions to ports and other shipping infrastructure and border closures or other travel or health-related restrictions. There is considerable uncertainty regarding such restrictions and potential future governmental restrictions. Restrictions on our workforce or access to our manufacturing facilities, or similar limitations for our suppliers, or restrictions or disruptions of transportation, such as reduced availability of air transport, port closures, and increased border controls, could limit our capacity to meet customer demand and have a material adverse effect on our business, results of operations and financial condition. Such restrictions and efforts to contain the spread of Covid-19 have caused and may continue to cause disruptions to our supply chain in connection with the sourcing of equipment, supplies and other materials. The resumption of normal business operations after any such restrictions are lifted may be delayed or constrained by lingering effects of Covid-19 on our suppliers or customers or both.</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has adversely affected and may continue to adversely affect the economies and financial markets of many countries, resulting in an economic downturn that may cause a decrease in short-term and long-term consumer demand for our customers’ products and services and impact our operating results. Demand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services for the automotive end market has experienced the most significant impact to date, and there is no certainty as to when demand in that market will return to pre-Covid-19 levels.</w:t>
      </w:r>
    </w:p>
    <w:p>
      <w:pPr>
        <w:spacing w:after="0" w:line="11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spread of Covid-19 has caused us to modify our business practices (including corporate hygiene protocols at factories, restricting employee travel and employee work locations and cancelling physical participation in meetings, events and conferences), and we may take further actions as may be required by government authorities or that we determine to be in the best interests of our employees, customers and suppliers. There is no certainty that such measures will be sufficient to mitigate the current or future impacts of Covid-19, and our ability to perform critical functions could be harmed.</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this time, we are unable to predict the future impacts that Covid-19 will have on our business, financial condition or results of operations due to various uncertainties, including the duration of the outbreak and the actions that may be taken by governmental authorities and other businesses in response to the Covid-19 pandemic.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 and Prevent Us from Fulfilling Our Obligations.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significant amount of indebtedness, and the terms of the agreements governing our indebtedness allow us and our subsidiaries to incur more debt, subject to certain limitations. As of December 31, 2020, our total debt balance was $1,154.3 million, of which $149.0 million was classified as a current liability and $474.2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intensify.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along with the financial and other covenants in our indebtedness, our ability to borrow additional funds;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certain of our credit agreements use LIBOR or other reference rates to determine the rate of interest payable on our borrowings. As such, our financial position may be adversely affected by fluctuations in such reference rates based on economic and market factors beyond our control. Any significant increase in such reference rates would result in a significant increase in interest expense on our debt, which could negatively impact our results of operations and cash flows. The United Kingdom’s Financial Conduct Authority intends to phase out LIBOR by July 2023. Plans for alternative reference rates have also been announced. At this time, we cannot predict how markets will respond to proposed alternative rates or the effect of any changes to, or discontinuation of, LIBOR. If reference rates under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agreements are no longer available or if our lenders have increased costs due to changes in reference rates, we may experience increases in interest rates on our variable rate debt, which could adversely impact our interest expense, results of operations and cash flows.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our liquidity based on our current expectations regarding sales and operating expenses, capital spending, dividend payments and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 and other investment levels, other uses of our cash including any payments of dividends and purchases of stock under any stock repurchase program, any acquisitions or investments in joint ventures and our ability to either repay debt and other long-term obligations out of our operating cash flows or refinance debt at or prior to maturity with the proceeds of debt or equity financings.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Servicing our current and future customers requires that we incur significant operating expenses and continue to make significant capital expenditures and other investments, and the amount of our capital expenditures for 2021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health of the worldwide banking system and capital markets also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as well as any increase in interest rates or adverse economic, political, public health or other global conditions, could also make it difficult or more expensive for us to maintain our existing credit facilities or refinance our debt.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would be adversely impacted.</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Customer Concentration and Loss of Customers - The Loss of Certain Customers or Reduced Orders or Pricing from Existing Customers May Have a Significant Adverse Effect on Our Operations and Financial Results.</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derived and expect to continue to derive a large portion of our revenues from a small group of customers during any particular period due in part to the concentration of market share in the semiconductor industry. Our ten largest customers together accounted for 65% of our net sales for the year ended December 31, 2020. In addition, we have significant customer concentration within our end markets. The loss of a significant customer, a business combination among our customers, a reduction in orders or decrease in price from a significant customer or disruption in any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significant commercial arrangements may result in a decline in our sales and profitability and could have a material adverse effect on our business, liquidity, results of operations, financial condition and cash flows.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assure that our key customers or any other customers will continue to place orders with us in the future at the same levels as in past periods.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example, as seen in the automotive end market, the Covid-19 pandemic and restrictions imposed by governmental authorities to mitigate the spread of Covid-19 in our customers’ end markets may decrease demand for our customers’ products and services, adversely impacting their demand for our services.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from time to time we may acquire or build new facilities or migrate existing business among our facilities. In connection with these facility changes, our customers require us to qualify the new facilities even though we have already qualified to perform the services at our other facilities. We cannot assure that we will successfully qualify new facilities or that our customers will not qualify our competitors and move the business for such services.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Retain or Replace Qualified Employees to Support Our Operations.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Other than the agreement with our Chief Executive Officer,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Financial Results or Prevent Fraud.</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internal controls over financial reporting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There is a risk that deficiencies may occur that could constitute significant deficiencies or, in the aggregate, a material weakness.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depend on our information technology systems for many aspects of our business. Our systems may be susceptible to any of the following events: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telecommunication failures, user errors,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malfeasance or catastrophic events. Such events have occurred in the past and may occur in the future. Cybersecurity breaches could result in unauthorized disclosure of confidential information or disruptions to our operations. While we have not experienced a material information security breach in the past, we cannot assure you that such a breach will not occur in the future.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are integrating our Japan operations’ information technology systems with our existing systems and processes, and such integration has inherent risks to existing operations. In addition, in May 2017, we completed our acquisition of Nanium and continue to integrate its information technology systems into our existing systems and processes. We face risks in connection with current and future projects to install or integrate new information technology systems or upgrade our existing systems. These risks include:</w:t>
      </w:r>
    </w:p>
    <w:p>
      <w:pPr>
        <w:spacing w:after="0" w:line="11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design and implementation of the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may exceed our plans and expectations; and</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adversely affected by a disruption, failure or breach of our information technology systems.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Consolidating and Integrating Our Operations - We Face Challenges as We Integrate Diverse Operations.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3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the assimilation of acquired operations, technologies or products;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costs associated with personnel reductions and voluntary retirement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record restructuring charges to cover costs associated with facility consolidations and related cost reduction initiatives;</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22"/>
          <w:szCs w:val="22"/>
          <w:color w:val="008080"/>
        </w:rPr>
      </w:pPr>
      <w:r>
        <w:rPr>
          <w:rFonts w:ascii="Arial" w:cs="Arial" w:eastAsia="Arial" w:hAnsi="Arial"/>
          <w:sz w:val="18"/>
          <w:szCs w:val="18"/>
          <w:color w:val="auto"/>
        </w:rPr>
        <w:t>use a significant portion of our available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U.S. or foreign tax laws, including new or modified guidance with respect to existing tax laws (particularly the Tax Act, which made significant changes to the U.S. tax code with respect to which there remains uncertainty), could have a material adverse impact on our liquidity, results of operations, financial condition and cash flows.</w:t>
      </w:r>
    </w:p>
    <w:p>
      <w:pPr>
        <w:spacing w:after="0" w:line="13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adversely affect our 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affect our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Health &amp; Safety Laws and Industry and Customer Initiatives - Future Environmental, Health &amp; Safety Laws and Industry and Customer Sustainability Initiatives Could Place Additional Burdens on Our Manufacturing Operations.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and the European Union’s Restriction of Hazardous Substances in Electrical and Electronic Equipment directive and similar laws in other jurisdictions, including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gasses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we could be subject to revocation of permits negatively affecting our ability to maintain or expand our operations, and we could suffer reputational harm.</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greenhouse gas emissions, reductions in waste and wastewater from operations, additional reporting on the materials and components used in the products for which we perform our services, and the use of renewable energy sources in our factory operations. To comply with these additional requirements, we may need to procure additional equipment or make factory or process changes and our operating costs may increase.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Adversely Affected by Natural Disasters and Other Calamities, Health Conditions or Pandemics, Political Instability, Hostilities, or Other Disruptions.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significant packaging and test and other operations in China, Japan, Korea, Malaysia, the Philippines, Portugal, Singapore and Taiwan which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armed conflict, terrorist incidents and other hostilities in regions where we have facilities; and industrial accidents and other events, that could disrupt or even shutdown our operations.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3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location and size of our manufacturing and research and development facilities are set forth in the table below. All facilities are owned unless otherwise specified. Generally, our facilities are collateral for indebtedness incurred by our subsidiary for the jurisdiction in which the facilities are located.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2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Approximate Facility Size</w:t>
            </w:r>
          </w:p>
        </w:tc>
        <w:tc>
          <w:tcPr>
            <w:tcW w:w="1520" w:type="dxa"/>
            <w:vAlign w:val="bottom"/>
          </w:tcPr>
          <w:p>
            <w:pPr>
              <w:spacing w:after="0"/>
              <w:rPr>
                <w:sz w:val="14"/>
                <w:szCs w:val="14"/>
                <w:color w:val="auto"/>
              </w:rPr>
            </w:pPr>
          </w:p>
        </w:tc>
      </w:tr>
      <w:tr>
        <w:trPr>
          <w:trHeight w:val="188"/>
        </w:trPr>
        <w:tc>
          <w:tcPr>
            <w:tcW w:w="64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(Square Feet)</w:t>
            </w:r>
          </w:p>
        </w:tc>
        <w:tc>
          <w:tcPr>
            <w:tcW w:w="1520" w:type="dxa"/>
            <w:vAlign w:val="bottom"/>
            <w:tcBorders>
              <w:bottom w:val="single" w:sz="8" w:color="auto"/>
            </w:tcBorders>
          </w:tcPr>
          <w:p>
            <w:pPr>
              <w:spacing w:after="0"/>
              <w:rPr>
                <w:sz w:val="16"/>
                <w:szCs w:val="16"/>
                <w:color w:val="auto"/>
              </w:rPr>
            </w:pPr>
          </w:p>
        </w:tc>
      </w:tr>
      <w:tr>
        <w:trPr>
          <w:trHeight w:val="211"/>
        </w:trPr>
        <w:tc>
          <w:tcPr>
            <w:tcW w:w="6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91"/>
              <w:spacing w:after="0"/>
              <w:rPr>
                <w:sz w:val="20"/>
                <w:szCs w:val="20"/>
                <w:color w:val="auto"/>
              </w:rPr>
            </w:pPr>
            <w:r>
              <w:rPr>
                <w:rFonts w:ascii="Arial" w:cs="Arial" w:eastAsia="Arial" w:hAnsi="Arial"/>
                <w:sz w:val="16"/>
                <w:szCs w:val="16"/>
                <w:b w:val="1"/>
                <w:bCs w:val="1"/>
                <w:color w:val="auto"/>
              </w:rPr>
              <w:t>Owned</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Leased</w:t>
            </w:r>
          </w:p>
        </w:tc>
        <w:tc>
          <w:tcPr>
            <w:tcW w:w="1520" w:type="dxa"/>
            <w:vAlign w:val="bottom"/>
            <w:shd w:val="clear" w:color="auto" w:fill="CCEEFF"/>
          </w:tcPr>
          <w:p>
            <w:pPr>
              <w:jc w:val="right"/>
              <w:ind w:right="731"/>
              <w:spacing w:after="0"/>
              <w:rPr>
                <w:sz w:val="20"/>
                <w:szCs w:val="20"/>
                <w:color w:val="auto"/>
              </w:rPr>
            </w:pPr>
            <w:r>
              <w:rPr>
                <w:rFonts w:ascii="Arial" w:cs="Arial" w:eastAsia="Arial" w:hAnsi="Arial"/>
                <w:sz w:val="16"/>
                <w:szCs w:val="16"/>
                <w:b w:val="1"/>
                <w:bCs w:val="1"/>
                <w:color w:val="auto"/>
              </w:rPr>
              <w:t>Total</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China (1)</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1,325,000</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1,325,000</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329,000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2,018,000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Korea</w:t>
            </w:r>
          </w:p>
        </w:tc>
        <w:tc>
          <w:tcPr>
            <w:tcW w:w="1520" w:type="dxa"/>
            <w:vAlign w:val="bottom"/>
          </w:tcPr>
          <w:p>
            <w:pPr>
              <w:jc w:val="right"/>
              <w:spacing w:after="0"/>
              <w:rPr>
                <w:sz w:val="20"/>
                <w:szCs w:val="20"/>
                <w:color w:val="auto"/>
              </w:rPr>
            </w:pPr>
            <w:r>
              <w:rPr>
                <w:rFonts w:ascii="Arial" w:cs="Arial" w:eastAsia="Arial" w:hAnsi="Arial"/>
                <w:sz w:val="18"/>
                <w:szCs w:val="18"/>
                <w:color w:val="auto"/>
              </w:rPr>
              <w:t>4,085,000</w:t>
            </w:r>
          </w:p>
        </w:tc>
        <w:tc>
          <w:tcPr>
            <w:tcW w:w="1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4,085,000</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Malaysia (1)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386,000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Philippines (2)</w:t>
            </w:r>
          </w:p>
        </w:tc>
        <w:tc>
          <w:tcPr>
            <w:tcW w:w="1520" w:type="dxa"/>
            <w:vAlign w:val="bottom"/>
          </w:tcPr>
          <w:p>
            <w:pPr>
              <w:jc w:val="right"/>
              <w:spacing w:after="0"/>
              <w:rPr>
                <w:sz w:val="20"/>
                <w:szCs w:val="20"/>
                <w:color w:val="auto"/>
              </w:rPr>
            </w:pPr>
            <w:r>
              <w:rPr>
                <w:rFonts w:ascii="Arial" w:cs="Arial" w:eastAsia="Arial" w:hAnsi="Arial"/>
                <w:sz w:val="18"/>
                <w:szCs w:val="18"/>
                <w:color w:val="auto"/>
              </w:rPr>
              <w:t>765,000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557,000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1,322,000</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Portugal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519,000</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Taiwan (1)</w:t>
            </w:r>
          </w:p>
        </w:tc>
        <w:tc>
          <w:tcPr>
            <w:tcW w:w="1520" w:type="dxa"/>
            <w:vAlign w:val="bottom"/>
          </w:tcPr>
          <w:p>
            <w:pPr>
              <w:jc w:val="right"/>
              <w:spacing w:after="0"/>
              <w:rPr>
                <w:sz w:val="20"/>
                <w:szCs w:val="20"/>
                <w:color w:val="auto"/>
              </w:rPr>
            </w:pPr>
            <w:r>
              <w:rPr>
                <w:rFonts w:ascii="Arial" w:cs="Arial" w:eastAsia="Arial" w:hAnsi="Arial"/>
                <w:sz w:val="18"/>
                <w:szCs w:val="18"/>
                <w:color w:val="auto"/>
              </w:rPr>
              <w:t>1,098,000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1,114,000</w:t>
            </w:r>
          </w:p>
        </w:tc>
      </w:tr>
      <w:tr>
        <w:trPr>
          <w:trHeight w:val="248"/>
        </w:trPr>
        <w:tc>
          <w:tcPr>
            <w:tcW w:w="6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all facilities</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9,867,000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10,769,000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740" w:hanging="40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Land is leased.</w:t>
      </w:r>
    </w:p>
    <w:p>
      <w:pPr>
        <w:spacing w:after="0" w:line="171" w:lineRule="exact"/>
        <w:rPr>
          <w:rFonts w:ascii="Arial" w:cs="Arial" w:eastAsia="Arial" w:hAnsi="Arial"/>
          <w:sz w:val="18"/>
          <w:szCs w:val="18"/>
          <w:color w:val="auto"/>
        </w:rPr>
      </w:pPr>
    </w:p>
    <w:p>
      <w:pPr>
        <w:ind w:left="740" w:hanging="408"/>
        <w:spacing w:after="0" w:line="277" w:lineRule="auto"/>
        <w:tabs>
          <w:tab w:leader="none" w:pos="7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result of foreign ownership restrictions in the Philippines, the land is leased. A portion of the land we lease is owned by realty companies in which we own a 40% interest.</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executive offices, which are leased, are located in Tempe, Arizona and Singapore. We believe that our existing properties are in good condition and suitable for the conduct of our business and that the productive capacity of such properties is substantially being utilized or we have plans to utilize it.</w:t>
      </w:r>
    </w:p>
    <w:p>
      <w:pPr>
        <w:spacing w:after="0" w:line="14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may become involved in various disputes and litigation matters that arise in the ordinary course of our business. These include disputes and lawsuits related to intellectual property, acquisitions, licensing, contracts, tax, regulatory, employee relations and other matters. For a discussion of “Legal Proceedings,” see Note 17 to our Consolidated Financial Statements in Part II, Item 8 of this Annual Report on Form 10-K.</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“AMKR”. There were approximately 126 holders of record of our common stock as of February 12,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2020, our Board of Directors approved the initiation of a regular quarterly cash dividend on our common stock. The first quarterly dividend of $0.04 per share was paid on January 7, 2021 to stockholders of record as of December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 Refer to the Liquidity section in Item 7 of this Annual Report on Form 10-K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regarding equity compensation plans is set forth in Part III, Item 12 of this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December 31, 2020.</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9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 Number of Shares</w:t>
            </w:r>
          </w:p>
        </w:tc>
        <w:tc>
          <w:tcPr>
            <w:tcW w:w="1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Average Price Paid Per Share</w:t>
            </w: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as part of Publicly</w:t>
            </w:r>
          </w:p>
        </w:tc>
        <w:tc>
          <w:tcPr>
            <w:tcW w:w="200" w:type="dxa"/>
            <w:vAlign w:val="bottom"/>
          </w:tcPr>
          <w:p>
            <w:pPr>
              <w:spacing w:after="0"/>
              <w:rPr>
                <w:sz w:val="11"/>
                <w:szCs w:val="11"/>
                <w:color w:val="auto"/>
              </w:rPr>
            </w:pPr>
          </w:p>
        </w:tc>
        <w:tc>
          <w:tcPr>
            <w:tcW w:w="176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338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Period</w:t>
            </w:r>
          </w:p>
        </w:tc>
        <w:tc>
          <w:tcPr>
            <w:tcW w:w="1920" w:type="dxa"/>
            <w:vAlign w:val="bottom"/>
            <w:vMerge w:val="continue"/>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Announced Plans or Programs</w:t>
            </w:r>
          </w:p>
        </w:tc>
        <w:tc>
          <w:tcPr>
            <w:tcW w:w="1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88"/>
        </w:trPr>
        <w:tc>
          <w:tcPr>
            <w:tcW w:w="338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Purchased (a)</w:t>
            </w:r>
          </w:p>
        </w:tc>
        <w:tc>
          <w:tcPr>
            <w:tcW w:w="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251"/>
        </w:trPr>
        <w:tc>
          <w:tcPr>
            <w:tcW w:w="33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 October 31</w:t>
            </w:r>
          </w:p>
        </w:tc>
        <w:tc>
          <w:tcPr>
            <w:tcW w:w="246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 $</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rPr>
              <w:t>November 1 - November 30</w:t>
            </w:r>
          </w:p>
        </w:tc>
        <w:tc>
          <w:tcPr>
            <w:tcW w:w="1920" w:type="dxa"/>
            <w:vAlign w:val="bottom"/>
          </w:tcPr>
          <w:p>
            <w:pPr>
              <w:jc w:val="right"/>
              <w:spacing w:after="0"/>
              <w:rPr>
                <w:sz w:val="20"/>
                <w:szCs w:val="20"/>
                <w:color w:val="auto"/>
              </w:rPr>
            </w:pPr>
            <w:r>
              <w:rPr>
                <w:rFonts w:ascii="Arial" w:cs="Arial" w:eastAsia="Arial" w:hAnsi="Arial"/>
                <w:sz w:val="18"/>
                <w:szCs w:val="18"/>
                <w:color w:val="auto"/>
              </w:rPr>
              <w:t>5,425</w:t>
            </w:r>
          </w:p>
        </w:tc>
        <w:tc>
          <w:tcPr>
            <w:tcW w:w="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14.64</w:t>
            </w:r>
          </w:p>
        </w:tc>
        <w:tc>
          <w:tcPr>
            <w:tcW w:w="1960" w:type="dxa"/>
            <w:vAlign w:val="bottom"/>
          </w:tcPr>
          <w:p>
            <w:pPr>
              <w:ind w:left="1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 December 31</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23"/>
        </w:trPr>
        <w:tc>
          <w:tcPr>
            <w:tcW w:w="3380" w:type="dxa"/>
            <w:vAlign w:val="bottom"/>
          </w:tcPr>
          <w:p>
            <w:pPr>
              <w:ind w:left="22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54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96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hanging="328"/>
        <w:spacing w:after="0" w:line="277" w:lineRule="auto"/>
        <w:tabs>
          <w:tab w:leader="none" w:pos="657"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the vesting of restricted shares issued to employees.</w:t>
      </w:r>
    </w:p>
    <w:p>
      <w:pPr>
        <w:spacing w:after="0" w:line="197" w:lineRule="exact"/>
        <w:rPr>
          <w:rFonts w:ascii="Arial" w:cs="Arial" w:eastAsia="Arial" w:hAnsi="Arial"/>
          <w:sz w:val="18"/>
          <w:szCs w:val="18"/>
          <w:color w:val="auto"/>
        </w:rPr>
      </w:pPr>
    </w:p>
    <w:p>
      <w:pPr>
        <w:jc w:val="both"/>
        <w:ind w:left="660" w:hanging="328"/>
        <w:spacing w:after="0" w:line="286" w:lineRule="auto"/>
        <w:tabs>
          <w:tab w:leader="none" w:pos="654"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Board of Directors previously authorized the repurchase of up to $300.0 million of our common stock, $150.0 million in August 2011 and $150.0 million in February 2012, exclusive of any fees, commissions or other expenses. During 2020 and 2019, we made no common stock purchases, and at December 31, 2020, approximately $91.6 million was available pursuant to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760720" cy="47834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60720" cy="478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340" w:hanging="332"/>
        <w:spacing w:after="0" w:line="263"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preceding Stock Performance Graph is not deemed filed with the SEC and shall not be incorporated by reference in any of our filings under the Securities Act of 1933, as amended, or the Exchange Act, whether made before or after the date hereof and irrespective of any general incorporation language in any such filing.</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the cumulative total returns included in the preceding Stock Performance Graph for the years ended December 31, 2015 through 2020.</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Year Ended 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3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r>
      <w:tr>
        <w:trPr>
          <w:trHeight w:val="211"/>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Amkor Technology, Inc.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165.30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248.67</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S&amp;P 500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111.96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136.40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203.04</w:t>
            </w: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PHLX Semiconductor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selected financial data should be read in conjunction with Management’s Discussion and Analysis of Financial Condition and Results of Operations and our Consolidated Financial Statements in Part II, Item 7 and Item 8, respectively, of this Annual Report on Form 10-K.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center"/>
              <w:ind w:left="569"/>
              <w:spacing w:after="0"/>
              <w:rPr>
                <w:sz w:val="20"/>
                <w:szCs w:val="20"/>
                <w:color w:val="auto"/>
              </w:rPr>
            </w:pPr>
            <w:r>
              <w:rPr>
                <w:rFonts w:ascii="Arial" w:cs="Arial" w:eastAsia="Arial" w:hAnsi="Arial"/>
                <w:sz w:val="13"/>
                <w:szCs w:val="13"/>
                <w:b w:val="1"/>
                <w:bCs w:val="1"/>
                <w:color w:val="auto"/>
                <w:w w:val="88"/>
              </w:rPr>
              <w:t>For the Year Ended December 31,</w:t>
            </w: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70"/>
        </w:trPr>
        <w:tc>
          <w:tcPr>
            <w:tcW w:w="5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2020</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2019</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49"/>
              <w:spacing w:after="0"/>
              <w:rPr>
                <w:sz w:val="20"/>
                <w:szCs w:val="20"/>
                <w:color w:val="auto"/>
              </w:rPr>
            </w:pPr>
            <w:r>
              <w:rPr>
                <w:rFonts w:ascii="Arial" w:cs="Arial" w:eastAsia="Arial" w:hAnsi="Arial"/>
                <w:sz w:val="13"/>
                <w:szCs w:val="13"/>
                <w:b w:val="1"/>
                <w:bCs w:val="1"/>
                <w:color w:val="auto"/>
                <w:w w:val="82"/>
              </w:rPr>
              <w:t>2018</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w w:val="91"/>
              </w:rPr>
              <w:t>2017 (f) (g)</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2016</w:t>
            </w:r>
          </w:p>
        </w:tc>
      </w:tr>
      <w:tr>
        <w:trPr>
          <w:trHeight w:val="169"/>
        </w:trPr>
        <w:tc>
          <w:tcPr>
            <w:tcW w:w="5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60" w:type="dxa"/>
            <w:vAlign w:val="bottom"/>
            <w:gridSpan w:val="5"/>
          </w:tcPr>
          <w:p>
            <w:pPr>
              <w:jc w:val="center"/>
              <w:ind w:right="229"/>
              <w:spacing w:after="0"/>
              <w:rPr>
                <w:sz w:val="20"/>
                <w:szCs w:val="20"/>
                <w:color w:val="auto"/>
              </w:rPr>
            </w:pPr>
            <w:r>
              <w:rPr>
                <w:rFonts w:ascii="Arial" w:cs="Arial" w:eastAsia="Arial" w:hAnsi="Arial"/>
                <w:sz w:val="13"/>
                <w:szCs w:val="13"/>
                <w:b w:val="1"/>
                <w:bCs w:val="1"/>
                <w:color w:val="auto"/>
                <w:w w:val="86"/>
              </w:rPr>
              <w:t>(In thousands, except per share data)</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5"/>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Statement Data:</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50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5,050,589</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4,052,650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4,316,466</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4,207,031</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3,927,849</w:t>
            </w:r>
          </w:p>
        </w:tc>
      </w:tr>
      <w:tr>
        <w:trPr>
          <w:trHeight w:val="192"/>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900,814</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649,439</w:t>
            </w: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710,565</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761,079</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709,891</w:t>
            </w:r>
          </w:p>
        </w:tc>
      </w:tr>
      <w:tr>
        <w:trPr>
          <w:trHeight w:val="186"/>
        </w:trPr>
        <w:tc>
          <w:tcPr>
            <w:tcW w:w="500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28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457,245</w:t>
            </w:r>
          </w:p>
        </w:tc>
        <w:tc>
          <w:tcPr>
            <w:tcW w:w="3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233,170</w:t>
            </w:r>
          </w:p>
        </w:tc>
        <w:tc>
          <w:tcPr>
            <w:tcW w:w="36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258,144</w:t>
            </w:r>
          </w:p>
        </w:tc>
        <w:tc>
          <w:tcPr>
            <w:tcW w:w="32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405,540</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308,587</w:t>
            </w:r>
          </w:p>
        </w:tc>
      </w:tr>
      <w:tr>
        <w:trPr>
          <w:trHeight w:val="192"/>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debt retirement (a)</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3,042</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8,536</w:t>
            </w: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1,512</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4,835</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000" w:type="dxa"/>
            <w:vAlign w:val="bottom"/>
          </w:tcPr>
          <w:p>
            <w:pPr>
              <w:ind w:left="20"/>
              <w:spacing w:after="0"/>
              <w:rPr>
                <w:sz w:val="20"/>
                <w:szCs w:val="20"/>
                <w:color w:val="auto"/>
              </w:rPr>
            </w:pPr>
            <w:r>
              <w:rPr>
                <w:rFonts w:ascii="Arial" w:cs="Arial" w:eastAsia="Arial" w:hAnsi="Arial"/>
                <w:sz w:val="14"/>
                <w:szCs w:val="14"/>
                <w:color w:val="auto"/>
              </w:rPr>
              <w:t>Income tax expense (b)</w:t>
            </w:r>
          </w:p>
        </w:tc>
        <w:tc>
          <w:tcPr>
            <w:tcW w:w="28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46,183</w:t>
            </w:r>
          </w:p>
        </w:tc>
        <w:tc>
          <w:tcPr>
            <w:tcW w:w="3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37,182</w:t>
            </w:r>
          </w:p>
        </w:tc>
        <w:tc>
          <w:tcPr>
            <w:tcW w:w="36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56,250</w:t>
            </w:r>
          </w:p>
        </w:tc>
        <w:tc>
          <w:tcPr>
            <w:tcW w:w="32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39,791</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51,042</w:t>
            </w:r>
          </w:p>
        </w:tc>
      </w:tr>
      <w:tr>
        <w:trPr>
          <w:trHeight w:val="192"/>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340,499</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122,628</w:t>
            </w: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129,565</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267,705</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178,653</w:t>
            </w:r>
          </w:p>
        </w:tc>
      </w:tr>
      <w:tr>
        <w:trPr>
          <w:trHeight w:val="186"/>
        </w:trPr>
        <w:tc>
          <w:tcPr>
            <w:tcW w:w="5000" w:type="dxa"/>
            <w:vAlign w:val="bottom"/>
          </w:tcPr>
          <w:p>
            <w:pPr>
              <w:ind w:left="20"/>
              <w:spacing w:after="0"/>
              <w:rPr>
                <w:sz w:val="20"/>
                <w:szCs w:val="20"/>
                <w:color w:val="auto"/>
              </w:rPr>
            </w:pPr>
            <w:r>
              <w:rPr>
                <w:rFonts w:ascii="Arial" w:cs="Arial" w:eastAsia="Arial" w:hAnsi="Arial"/>
                <w:sz w:val="14"/>
                <w:szCs w:val="14"/>
                <w:color w:val="auto"/>
              </w:rPr>
              <w:t>Net income attributable to Amkor</w:t>
            </w:r>
          </w:p>
        </w:tc>
        <w:tc>
          <w:tcPr>
            <w:tcW w:w="28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338,138</w:t>
            </w:r>
          </w:p>
        </w:tc>
        <w:tc>
          <w:tcPr>
            <w:tcW w:w="3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120,888</w:t>
            </w:r>
          </w:p>
        </w:tc>
        <w:tc>
          <w:tcPr>
            <w:tcW w:w="36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127,092</w:t>
            </w:r>
          </w:p>
        </w:tc>
        <w:tc>
          <w:tcPr>
            <w:tcW w:w="32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263,550</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175,530</w:t>
            </w:r>
          </w:p>
        </w:tc>
      </w:tr>
      <w:tr>
        <w:trPr>
          <w:trHeight w:val="192"/>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Amkor per common share: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5000" w:type="dxa"/>
            <w:vAlign w:val="bottom"/>
          </w:tcPr>
          <w:p>
            <w:pPr>
              <w:ind w:left="14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1.40</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0.50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0.53</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1.10</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0.74</w:t>
            </w:r>
          </w:p>
        </w:tc>
      </w:tr>
      <w:tr>
        <w:trPr>
          <w:trHeight w:val="192"/>
        </w:trPr>
        <w:tc>
          <w:tcPr>
            <w:tcW w:w="5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1.40</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0.50</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0.53</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1.10</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0.74</w:t>
            </w:r>
          </w:p>
        </w:tc>
      </w:tr>
      <w:tr>
        <w:trPr>
          <w:trHeight w:val="216"/>
        </w:trPr>
        <w:tc>
          <w:tcPr>
            <w:tcW w:w="5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9"/>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Financial Data:</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50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510,396</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524,177</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571,961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581,940</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555,186</w:t>
            </w:r>
          </w:p>
        </w:tc>
      </w:tr>
      <w:tr>
        <w:trPr>
          <w:trHeight w:val="192"/>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property, plant and equipment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553,021</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472,433</w:t>
            </w: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547,122</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550,943</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650,038</w:t>
            </w:r>
          </w:p>
        </w:tc>
      </w:tr>
      <w:tr>
        <w:trPr>
          <w:trHeight w:val="186"/>
        </w:trPr>
        <w:tc>
          <w:tcPr>
            <w:tcW w:w="5000" w:type="dxa"/>
            <w:vAlign w:val="bottom"/>
          </w:tcPr>
          <w:p>
            <w:pPr>
              <w:ind w:left="20"/>
              <w:spacing w:after="0"/>
              <w:rPr>
                <w:sz w:val="20"/>
                <w:szCs w:val="20"/>
                <w:color w:val="auto"/>
              </w:rPr>
            </w:pPr>
            <w:r>
              <w:rPr>
                <w:rFonts w:ascii="Arial" w:cs="Arial" w:eastAsia="Arial" w:hAnsi="Arial"/>
                <w:sz w:val="14"/>
                <w:szCs w:val="14"/>
                <w:color w:val="auto"/>
              </w:rPr>
              <w:t>Dividends declared per common share (c)</w:t>
            </w:r>
          </w:p>
        </w:tc>
        <w:tc>
          <w:tcPr>
            <w:tcW w:w="28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0.04</w:t>
            </w:r>
          </w:p>
        </w:tc>
        <w:tc>
          <w:tcPr>
            <w:tcW w:w="3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5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88"/>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Balance Sheet Data (d):</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698,002</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894,948</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681,569</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596,364</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549,518</w:t>
            </w:r>
          </w:p>
        </w:tc>
      </w:tr>
      <w:tr>
        <w:trPr>
          <w:trHeight w:val="186"/>
        </w:trPr>
        <w:tc>
          <w:tcPr>
            <w:tcW w:w="5000" w:type="dxa"/>
            <w:vAlign w:val="bottom"/>
          </w:tcPr>
          <w:p>
            <w:pPr>
              <w:ind w:left="20"/>
              <w:spacing w:after="0"/>
              <w:rPr>
                <w:sz w:val="20"/>
                <w:szCs w:val="20"/>
                <w:color w:val="auto"/>
              </w:rPr>
            </w:pPr>
            <w:r>
              <w:rPr>
                <w:rFonts w:ascii="Arial" w:cs="Arial" w:eastAsia="Arial" w:hAnsi="Arial"/>
                <w:sz w:val="14"/>
                <w:szCs w:val="14"/>
                <w:color w:val="auto"/>
              </w:rPr>
              <w:t>Working capital</w:t>
            </w:r>
          </w:p>
        </w:tc>
        <w:tc>
          <w:tcPr>
            <w:tcW w:w="28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816,945</w:t>
            </w:r>
          </w:p>
        </w:tc>
        <w:tc>
          <w:tcPr>
            <w:tcW w:w="3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941,730</w:t>
            </w:r>
          </w:p>
        </w:tc>
        <w:tc>
          <w:tcPr>
            <w:tcW w:w="36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512,785</w:t>
            </w:r>
          </w:p>
        </w:tc>
        <w:tc>
          <w:tcPr>
            <w:tcW w:w="32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325,945</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404,035</w:t>
            </w:r>
          </w:p>
        </w:tc>
      </w:tr>
      <w:tr>
        <w:trPr>
          <w:trHeight w:val="192"/>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 (e)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5,022,311</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4,695,615</w:t>
            </w: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4,495,447</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4,508,388</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4,092,086</w:t>
            </w:r>
          </w:p>
        </w:tc>
      </w:tr>
      <w:tr>
        <w:trPr>
          <w:trHeight w:val="186"/>
        </w:trPr>
        <w:tc>
          <w:tcPr>
            <w:tcW w:w="5000" w:type="dxa"/>
            <w:vAlign w:val="bottom"/>
          </w:tcPr>
          <w:p>
            <w:pPr>
              <w:ind w:left="20"/>
              <w:spacing w:after="0"/>
              <w:rPr>
                <w:sz w:val="20"/>
                <w:szCs w:val="20"/>
                <w:color w:val="auto"/>
              </w:rPr>
            </w:pPr>
            <w:r>
              <w:rPr>
                <w:rFonts w:ascii="Arial" w:cs="Arial" w:eastAsia="Arial" w:hAnsi="Arial"/>
                <w:sz w:val="14"/>
                <w:szCs w:val="14"/>
                <w:color w:val="auto"/>
              </w:rPr>
              <w:t>Non-current liabilities, including debt (e)</w:t>
            </w:r>
          </w:p>
        </w:tc>
        <w:tc>
          <w:tcPr>
            <w:tcW w:w="28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1,352,365</w:t>
            </w:r>
          </w:p>
        </w:tc>
        <w:tc>
          <w:tcPr>
            <w:tcW w:w="3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1,645,573</w:t>
            </w:r>
          </w:p>
        </w:tc>
        <w:tc>
          <w:tcPr>
            <w:tcW w:w="36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1,481,124</w:t>
            </w:r>
          </w:p>
        </w:tc>
        <w:tc>
          <w:tcPr>
            <w:tcW w:w="32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1,470,620</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1,683,021</w:t>
            </w:r>
          </w:p>
        </w:tc>
      </w:tr>
      <w:tr>
        <w:trPr>
          <w:trHeight w:val="192"/>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Amkor stockholders’ equity</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2,325,699</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1,963,739</w:t>
            </w: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1,830,540</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1,696,276</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1,383,588</w:t>
            </w:r>
          </w:p>
        </w:tc>
      </w:tr>
    </w:tbl>
    <w:p>
      <w:pPr>
        <w:spacing w:after="0" w:line="148" w:lineRule="exact"/>
        <w:rPr>
          <w:sz w:val="20"/>
          <w:szCs w:val="20"/>
          <w:color w:val="auto"/>
        </w:rPr>
      </w:pPr>
    </w:p>
    <w:p>
      <w:pPr>
        <w:jc w:val="both"/>
        <w:ind w:left="340" w:hanging="332"/>
        <w:spacing w:after="0" w:line="263" w:lineRule="auto"/>
        <w:tabs>
          <w:tab w:leader="none" w:pos="3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April 2019, we recorded an $8.4 million loss on extinguishment related to the call premium paid and other debt related costs associated with redemption of the outstanding $525.0 million aggregate principal amount of 6.375% Senior Notes due 2022. In July 2017, we recorded a loss on debt retirement of $4.4 million relating to the partial early repayment of our 6.625% Senior Notes due 2021.</w:t>
      </w:r>
    </w:p>
    <w:p>
      <w:pPr>
        <w:spacing w:after="0" w:line="129" w:lineRule="exact"/>
        <w:rPr>
          <w:rFonts w:ascii="Arial" w:cs="Arial" w:eastAsia="Arial" w:hAnsi="Arial"/>
          <w:sz w:val="18"/>
          <w:szCs w:val="18"/>
          <w:color w:val="auto"/>
        </w:rPr>
      </w:pPr>
    </w:p>
    <w:p>
      <w:pPr>
        <w:jc w:val="both"/>
        <w:ind w:left="340" w:hanging="332"/>
        <w:spacing w:after="0" w:line="268" w:lineRule="auto"/>
        <w:tabs>
          <w:tab w:leader="none" w:pos="3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2020, income tax expense includes a $20.2 million discrete tax benefit from the recognition of deferred tax assets we expect to utilize in future years. In 2019, income tax expense includes a net $11.1 million discrete income tax charge related to changes in the valuation of certain deferred tax assets. In 2018, we recorded a $22.3 million income tax expense to complete the accounting for the impact of the Tax Act. This expense reduced our estimated net tax benefit of $41.6 million recorded in 2017, primarily due to the reversal of a valuation allowance on certain U.S. deferred tax assets as a result of the enactment of the Tax Act.</w:t>
      </w:r>
    </w:p>
    <w:p>
      <w:pPr>
        <w:spacing w:after="0" w:line="126" w:lineRule="exact"/>
        <w:rPr>
          <w:rFonts w:ascii="Arial" w:cs="Arial" w:eastAsia="Arial" w:hAnsi="Arial"/>
          <w:sz w:val="18"/>
          <w:szCs w:val="18"/>
          <w:color w:val="auto"/>
        </w:rPr>
      </w:pPr>
    </w:p>
    <w:p>
      <w:pPr>
        <w:ind w:left="340" w:hanging="332"/>
        <w:spacing w:after="0" w:line="277" w:lineRule="auto"/>
        <w:tabs>
          <w:tab w:leader="none" w:pos="3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October 2020, our Board of Directors approved the initiation of a regular quarterly cash dividend on our common stock. The first quarterly dividend of $0.04 per share was paid on January 7, 2021 to stockholders of record as of December 18, 2020.</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3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January 1, 2018, we retrospectively adopted Accounting Standards Update (“ASU”) 2014-09, Revenue from Contracts with Customers (Topic 606). The selected financial data as of December 31, 2016 was not adjusted for this new accounting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right="20" w:hanging="332"/>
        <w:spacing w:after="0" w:line="308" w:lineRule="auto"/>
        <w:tabs>
          <w:tab w:leader="none" w:pos="337"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On January 1, 2019, we adopted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 of December 31, 2019, there were increases to our consolidated balance sheet of approximately $128 million for operating lease right of use assets and approximately $132 million for operating lease liabilities.</w:t>
      </w:r>
    </w:p>
    <w:p>
      <w:pPr>
        <w:spacing w:after="0" w:line="92" w:lineRule="exact"/>
        <w:rPr>
          <w:rFonts w:ascii="Arial" w:cs="Arial" w:eastAsia="Arial" w:hAnsi="Arial"/>
          <w:sz w:val="17"/>
          <w:szCs w:val="17"/>
          <w:color w:val="auto"/>
        </w:rPr>
      </w:pPr>
    </w:p>
    <w:p>
      <w:pPr>
        <w:ind w:left="340" w:hanging="332"/>
        <w:spacing w:after="0" w:line="277" w:lineRule="auto"/>
        <w:tabs>
          <w:tab w:leader="none" w:pos="3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May 22, 2017, we completed the purchase of Nanium. Their financial results have been included in our Consolidated Financial Statements from the date of acquisition.</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May 2017, we sold the land and buildings comprising our K1 factory in Korea for $142.4 million which resulted in a pre-tax gain of $108.1 million.</w:t>
      </w:r>
    </w:p>
    <w:p>
      <w:pPr>
        <w:spacing w:after="0" w:line="2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section includes comparisons of certain 2020 financial information to the same information for 2019. For discussion of 2019 results in comparison with 2018 results refer to “Management’s Discussion and Analysis of Financial Conditions and Results of Operations” in our Annual Report on Form 10-K filed with the Securities and Exchange Commission on February 19,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executing our balanced growth strategy and selectively growing our scale and scope through strategic investments.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industry leader in developing and commercializing advanced packaging and test technologies. We believe these advanced technology solutions provide substantial value to our customers, particularly in the mobile communications market, where growth generally outpaces the overall semiconductor industry.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Interest in advanced packages for automotive applications is growing as well, largely due to new, data-intensive applications, which require increased pin count and performance. We believe that our technology leadership and this technology transition create significant growth opportunities for us.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In addition, we are seeking to add new customers and to deepen our engagement with existing customers. This includes an expanded emphasis on the automotive end market where semiconductor content continues to grow and in the analog area for our mainstream wirebond technologies.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identify attractive opportunities to grow our customer base and expand the markets we serve through joint ventures, acquisitions and other strategic investments. For example, in May 2017 we acquired Nanium, which has strengthened our position in the market for wafer-level fan-out packaging. We believe that taking advantage of these opportunities helps to diversify our revenue streams, improve our profits, broaden our portfolio of services and maintain our technological leadership.</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correction, economic slowdown or subsequent economic recovery. While customer demand for our services was, overall, quite strong throughout 2020, particularly in the communications and consumer end markets, demand in automotive and industrial was lower through most of the year due to the Covid-19 pandemic. We made many adjustments to our operations during 2020 to navigate through the onset of the pandemic, and through these efforts we were able to continue serving customers and grow the business in a challenging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full potential effect of the Covid-19 pandemic is unknown, and there is significant uncertainty related to the ultimate impact that the Covid-19 pandemic will have on the global economy, our business, results of operations and financial condition. See Part I, Item 1A, including, “The Covid-19 Outbreak Has Impacted and May Continue to Impact the Supply Chain and Consumer Demand for Our Customers’ Products and Services, Which May Adversely Affect Our Business, Results of Operations, and Financial Condition” and “Dependence on the Highly Cyclical Semiconductor Industry - Our Packaging and Test Services Are Used in Volatile Industries and Industry Downturns, and Declines in Global Economic and Financial Conditions Could Harm Our Performance.”</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operate in a capital intensive industry.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December 31, 2020, we had cash and cash equivalents and short-term investments of $698.0 million and $133.8 million, respectively.</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as a result of many factors, including the seasonality of our business, the cyclical nature of the semiconductor industry and other factors discussed in Part 1, Item 1A of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Financial Summary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sales increased $997.9 million or 24.6% to $5,050.6 million in 2020 from $4,052.7 million in 2019. The increase was generally attributable to higher sales of advanced products in the communications, consumer and computing end markets, partially offset by a decline in the automotive and industrial end market.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increased $251.4 million in 2020 compared to 2019, primarily due to the increase in net sales, partially offset by changes in the mix of products sold toward products with higher material content.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2020, our capital expenditures totaled $553.0 million, or 10.9% of net sales compared to $472.4 million, or 11.7% of net sales in 2019. Our spending was primarily focused on investments in advanced packaging and test equipment.</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operating activities was $770.0 million for the year ended December 31, 2020, compared to $563.9 million for the year ended December 31, 2019. This increase was primarily due to higher net sales, higher operating profit, and changes in working capital.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2020, our Board of Directors approved the initiation of a regular quarterly cash dividend on our common stock. The initial quarterly dividend was $0.04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For the Year Ended December 31</w:t>
            </w:r>
          </w:p>
        </w:tc>
        <w:tc>
          <w:tcPr>
            <w:tcW w:w="1220" w:type="dxa"/>
            <w:vAlign w:val="bottom"/>
            <w:tcBorders>
              <w:bottom w:val="single" w:sz="8" w:color="auto"/>
            </w:tcBorders>
          </w:tcPr>
          <w:p>
            <w:pPr>
              <w:spacing w:after="0"/>
              <w:rPr>
                <w:sz w:val="16"/>
                <w:szCs w:val="16"/>
                <w:color w:val="auto"/>
              </w:rPr>
            </w:pPr>
          </w:p>
        </w:tc>
      </w:tr>
      <w:tr>
        <w:trPr>
          <w:trHeight w:val="187"/>
        </w:trPr>
        <w:tc>
          <w:tcPr>
            <w:tcW w:w="62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r>
      <w:tr>
        <w:trPr>
          <w:trHeight w:val="211"/>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7200" w:type="dxa"/>
            <w:vAlign w:val="bottom"/>
            <w:gridSpan w:val="2"/>
          </w:tcPr>
          <w:p>
            <w:pPr>
              <w:ind w:left="20"/>
              <w:spacing w:after="0"/>
              <w:rPr>
                <w:sz w:val="20"/>
                <w:szCs w:val="20"/>
                <w:color w:val="auto"/>
              </w:rPr>
            </w:pPr>
            <w:r>
              <w:rPr>
                <w:rFonts w:ascii="Arial" w:cs="Arial" w:eastAsia="Arial" w:hAnsi="Arial"/>
                <w:sz w:val="16"/>
                <w:szCs w:val="16"/>
                <w:color w:val="auto"/>
              </w:rPr>
              <w:t>Materials</w:t>
            </w:r>
          </w:p>
        </w:tc>
        <w:tc>
          <w:tcPr>
            <w:tcW w:w="620" w:type="dxa"/>
            <w:vAlign w:val="bottom"/>
          </w:tcPr>
          <w:p>
            <w:pPr>
              <w:jc w:val="right"/>
              <w:spacing w:after="0"/>
              <w:rPr>
                <w:sz w:val="20"/>
                <w:szCs w:val="20"/>
                <w:color w:val="auto"/>
              </w:rPr>
            </w:pPr>
            <w:r>
              <w:rPr>
                <w:rFonts w:ascii="Arial" w:cs="Arial" w:eastAsia="Arial" w:hAnsi="Arial"/>
                <w:sz w:val="16"/>
                <w:szCs w:val="16"/>
                <w:color w:val="auto"/>
              </w:rPr>
              <w:t>45.5 %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40.0 %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38.7 %</w:t>
            </w:r>
          </w:p>
        </w:tc>
      </w:tr>
      <w:tr>
        <w:trPr>
          <w:trHeight w:val="21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16.1 %</w:t>
            </w:r>
          </w:p>
        </w:tc>
      </w:tr>
      <w:tr>
        <w:trPr>
          <w:trHeight w:val="213"/>
        </w:trPr>
        <w:tc>
          <w:tcPr>
            <w:tcW w:w="7200" w:type="dxa"/>
            <w:vAlign w:val="bottom"/>
            <w:gridSpan w:val="2"/>
          </w:tcPr>
          <w:p>
            <w:pPr>
              <w:ind w:left="20"/>
              <w:spacing w:after="0"/>
              <w:rPr>
                <w:sz w:val="20"/>
                <w:szCs w:val="20"/>
                <w:color w:val="auto"/>
              </w:rPr>
            </w:pPr>
            <w:r>
              <w:rPr>
                <w:rFonts w:ascii="Arial" w:cs="Arial" w:eastAsia="Arial" w:hAnsi="Arial"/>
                <w:sz w:val="16"/>
                <w:szCs w:val="16"/>
                <w:color w:val="auto"/>
              </w:rPr>
              <w:t>Other manufacturing costs</w:t>
            </w:r>
          </w:p>
        </w:tc>
        <w:tc>
          <w:tcPr>
            <w:tcW w:w="620" w:type="dxa"/>
            <w:vAlign w:val="bottom"/>
          </w:tcPr>
          <w:p>
            <w:pPr>
              <w:jc w:val="right"/>
              <w:spacing w:after="0"/>
              <w:rPr>
                <w:sz w:val="20"/>
                <w:szCs w:val="20"/>
                <w:color w:val="auto"/>
              </w:rPr>
            </w:pPr>
            <w:r>
              <w:rPr>
                <w:rFonts w:ascii="Arial" w:cs="Arial" w:eastAsia="Arial" w:hAnsi="Arial"/>
                <w:sz w:val="16"/>
                <w:szCs w:val="16"/>
                <w:color w:val="auto"/>
              </w:rPr>
              <w:t>23.3 %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28.0 %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28.7 %</w:t>
            </w:r>
          </w:p>
        </w:tc>
      </w:tr>
      <w:tr>
        <w:trPr>
          <w:trHeight w:val="21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16.5 %</w:t>
            </w:r>
          </w:p>
        </w:tc>
      </w:tr>
      <w:tr>
        <w:trPr>
          <w:trHeight w:val="213"/>
        </w:trPr>
        <w:tc>
          <w:tcPr>
            <w:tcW w:w="720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620" w:type="dxa"/>
            <w:vAlign w:val="bottom"/>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6.0 %</w:t>
            </w:r>
          </w:p>
        </w:tc>
      </w:tr>
      <w:tr>
        <w:trPr>
          <w:trHeight w:val="21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attributable to Amkor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88"/>
        </w:trPr>
        <w:tc>
          <w:tcPr>
            <w:tcW w:w="2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2020 over 2019</w:t>
            </w:r>
          </w:p>
        </w:tc>
        <w:tc>
          <w:tcPr>
            <w:tcW w:w="10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2019 over 2018</w:t>
            </w:r>
          </w:p>
        </w:tc>
        <w:tc>
          <w:tcPr>
            <w:tcW w:w="600" w:type="dxa"/>
            <w:vAlign w:val="bottom"/>
            <w:tcBorders>
              <w:bottom w:val="single" w:sz="8" w:color="auto"/>
            </w:tcBorders>
          </w:tcPr>
          <w:p>
            <w:pPr>
              <w:spacing w:after="0"/>
              <w:rPr>
                <w:sz w:val="16"/>
                <w:szCs w:val="16"/>
                <w:color w:val="auto"/>
              </w:rPr>
            </w:pPr>
          </w:p>
        </w:tc>
      </w:tr>
      <w:tr>
        <w:trPr>
          <w:trHeight w:val="183"/>
        </w:trPr>
        <w:tc>
          <w:tcPr>
            <w:tcW w:w="2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20" w:type="dxa"/>
            <w:vAlign w:val="bottom"/>
            <w:gridSpan w:val="3"/>
          </w:tcPr>
          <w:p>
            <w:pPr>
              <w:jc w:val="right"/>
              <w:ind w:right="22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1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5,050,589</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4,052,650</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4,316,466</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524"/>
              <w:spacing w:after="0"/>
              <w:rPr>
                <w:sz w:val="20"/>
                <w:szCs w:val="20"/>
                <w:color w:val="auto"/>
              </w:rPr>
            </w:pPr>
            <w:r>
              <w:rPr>
                <w:rFonts w:ascii="Arial" w:cs="Arial" w:eastAsia="Arial" w:hAnsi="Arial"/>
                <w:sz w:val="16"/>
                <w:szCs w:val="16"/>
                <w:color w:val="auto"/>
              </w:rPr>
              <w:t>997,939</w:t>
            </w:r>
          </w:p>
        </w:tc>
        <w:tc>
          <w:tcPr>
            <w:tcW w:w="108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24.6 %  $</w:t>
            </w:r>
          </w:p>
        </w:tc>
        <w:tc>
          <w:tcPr>
            <w:tcW w:w="1400" w:type="dxa"/>
            <w:vAlign w:val="bottom"/>
            <w:shd w:val="clear" w:color="auto" w:fill="CCEEFF"/>
          </w:tcPr>
          <w:p>
            <w:pPr>
              <w:jc w:val="right"/>
              <w:ind w:right="484"/>
              <w:spacing w:after="0"/>
              <w:rPr>
                <w:sz w:val="20"/>
                <w:szCs w:val="20"/>
                <w:color w:val="auto"/>
              </w:rPr>
            </w:pPr>
            <w:r>
              <w:rPr>
                <w:rFonts w:ascii="Arial" w:cs="Arial" w:eastAsia="Arial" w:hAnsi="Arial"/>
                <w:sz w:val="16"/>
                <w:szCs w:val="16"/>
                <w:color w:val="auto"/>
              </w:rPr>
              <w:t>(263,816)</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increase in net sales in 2020 compared to 2019 was due to higher sales of advanced products in the communications, consumer and computing end markets, partially offset by a decline in the automotive and industrial end market. The communications end market benefited from the recovery in the smartphone market from the prior year inventory correction. Sales increased in the consumer end market due to the introduction of a new high-volume consumer product. Increased demand, driven by work-from-home arrangements, drove higher sales in the computing end market. The automotive and industrial market experienced decreased demand and supply chain disruptions due to the Covid-19 pandemic.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1240" w:type="dxa"/>
            <w:vAlign w:val="bottom"/>
            <w:tcBorders>
              <w:bottom w:val="single" w:sz="8" w:color="auto"/>
            </w:tcBorders>
          </w:tcPr>
          <w:p>
            <w:pPr>
              <w:spacing w:after="0"/>
              <w:rPr>
                <w:sz w:val="16"/>
                <w:szCs w:val="16"/>
                <w:color w:val="auto"/>
              </w:rPr>
            </w:pPr>
          </w:p>
        </w:tc>
      </w:tr>
      <w:tr>
        <w:trPr>
          <w:trHeight w:val="188"/>
        </w:trPr>
        <w:tc>
          <w:tcPr>
            <w:tcW w:w="3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8"/>
              </w:rPr>
              <w:t>2020 over 2019</w:t>
            </w: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6"/>
              </w:rPr>
              <w:t>2019 over 2018</w:t>
            </w:r>
          </w:p>
        </w:tc>
      </w:tr>
      <w:tr>
        <w:trPr>
          <w:trHeight w:val="183"/>
        </w:trPr>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0" w:type="dxa"/>
            <w:vAlign w:val="bottom"/>
            <w:gridSpan w:val="4"/>
          </w:tcPr>
          <w:p>
            <w:pPr>
              <w:jc w:val="right"/>
              <w:ind w:right="782"/>
              <w:spacing w:after="0"/>
              <w:rPr>
                <w:sz w:val="20"/>
                <w:szCs w:val="20"/>
                <w:color w:val="auto"/>
              </w:rPr>
            </w:pPr>
            <w:r>
              <w:rPr>
                <w:rFonts w:ascii="Arial" w:cs="Arial" w:eastAsia="Arial" w:hAnsi="Arial"/>
                <w:sz w:val="14"/>
                <w:szCs w:val="14"/>
                <w:b w:val="1"/>
                <w:bCs w:val="1"/>
                <w:color w:val="auto"/>
                <w:w w:val="90"/>
              </w:rPr>
              <w:t>(In thousands, except percentages)</w:t>
            </w: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900,814</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649,439</w:t>
            </w:r>
          </w:p>
        </w:tc>
        <w:tc>
          <w:tcPr>
            <w:tcW w:w="60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710,565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251,375</w:t>
            </w: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(61,126)</w:t>
            </w: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3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17.8 %</w:t>
            </w:r>
          </w:p>
        </w:tc>
        <w:tc>
          <w:tcPr>
            <w:tcW w:w="360" w:type="dxa"/>
            <w:vAlign w:val="bottom"/>
          </w:tcPr>
          <w:p>
            <w:pPr>
              <w:spacing w:after="0"/>
              <w:rPr>
                <w:sz w:val="18"/>
                <w:szCs w:val="18"/>
                <w:color w:val="auto"/>
              </w:rPr>
            </w:pPr>
          </w:p>
        </w:tc>
        <w:tc>
          <w:tcPr>
            <w:tcW w:w="1460" w:type="dxa"/>
            <w:vAlign w:val="bottom"/>
            <w:gridSpan w:val="2"/>
          </w:tcPr>
          <w:p>
            <w:pPr>
              <w:jc w:val="right"/>
              <w:ind w:right="364"/>
              <w:spacing w:after="0"/>
              <w:rPr>
                <w:sz w:val="20"/>
                <w:szCs w:val="20"/>
                <w:color w:val="auto"/>
              </w:rPr>
            </w:pPr>
            <w:r>
              <w:rPr>
                <w:rFonts w:ascii="Arial" w:cs="Arial" w:eastAsia="Arial" w:hAnsi="Arial"/>
                <w:sz w:val="16"/>
                <w:szCs w:val="16"/>
                <w:color w:val="auto"/>
              </w:rPr>
              <w:t>16.0 %</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16.5 %</w:t>
            </w:r>
          </w:p>
        </w:tc>
        <w:tc>
          <w:tcPr>
            <w:tcW w:w="180" w:type="dxa"/>
            <w:vAlign w:val="bottom"/>
          </w:tcPr>
          <w:p>
            <w:pPr>
              <w:spacing w:after="0"/>
              <w:rPr>
                <w:sz w:val="18"/>
                <w:szCs w:val="18"/>
                <w:color w:val="auto"/>
              </w:rPr>
            </w:pPr>
          </w:p>
        </w:tc>
        <w:tc>
          <w:tcPr>
            <w:tcW w:w="1600" w:type="dxa"/>
            <w:vAlign w:val="bottom"/>
            <w:gridSpan w:val="2"/>
          </w:tcPr>
          <w:p>
            <w:pPr>
              <w:jc w:val="right"/>
              <w:ind w:right="264"/>
              <w:spacing w:after="0"/>
              <w:rPr>
                <w:sz w:val="20"/>
                <w:szCs w:val="20"/>
                <w:color w:val="auto"/>
              </w:rPr>
            </w:pPr>
            <w:r>
              <w:rPr>
                <w:rFonts w:ascii="Arial" w:cs="Arial" w:eastAsia="Arial" w:hAnsi="Arial"/>
                <w:sz w:val="16"/>
                <w:szCs w:val="16"/>
                <w:color w:val="auto"/>
              </w:rPr>
              <w:t>1.8 %</w:t>
            </w:r>
          </w:p>
        </w:tc>
        <w:tc>
          <w:tcPr>
            <w:tcW w:w="1240" w:type="dxa"/>
            <w:vAlign w:val="bottom"/>
          </w:tcPr>
          <w:p>
            <w:pPr>
              <w:jc w:val="right"/>
              <w:spacing w:after="0"/>
              <w:rPr>
                <w:sz w:val="20"/>
                <w:szCs w:val="20"/>
                <w:color w:val="auto"/>
              </w:rPr>
            </w:pPr>
            <w:r>
              <w:rPr>
                <w:rFonts w:ascii="Arial" w:cs="Arial" w:eastAsia="Arial" w:hAnsi="Arial"/>
                <w:sz w:val="16"/>
                <w:szCs w:val="16"/>
                <w:color w:val="auto"/>
              </w:rPr>
              <w:t>(0.5)%</w:t>
            </w:r>
          </w:p>
        </w:tc>
      </w:tr>
    </w:tbl>
    <w:p>
      <w:pPr>
        <w:spacing w:after="0" w:line="32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upon product mix, utilization and seasonality.</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and gross margin for 2020 increased compared to 2019, primarily due to the increase in net sales, partially offset by changes in the mix of products sold toward products with higher material content.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Change</w:t>
            </w:r>
          </w:p>
        </w:tc>
        <w:tc>
          <w:tcPr>
            <w:tcW w:w="1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88"/>
        </w:trPr>
        <w:tc>
          <w:tcPr>
            <w:tcW w:w="2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2020 over 2019</w:t>
            </w: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2019 over 2018</w:t>
            </w:r>
          </w:p>
        </w:tc>
        <w:tc>
          <w:tcPr>
            <w:tcW w:w="600" w:type="dxa"/>
            <w:vAlign w:val="bottom"/>
            <w:tcBorders>
              <w:bottom w:val="single" w:sz="8" w:color="auto"/>
            </w:tcBorders>
          </w:tcPr>
          <w:p>
            <w:pPr>
              <w:spacing w:after="0"/>
              <w:rPr>
                <w:sz w:val="16"/>
                <w:szCs w:val="16"/>
                <w:color w:val="auto"/>
              </w:rPr>
            </w:pPr>
          </w:p>
        </w:tc>
      </w:tr>
      <w:tr>
        <w:trPr>
          <w:trHeight w:val="183"/>
        </w:trPr>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gridSpan w:val="3"/>
          </w:tcPr>
          <w:p>
            <w:pPr>
              <w:ind w:left="400"/>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17"/>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302,842</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278,631</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295,239</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24,211</w:t>
            </w: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8.7% $</w:t>
            </w:r>
          </w:p>
        </w:tc>
        <w:tc>
          <w:tcPr>
            <w:tcW w:w="1340" w:type="dxa"/>
            <w:vAlign w:val="bottom"/>
            <w:shd w:val="clear" w:color="auto" w:fill="CCEEFF"/>
          </w:tcPr>
          <w:p>
            <w:pPr>
              <w:jc w:val="right"/>
              <w:ind w:right="484"/>
              <w:spacing w:after="0"/>
              <w:rPr>
                <w:sz w:val="20"/>
                <w:szCs w:val="20"/>
                <w:color w:val="auto"/>
              </w:rPr>
            </w:pPr>
            <w:r>
              <w:rPr>
                <w:rFonts w:ascii="Arial" w:cs="Arial" w:eastAsia="Arial" w:hAnsi="Arial"/>
                <w:sz w:val="16"/>
                <w:szCs w:val="16"/>
                <w:color w:val="auto"/>
              </w:rPr>
              <w:t>(16,608)</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increased in 2020 compared to 2019 primarily due to costs incurred for our factory consolidation efforts in Japan and increased employee compensation costs. These increases were partially offset by our efforts to control expenses, particularly travel and professional fees. In addition, we had a gain from a sale of real estate in 2019 which lowered our expenses in that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Change</w:t>
            </w:r>
          </w:p>
        </w:tc>
        <w:tc>
          <w:tcPr>
            <w:tcW w:w="1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88"/>
        </w:trPr>
        <w:tc>
          <w:tcPr>
            <w:tcW w:w="2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2020 over 2019</w:t>
            </w:r>
          </w:p>
        </w:tc>
        <w:tc>
          <w:tcPr>
            <w:tcW w:w="10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2019 over 2018</w:t>
            </w:r>
          </w:p>
        </w:tc>
        <w:tc>
          <w:tcPr>
            <w:tcW w:w="640" w:type="dxa"/>
            <w:vAlign w:val="bottom"/>
            <w:tcBorders>
              <w:bottom w:val="single" w:sz="8" w:color="auto"/>
            </w:tcBorders>
          </w:tcPr>
          <w:p>
            <w:pPr>
              <w:spacing w:after="0"/>
              <w:rPr>
                <w:sz w:val="16"/>
                <w:szCs w:val="16"/>
                <w:color w:val="auto"/>
              </w:rPr>
            </w:pPr>
          </w:p>
        </w:tc>
      </w:tr>
      <w:tr>
        <w:trPr>
          <w:trHeight w:val="183"/>
        </w:trPr>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gridSpan w:val="3"/>
          </w:tcPr>
          <w:p>
            <w:pPr>
              <w:jc w:val="right"/>
              <w:ind w:right="24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7"/>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140,727</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137,638</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157,182</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564"/>
              <w:spacing w:after="0"/>
              <w:rPr>
                <w:sz w:val="20"/>
                <w:szCs w:val="20"/>
                <w:color w:val="auto"/>
              </w:rPr>
            </w:pPr>
            <w:r>
              <w:rPr>
                <w:rFonts w:ascii="Arial" w:cs="Arial" w:eastAsia="Arial" w:hAnsi="Arial"/>
                <w:sz w:val="16"/>
                <w:szCs w:val="16"/>
                <w:color w:val="auto"/>
              </w:rPr>
              <w:t>3,089</w:t>
            </w: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2.2% $</w:t>
            </w:r>
          </w:p>
        </w:tc>
        <w:tc>
          <w:tcPr>
            <w:tcW w:w="1300" w:type="dxa"/>
            <w:vAlign w:val="bottom"/>
            <w:shd w:val="clear" w:color="auto" w:fill="CCEEFF"/>
          </w:tcPr>
          <w:p>
            <w:pPr>
              <w:jc w:val="right"/>
              <w:ind w:right="444"/>
              <w:spacing w:after="0"/>
              <w:rPr>
                <w:sz w:val="20"/>
                <w:szCs w:val="20"/>
                <w:color w:val="auto"/>
              </w:rPr>
            </w:pPr>
            <w:r>
              <w:rPr>
                <w:rFonts w:ascii="Arial" w:cs="Arial" w:eastAsia="Arial" w:hAnsi="Arial"/>
                <w:sz w:val="16"/>
                <w:szCs w:val="16"/>
                <w:color w:val="auto"/>
              </w:rPr>
              <w:t>(19,544)</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sales, including ongoing depreciation for the equipment previously held for research and development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88"/>
        </w:trPr>
        <w:tc>
          <w:tcPr>
            <w:tcW w:w="2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2020 over 2019</w:t>
            </w: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8"/>
              </w:rPr>
              <w:t>2019 over 2018</w:t>
            </w:r>
          </w:p>
        </w:tc>
        <w:tc>
          <w:tcPr>
            <w:tcW w:w="640" w:type="dxa"/>
            <w:vAlign w:val="bottom"/>
            <w:tcBorders>
              <w:bottom w:val="single" w:sz="8" w:color="auto"/>
            </w:tcBorders>
          </w:tcPr>
          <w:p>
            <w:pPr>
              <w:spacing w:after="0"/>
              <w:rPr>
                <w:sz w:val="16"/>
                <w:szCs w:val="16"/>
                <w:color w:val="auto"/>
              </w:rPr>
            </w:pPr>
          </w:p>
        </w:tc>
      </w:tr>
      <w:tr>
        <w:trPr>
          <w:trHeight w:val="183"/>
        </w:trPr>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5"/>
          </w:tcPr>
          <w:p>
            <w:pPr>
              <w:ind w:left="420"/>
              <w:spacing w:after="0"/>
              <w:rPr>
                <w:sz w:val="20"/>
                <w:szCs w:val="20"/>
                <w:color w:val="auto"/>
              </w:rPr>
            </w:pPr>
            <w:r>
              <w:rPr>
                <w:rFonts w:ascii="Arial" w:cs="Arial" w:eastAsia="Arial" w:hAnsi="Arial"/>
                <w:sz w:val="14"/>
                <w:szCs w:val="14"/>
                <w:b w:val="1"/>
                <w:bCs w:val="1"/>
                <w:color w:val="auto"/>
                <w:w w:val="99"/>
              </w:rPr>
              <w:t>(In thousands, except percentages)</w:t>
            </w: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7"/>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90"/>
              </w:rPr>
              <w:t>(7,419)</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(10.4)%</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(7,359)</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3"/>
        </w:trPr>
        <w:tc>
          <w:tcPr>
            <w:tcW w:w="23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(4,133)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center"/>
              <w:ind w:left="220"/>
              <w:spacing w:after="0"/>
              <w:rPr>
                <w:sz w:val="20"/>
                <w:szCs w:val="20"/>
                <w:color w:val="auto"/>
              </w:rPr>
            </w:pPr>
            <w:r>
              <w:rPr>
                <w:rFonts w:ascii="Arial" w:cs="Arial" w:eastAsia="Arial" w:hAnsi="Arial"/>
                <w:sz w:val="16"/>
                <w:szCs w:val="16"/>
                <w:color w:val="auto"/>
                <w:w w:val="89"/>
              </w:rPr>
              <w:t>1,206</w:t>
            </w:r>
          </w:p>
        </w:tc>
        <w:tc>
          <w:tcPr>
            <w:tcW w:w="50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(18.1)%</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(2,522)</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61.0 %</w:t>
            </w:r>
          </w:p>
        </w:tc>
      </w:tr>
      <w:tr>
        <w:trPr>
          <w:trHeight w:val="219"/>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(gain) loss,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220"/>
              <w:spacing w:after="0"/>
              <w:rPr>
                <w:sz w:val="20"/>
                <w:szCs w:val="20"/>
                <w:color w:val="auto"/>
              </w:rPr>
            </w:pPr>
            <w:r>
              <w:rPr>
                <w:rFonts w:ascii="Arial" w:cs="Arial" w:eastAsia="Arial" w:hAnsi="Arial"/>
                <w:sz w:val="16"/>
                <w:szCs w:val="16"/>
                <w:color w:val="auto"/>
                <w:w w:val="89"/>
              </w:rPr>
              <w:t>7,664</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&gt;100%</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34.0 %</w:t>
            </w:r>
          </w:p>
        </w:tc>
      </w:tr>
      <w:tr>
        <w:trPr>
          <w:trHeight w:val="213"/>
        </w:trPr>
        <w:tc>
          <w:tcPr>
            <w:tcW w:w="2360" w:type="dxa"/>
            <w:vAlign w:val="bottom"/>
          </w:tcPr>
          <w:p>
            <w:pPr>
              <w:ind w:left="20"/>
              <w:spacing w:after="0"/>
              <w:rPr>
                <w:sz w:val="20"/>
                <w:szCs w:val="20"/>
                <w:color w:val="auto"/>
              </w:rPr>
            </w:pPr>
            <w:r>
              <w:rPr>
                <w:rFonts w:ascii="Arial" w:cs="Arial" w:eastAsia="Arial" w:hAnsi="Arial"/>
                <w:sz w:val="16"/>
                <w:szCs w:val="16"/>
                <w:color w:val="auto"/>
              </w:rPr>
              <w:t>Loss on debt retirement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center"/>
              <w:ind w:left="200"/>
              <w:spacing w:after="0"/>
              <w:rPr>
                <w:sz w:val="20"/>
                <w:szCs w:val="20"/>
                <w:color w:val="auto"/>
              </w:rPr>
            </w:pPr>
            <w:r>
              <w:rPr>
                <w:rFonts w:ascii="Arial" w:cs="Arial" w:eastAsia="Arial" w:hAnsi="Arial"/>
                <w:sz w:val="16"/>
                <w:szCs w:val="16"/>
                <w:color w:val="auto"/>
                <w:w w:val="90"/>
              </w:rPr>
              <w:t>(5,494)</w:t>
            </w:r>
          </w:p>
        </w:tc>
        <w:tc>
          <w:tcPr>
            <w:tcW w:w="50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(64.4)%</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7,024</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220"/>
              <w:spacing w:after="0"/>
              <w:rPr>
                <w:sz w:val="20"/>
                <w:szCs w:val="20"/>
                <w:color w:val="auto"/>
              </w:rPr>
            </w:pPr>
            <w:r>
              <w:rPr>
                <w:rFonts w:ascii="Arial" w:cs="Arial" w:eastAsia="Arial" w:hAnsi="Arial"/>
                <w:sz w:val="16"/>
                <w:szCs w:val="16"/>
                <w:color w:val="auto"/>
                <w:w w:val="89"/>
              </w:rPr>
              <w:t>1,246</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(60.7)%</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3,395</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213"/>
        </w:trPr>
        <w:tc>
          <w:tcPr>
            <w:tcW w:w="2360" w:type="dxa"/>
            <w:vAlign w:val="bottom"/>
          </w:tcPr>
          <w:p>
            <w:pPr>
              <w:ind w:left="220"/>
              <w:spacing w:after="0"/>
              <w:rPr>
                <w:sz w:val="20"/>
                <w:szCs w:val="20"/>
                <w:color w:val="auto"/>
              </w:rPr>
            </w:pPr>
            <w:r>
              <w:rPr>
                <w:rFonts w:ascii="Arial" w:cs="Arial" w:eastAsia="Arial" w:hAnsi="Arial"/>
                <w:sz w:val="16"/>
                <w:szCs w:val="16"/>
                <w:color w:val="auto"/>
              </w:rPr>
              <w:t>Total other expense,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70,563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73,360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72,329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w w:val="90"/>
              </w:rPr>
              <w:t>(2,797)</w:t>
            </w:r>
          </w:p>
        </w:tc>
        <w:tc>
          <w:tcPr>
            <w:tcW w:w="50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0"/>
        </w:trPr>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in 2020 compared to 2019, primarily due to the repayment of higher interest rate debt with the proceeds from our ¥28.5 billion ($260.6 million) fixed rate term loan agreement in December 2019 and January 2020. Interest expense has also decreased due to overall decreases in interest rates in 2020 for our variable interest rate loans.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foreign currency (gain) loss, net for 2020 compared to 2019 were due to foreign currency exchange rate movements, mainly the Korean Won, and the associated impact on our net monetary exposure at our foreign subsidiaries.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Loss on debt retirement in 2019 is primarily due to the early redemption in April 2019 of the outstanding $525 million aggregate principal amount of our 6.375% Senior Notes due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spacing w:after="0"/>
              <w:rPr>
                <w:sz w:val="16"/>
                <w:szCs w:val="16"/>
                <w:color w:val="auto"/>
              </w:rPr>
            </w:pPr>
          </w:p>
        </w:tc>
      </w:tr>
      <w:tr>
        <w:trPr>
          <w:trHeight w:val="188"/>
        </w:trPr>
        <w:tc>
          <w:tcPr>
            <w:tcW w:w="4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w w:val="96"/>
              </w:rPr>
              <w:t>2020 over 2019</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w w:val="90"/>
              </w:rPr>
              <w:t>2019 over 2018</w:t>
            </w:r>
          </w:p>
        </w:tc>
      </w:tr>
      <w:tr>
        <w:trPr>
          <w:trHeight w:val="183"/>
        </w:trPr>
        <w:tc>
          <w:tcPr>
            <w:tcW w:w="4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0" w:type="dxa"/>
            <w:vAlign w:val="bottom"/>
            <w:gridSpan w:val="5"/>
          </w:tcPr>
          <w:p>
            <w:pPr>
              <w:jc w:val="right"/>
              <w:ind w:right="1045"/>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7"/>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46,183</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37,182</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56,250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9,001</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(19,068)</w:t>
            </w: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11.9 %</w:t>
            </w:r>
          </w:p>
        </w:tc>
        <w:tc>
          <w:tcPr>
            <w:tcW w:w="38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23.3 %</w:t>
            </w:r>
          </w:p>
        </w:tc>
        <w:tc>
          <w:tcPr>
            <w:tcW w:w="38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30.3 %</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3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in 2020 includes a $20.2 million income tax benefit from the recognition of deferred tax assets we expect to utilize in future years. The effective tax rate in 2018 includes a $22.3 million income tax expense to complete the accounting for the impact of the Tax Act, reducing our estimated net tax benefit of $41.6 million from 2017.</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2019 and 2018, our subsidiaries in Korea, Malaysia, the Philippines, and Singapore operated under various tax holidays. The tax holidays granted to our Malaysia operations and certain operations in the Philippines expired during 2018. As these tax holidays expire, income earned in these jurisdictions will be subject to higher statutory income tax rates, which may cause our effective tax rate to increase.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4 to our Consolidated Financial Statements included in Part II, Item 8 of this Annual Report on Form 10-K for additional information about our income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our liquidity based on our current expectations regarding sales and operating expenses, capital spending, dividend payments and stock repurchases, debt service requirements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 dividend payments, debt service and other financial requirements for at least the next twelve months.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liquidity is affected by, among other factors, volatility in the global economy and credit markets, the performance of our business, our capital expenditure levels, other uses of our cash including any dividends and purchases of stock under any stock repurchase program, any acquisitions or investments in joint ventures and our ability to either repay debt out of operating cash flow or refinance it at or prior to maturity with the proceeds of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 Item 1A of this Annual Report on Form 10-K.</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We refer you to Note 6 and Note 11 to our Consolidated Financial Statements in Part II, Item 8 of this Annual Report on Form 10-K for additional information on our investments and borrowings, respectively.</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2020, we had cash and cash equivalents and short-term investments of $831.8 million. Included in our cash and short-term investments balances as of December 31, 2020, is $683.1 million held offshore by our foreign subsidiaries. We have the ability to access cash held offshore by our foreign subsidiaries primarily through the repayment of intercompany debt obligations. Due to the changes in the U.S. tax law under the Tax Act, distributions of cash to the U.S. as dividends generally will not be subject to U.S. federal income tax. We estimate that repatriation of this foreign cash and short-term investments would generate withholding taxes and state income taxes of approximately $40.8 million.</w:t>
      </w:r>
    </w:p>
    <w:p>
      <w:pPr>
        <w:spacing w:after="0" w:line="1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certain accounts receivable, we use non-recourse factoring arrangements with third party financial institutions to manage our working capital and cash flows. Under this program, we sell receivables to a financial institution for cash at a discount to the face amount. Available capacity under these programs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year ended December 31, 2020 and 2019, we sold accounts receivable totaling $499.3 million and $680.4 million, net of discounts and fees of $2.9 million and $4.4 million, respectively.</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borrowing base under our $250.0 million first lien senior secured revolving credit facility entered into by our subsidiary, Amkor Technology Singapore Holding Pte, Ltd. (“the Singapore Revolver”), is limited to the amount of eligible accounts receivable. As of December 31, 2020, we had availability of $250.0 million and no outstanding standby letters of credit. We refer you to Note 11 to our Consolidated Financial Statements in Part II, Item 8 of this Annual Report on Form 10-K for additional information. As of December 31, 2020, our foreign subsidiaries had $316.0 million available to be drawn under revolving credit facilities, including the Singapore Revolver, and $60.1 million available to be borrowed under term loan credit facilities for working capital purposes and capital expenditures.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had $1,154.3 million of debt. Our scheduled principal repayments on debt include $149.0 million due in 2021, $182.4 million due in 2022, $170.8 million due in 2023, $81.5 million due in 2024, $27.4 million due in 2025 and $553.3 million due thereafter. We were in compliance with all debt covenants as of December 31, 2020, and we expect to remain in compliance with these covenants for at least the next twelve months.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2020, we borrowed ¥10.9 billion (US$105 million) under a new term loan agreement due December 2025. We refer you to Note 11 to our Consolidated Financial Statements in Part II, Item 8 of this Annual Report on Form 10-K for additional information.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debt agreements have restrictions on dividend payments and the repurchase of stock and subordinated securities. These restrictions are determined in part by our covenant compliance and on calculations based upon cumulative net income or, in the case of our Singapore Revolver, borrowing availability. Dividend payments and stock repurchases are not currently restricted under our debt agreements.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debt of Amkor Technology, Inc. is structurally subordinated in right of payment to all existing and future debt and other liabilities of our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Amkor Technology, Inc. and Amkor Technology Singapore Holding Pte, Ltd. also guarantee certain debt of our subsidiaries.</w:t>
      </w:r>
    </w:p>
    <w:p>
      <w:pPr>
        <w:spacing w:after="0" w:line="1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would be subject to the terms of our indentures and other debt agreements, market conditions and other factors.</w:t>
      </w:r>
    </w:p>
    <w:p>
      <w:pPr>
        <w:spacing w:after="0" w:line="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subsidiary in Korea maintains an unfunded severance plan that covers certain employees that were employed prior to August 1, 2015. As of December 31, 2020, the severance liability was $98.0 million.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employees the option to convert from the severance plan to the defined contribution plan which would require the company to fund the converted portion of the liability. We refer you to Note 12 to our Consolidated Financial Statements in Part II, Item 8 of this Annual Report on Form 10-K for additional information.</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2020, our Board of Directors approved the initiation of a regular quarterly cash dividend on our common stock. The first quarterly dividend of $0.04 per share, representing an initial dividend payment of $9.7 million in the aggregate, was paid on January 7, 2021 to stockholders of record as of December 18, 2020.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previously authorized the repurchase of up to $300.0 million of our common stock, exclusive of any fees, commissions or other expenses. At December 31, 2020, approximately $91.6 million was available to repurchase common stock pursuant to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program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make significant capital expenditures in order to service the demand of our customers, which are primarily focused on investments in advanced packaging and test equipment. In 2020, our capital expenditures totaled $553.0 million or approximately 10.9% of net sales.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that our 2021 capital expenditures will be approximately $700 million. Ultimately, the amount of our 2021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and the availability of cash flows from operations or financing.</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addition, we are subject to risks associated with our capital expenditures, including those discussed in Part I, Item 1A of this Annual Report on Form 10-K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(used in) operating, investing and financing activities for each of the three years ended December 31, 2020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center"/>
              <w:ind w:left="677"/>
              <w:spacing w:after="0"/>
              <w:rPr>
                <w:sz w:val="20"/>
                <w:szCs w:val="20"/>
                <w:color w:val="auto"/>
              </w:rPr>
            </w:pPr>
            <w:r>
              <w:rPr>
                <w:rFonts w:ascii="Arial" w:cs="Arial" w:eastAsia="Arial" w:hAnsi="Arial"/>
                <w:sz w:val="14"/>
                <w:szCs w:val="14"/>
                <w:b w:val="1"/>
                <w:bCs w:val="1"/>
                <w:color w:val="auto"/>
                <w:w w:val="92"/>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2019</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297"/>
              <w:spacing w:after="0"/>
              <w:rPr>
                <w:sz w:val="20"/>
                <w:szCs w:val="20"/>
                <w:color w:val="auto"/>
              </w:rPr>
            </w:pPr>
            <w:r>
              <w:rPr>
                <w:rFonts w:ascii="Arial" w:cs="Arial" w:eastAsia="Arial" w:hAnsi="Arial"/>
                <w:sz w:val="18"/>
                <w:szCs w:val="18"/>
                <w:color w:val="auto"/>
                <w:w w:val="89"/>
              </w:rPr>
              <w:t>770,033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89"/>
              </w:rPr>
              <w:t>563,850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663,410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200" w:type="dxa"/>
            <w:vAlign w:val="bottom"/>
          </w:tcPr>
          <w:p>
            <w:pPr>
              <w:jc w:val="center"/>
              <w:ind w:left="277"/>
              <w:spacing w:after="0"/>
              <w:rPr>
                <w:sz w:val="20"/>
                <w:szCs w:val="20"/>
                <w:color w:val="auto"/>
              </w:rPr>
            </w:pPr>
            <w:r>
              <w:rPr>
                <w:rFonts w:ascii="Arial" w:cs="Arial" w:eastAsia="Arial" w:hAnsi="Arial"/>
                <w:sz w:val="18"/>
                <w:szCs w:val="18"/>
                <w:color w:val="auto"/>
                <w:w w:val="93"/>
              </w:rPr>
              <w:t>(638,705)</w:t>
            </w:r>
          </w:p>
        </w:tc>
        <w:tc>
          <w:tcPr>
            <w:tcW w:w="280" w:type="dxa"/>
            <w:vAlign w:val="bottom"/>
          </w:tcPr>
          <w:p>
            <w:pPr>
              <w:spacing w:after="0"/>
              <w:rPr>
                <w:sz w:val="19"/>
                <w:szCs w:val="19"/>
                <w:color w:val="auto"/>
              </w:rPr>
            </w:pPr>
          </w:p>
        </w:tc>
        <w:tc>
          <w:tcPr>
            <w:tcW w:w="1340" w:type="dxa"/>
            <w:vAlign w:val="bottom"/>
          </w:tcPr>
          <w:p>
            <w:pPr>
              <w:jc w:val="center"/>
              <w:ind w:left="417"/>
              <w:spacing w:after="0"/>
              <w:rPr>
                <w:sz w:val="20"/>
                <w:szCs w:val="20"/>
                <w:color w:val="auto"/>
              </w:rPr>
            </w:pPr>
            <w:r>
              <w:rPr>
                <w:rFonts w:ascii="Arial" w:cs="Arial" w:eastAsia="Arial" w:hAnsi="Arial"/>
                <w:sz w:val="18"/>
                <w:szCs w:val="18"/>
                <w:color w:val="auto"/>
                <w:w w:val="93"/>
              </w:rPr>
              <w:t>(462,489)</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(537,383)</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277"/>
              <w:spacing w:after="0"/>
              <w:rPr>
                <w:sz w:val="20"/>
                <w:szCs w:val="20"/>
                <w:color w:val="auto"/>
              </w:rPr>
            </w:pPr>
            <w:r>
              <w:rPr>
                <w:rFonts w:ascii="Arial" w:cs="Arial" w:eastAsia="Arial" w:hAnsi="Arial"/>
                <w:sz w:val="18"/>
                <w:szCs w:val="18"/>
                <w:color w:val="auto"/>
                <w:w w:val="93"/>
              </w:rPr>
              <w:t>(333,719)</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89"/>
              </w:rPr>
              <w:t>108,250</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(40,623)</w:t>
            </w: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 provided by operating activities for the year ended December 31, 2020 increased by $206.2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2019, primarily due to higher net sales, higher operating profit, and changes in working capital.</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Our cash flow used in investing activities for the year ended December 31, 2020 increased by $176.2 million compared to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2019, primarily due to purchases of short-term investments and an increase in payments related to property, plant and equipment. This increase was partially offset by proceeds from sales and maturities of short-term investments and an increase in proceeds received from foreign exchange forward contracts. Payments for property, plant and equipment can fluctuate based on the timing of purchase, receipt and acceptance of equipment.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net cash used in financing activities for the year ended December 31, 2020 was primarily due to the net debt repayments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Korea and Taiwan. The net cash provided by financing activities for the year ended December 31, 2019 was primarily due to the issuance of the 2027 Notes and net borrowings in Japan, partially offset by the redemption of the 2022 Notes and net repayments in Korea.</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and our ability to fund capital expenditures.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676"/>
              <w:spacing w:after="0"/>
              <w:rPr>
                <w:sz w:val="20"/>
                <w:szCs w:val="20"/>
                <w:color w:val="auto"/>
              </w:rPr>
            </w:pPr>
            <w:r>
              <w:rPr>
                <w:rFonts w:ascii="Arial" w:cs="Arial" w:eastAsia="Arial" w:hAnsi="Arial"/>
                <w:sz w:val="14"/>
                <w:szCs w:val="14"/>
                <w:b w:val="1"/>
                <w:bCs w:val="1"/>
                <w:color w:val="auto"/>
                <w:w w:val="92"/>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770,033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563,850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663,410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Payments for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(553,021)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(472,433)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(547,122)</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and insurance recovery for property, plant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103,072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120,500</w:t>
            </w:r>
          </w:p>
        </w:tc>
      </w:tr>
      <w:tr>
        <w:trPr>
          <w:trHeight w:val="21"/>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2020, and the effect such obligations are expected to have on our liquidity and cash flows in future periods.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9"/>
          </w:tcPr>
          <w:p>
            <w:pPr>
              <w:jc w:val="right"/>
              <w:ind w:right="128"/>
              <w:spacing w:after="0"/>
              <w:rPr>
                <w:sz w:val="20"/>
                <w:szCs w:val="20"/>
                <w:color w:val="auto"/>
              </w:rPr>
            </w:pPr>
            <w:r>
              <w:rPr>
                <w:rFonts w:ascii="Arial" w:cs="Arial" w:eastAsia="Arial" w:hAnsi="Arial"/>
                <w:sz w:val="13"/>
                <w:szCs w:val="13"/>
                <w:b w:val="1"/>
                <w:bCs w:val="1"/>
                <w:color w:val="auto"/>
                <w:w w:val="87"/>
              </w:rPr>
              <w:t>Payments Due for Year Ending December 31,</w:t>
            </w: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88"/>
        </w:trPr>
        <w:tc>
          <w:tcPr>
            <w:tcW w:w="3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Thereafter</w:t>
            </w:r>
          </w:p>
        </w:tc>
      </w:tr>
      <w:tr>
        <w:trPr>
          <w:trHeight w:val="165"/>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5"/>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1,164,302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182,373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170,776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81,461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553,285</w:t>
            </w:r>
          </w:p>
        </w:tc>
      </w:tr>
      <w:tr>
        <w:trPr>
          <w:trHeight w:val="186"/>
        </w:trPr>
        <w:tc>
          <w:tcPr>
            <w:tcW w:w="3300" w:type="dxa"/>
            <w:vAlign w:val="bottom"/>
          </w:tcPr>
          <w:p>
            <w:pPr>
              <w:ind w:left="20"/>
              <w:spacing w:after="0"/>
              <w:rPr>
                <w:sz w:val="20"/>
                <w:szCs w:val="20"/>
                <w:color w:val="auto"/>
              </w:rPr>
            </w:pPr>
            <w:r>
              <w:rPr>
                <w:rFonts w:ascii="Arial" w:cs="Arial" w:eastAsia="Arial" w:hAnsi="Arial"/>
                <w:sz w:val="14"/>
                <w:szCs w:val="14"/>
                <w:color w:val="auto"/>
              </w:rPr>
              <w:t>Scheduled interest payment obligations (1)</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269,994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44,293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41,855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38,981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37,150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36,231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71,484</w:t>
            </w:r>
          </w:p>
        </w:tc>
      </w:tr>
      <w:tr>
        <w:trPr>
          <w:trHeight w:val="192"/>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obligations (2)</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w:t>
            </w:r>
          </w:p>
        </w:tc>
      </w:tr>
      <w:tr>
        <w:trPr>
          <w:trHeight w:val="186"/>
        </w:trPr>
        <w:tc>
          <w:tcPr>
            <w:tcW w:w="3300" w:type="dxa"/>
            <w:vAlign w:val="bottom"/>
          </w:tcPr>
          <w:p>
            <w:pPr>
              <w:ind w:left="20"/>
              <w:spacing w:after="0"/>
              <w:rPr>
                <w:sz w:val="20"/>
                <w:szCs w:val="20"/>
                <w:color w:val="auto"/>
              </w:rPr>
            </w:pPr>
            <w:r>
              <w:rPr>
                <w:rFonts w:ascii="Arial" w:cs="Arial" w:eastAsia="Arial" w:hAnsi="Arial"/>
                <w:sz w:val="14"/>
                <w:szCs w:val="14"/>
                <w:color w:val="auto"/>
              </w:rPr>
              <w:t>Operating lease obligations (3)</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147,413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55,196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36,850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19,974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7,925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17,255</w:t>
            </w:r>
          </w:p>
        </w:tc>
      </w:tr>
      <w:tr>
        <w:trPr>
          <w:trHeight w:val="192"/>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obligations (3)</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2,046</w:t>
            </w:r>
          </w:p>
        </w:tc>
      </w:tr>
      <w:tr>
        <w:trPr>
          <w:trHeight w:val="186"/>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Severance obligations (4)</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98,004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9,647</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8,575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6,788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54,535</w:t>
            </w:r>
          </w:p>
        </w:tc>
      </w:tr>
      <w:tr>
        <w:trPr>
          <w:trHeight w:val="211"/>
        </w:trPr>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contractual obligations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1,942,062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497,386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282,265</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243,416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138,842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79,996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700,157</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277"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interest payment obligations calculated using stated coupon rates for fixed rate debt and interest rates applicable at December 31, 2020, for variable rate debt.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off-balance sheet purchase obligations for capital expenditures, long-term supply contracts and other contractual commitments outstanding at December 31, 2020.</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future minimum lease payments including interest payments.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estimated benefit payments for our Korean subsidiary severance plan.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obligations identified in the table above, other non-current liabilities recorded in our Consolidated Balance Sheet at December 31, 2020, include:</w:t>
      </w:r>
    </w:p>
    <w:p>
      <w:pPr>
        <w:spacing w:after="0" w:line="11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$72.2 million of foreign pension plan obligations, for which the timing and actual amount of impact on our future cash flow is uncertain.</w:t>
      </w:r>
    </w:p>
    <w:p>
      <w:pPr>
        <w:spacing w:after="0" w:line="18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$33.0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2020, we had no off-balance sheet guarantees or other off-balance sheet arrangements as defined in Item 303(a)(4)(ii) of SEC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Indemnifications and Guarantees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refer you to Note 17 to our Consolidated Financial Statements in Part II, Item 8 of this Annual Report on Form 10-K for a discussion of our contingencies related to litigation and other legal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identified the policies below as critical to our business operations and the understanding of our results of operations. A summary of our significant accounting policies used in the preparation of our Consolidated Financial Statements appears in Note 1 to our Consolidated Financial Statements included in Part II, Item 8 of this Annual Report on Form 10-K. Our preparation of this Annual Report on Form 10-K requires us to make estimates and assumptions that affect the reported amount of assets and liabilities, disclosure of contingent assets and liabilities at the date of our financial statements and the reported amounts of revenue and expenses during the reporting period. There can be no assurance that actual results will not differ from those estimates, including the impact of Covid-19 and any deterioration in the global business and economic environment.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following critical accounting estimates and policies, which have been reviewed with the Audit Committee of our Board of Directors, affect our more significant judgments and estimates used in the preparation of our Consolidated Financial Statements.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We account for businesses we acquire using the acquisition method of accounting and record the underlying net assets at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acquisition-date fair values. The accounting for acquisitions requires us to make significant estimates and assumptions, including those with respect to future cash flows, discount rates and asset lives, and therefore requires considerable judgment. These determinations affect the amount of depreciation and amortization expense recognized in future periods. Our estimates of fair value are based upon assumptions believed to be reasonable; however, they are inherently uncertain and unpredictable.</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recognize revenue, net of sales, use, value-added and other similar taxes, as a performance obligation is satisfied in an amount</w:t>
      </w:r>
      <w:r>
        <w:rPr>
          <w:rFonts w:ascii="Arial" w:cs="Arial" w:eastAsia="Arial" w:hAnsi="Arial"/>
          <w:sz w:val="16"/>
          <w:szCs w:val="16"/>
          <w:i w:val="1"/>
          <w:iCs w:val="1"/>
          <w:color w:val="auto"/>
        </w:rPr>
        <w:t xml:space="preserve"> </w:t>
      </w:r>
      <w:r>
        <w:rPr>
          <w:rFonts w:ascii="Arial" w:cs="Arial" w:eastAsia="Arial" w:hAnsi="Arial"/>
          <w:sz w:val="16"/>
          <w:szCs w:val="16"/>
          <w:color w:val="auto"/>
        </w:rPr>
        <w:t>reflecting the consideration to which we expect to be entitled. We apply a five-step approach in determining the amount and timing of revenue to be recognized: (1) identifying the contract with a customer; (2) identifying the performance obligations in the contract; (3) determining the transaction price;</w:t>
      </w:r>
    </w:p>
    <w:p>
      <w:pPr>
        <w:spacing w:after="0" w:line="2" w:lineRule="exact"/>
        <w:rPr>
          <w:sz w:val="20"/>
          <w:szCs w:val="20"/>
          <w:color w:val="auto"/>
        </w:rPr>
      </w:pPr>
    </w:p>
    <w:p>
      <w:pPr>
        <w:ind w:firstLine="8"/>
        <w:spacing w:after="0" w:line="260" w:lineRule="auto"/>
        <w:tabs>
          <w:tab w:leader="none" w:pos="2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obligations in the contract; and (5) recognizing revenue when the performance obligation is satisfied. Substantially all of our revenue is recognized as services are rendered.</w:t>
      </w: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operate in and file income tax returns in various U.S. and non-U.S. jurisdictions which are subject to examination by tax authorities.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returns for years where the statute of limitations remains open in all jurisdictions in which we do business are subject to change upon examination. We believe that we have estimated and provided adequate accruals for potential additional taxes and related interest expense that may ultimately result from such examinations. We believe that any additional taxes or related interest over the amounts accrued will not have a material effect on our financial condition, results of operations or cash flows. However, resolution of these matters involves uncertainties and there can be no assurance that the outcomes will be favorable. In addition, changes in the mix of income from our foreign subsidiaries, expiration of tax holidays or changes in tax laws or regulations could result in increased tax expense and effective tax rates in the future.</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Additionally, 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 planning strategies and results of recent operations. For most of our deferred tax assets,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 We have valuation allowances on certain U.S. federal net operating loss and U.S. foreign tax credit carryforwards expected to expire unused and select deferred tax assets in certain foreign jurisdictions. Such valuation allowances are released as the related tax benefits are realized or when sufficient evidence exists to conclude that it is more likely than not that the deferred tax assets will be realized.</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Valuation of Inventory. </w:t>
      </w:r>
      <w:r>
        <w:rPr>
          <w:rFonts w:ascii="Arial" w:cs="Arial" w:eastAsia="Arial" w:hAnsi="Arial"/>
          <w:sz w:val="17"/>
          <w:szCs w:val="17"/>
          <w:color w:val="auto"/>
        </w:rPr>
        <w:t>We order raw materials based on customers’ forecasted demand. If our customers change their forecasted requirements and we are</w:t>
      </w:r>
      <w:r>
        <w:rPr>
          <w:rFonts w:ascii="Arial" w:cs="Arial" w:eastAsia="Arial" w:hAnsi="Arial"/>
          <w:sz w:val="17"/>
          <w:szCs w:val="17"/>
          <w:i w:val="1"/>
          <w:iCs w:val="1"/>
          <w:color w:val="auto"/>
        </w:rPr>
        <w:t xml:space="preserve"> </w:t>
      </w:r>
      <w:r>
        <w:rPr>
          <w:rFonts w:ascii="Arial" w:cs="Arial" w:eastAsia="Arial" w:hAnsi="Arial"/>
          <w:sz w:val="17"/>
          <w:szCs w:val="17"/>
          <w:color w:val="auto"/>
        </w:rPr>
        <w:t>unable to cancel our raw materials order or if our vendors require that we order a minimum quantity that exceeds the current forecasted demand, we will experience a build-up in raw material inventory. We will either seek to recover the cost of the materials from our customers or utilize the inventory in production. However, we may not be successful in recovering the cost from our customers or be able to use the inventory in production and, accordingly, if we believe that it is probable that we will not be able to recover such costs, we reduce the carrying value of our inventory. Additionally, we reduce the carrying value of our inventories for the cost of inventory we estimate is excess and obsolete based on the age of our inventories. When a determination is made that the inventory will not be utilized in production or is not saleable, it is written-off.</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consist of raw materials and purchased components and are stated at the lower of cost and net realizable value. Cost is principally determined by standard cost or the weighted moving average method, both of which approximate actual cost. For inventory valued using the standard cost method, we review and set our standard costs as needed, but at a minimum on an annual basis.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Valuation of Long-lived Assets. </w:t>
      </w:r>
      <w:r>
        <w:rPr>
          <w:rFonts w:ascii="Arial" w:cs="Arial" w:eastAsia="Arial" w:hAnsi="Arial"/>
          <w:sz w:val="18"/>
          <w:szCs w:val="18"/>
          <w:color w:val="auto"/>
        </w:rPr>
        <w:t>We review long-lived assets, which include property, plant and equipment and goodwill,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amount may not be recoverable. Factors we consider important which could trigger an impairment review include the following:</w:t>
      </w:r>
    </w:p>
    <w:p>
      <w:pPr>
        <w:spacing w:after="0" w:line="21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asset;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negative industry or economic 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Recoverability of a long-lived asset group to be held and used in operations is measured by a comparison of the carrying amount to the sum of the undiscounted cash flows expected to result from the use and eventual 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review goodwill for impairment annually during the fourth quarter of each year and whenever events or changes in circumstances indicate that an impairment may exist. Impairment losses are recorded when the carrying amount of the reporting unit exceeds its fair value.</w:t>
      </w:r>
    </w:p>
    <w:p>
      <w:pPr>
        <w:spacing w:after="0" w:line="19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U.S. dollar is our reporting and functional currency for our subsidiaries, except for our Japan operations, where the Japanese Yen is the functional currency. In order to reduce our exposure to foreign currency gains and losses, we generally use natural hedging techniques to reduce foreign currency rate risk. We also use forward contracts to mitigate foreign currency risk of certain monetary liabilities denominated in foreign currencies.</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December 31, 2020, to assess the potential impact of fluctuations in exchange rates for all foreign denominated assets and liabilities. Assuming that all foreign currencies depreciated 10% against the U.S. dollar, taking into account our foreign currency forward contracts, our income before taxes as of December 31, 2020 would have been approximately $3 million lower, due to the remeasurement of monetary assets and liabilities.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have foreign currency exchange rate exposure on our results of operations. For the year ended December 31, 2020, approximately 85% of our net sales were denominated in U.S. dollars. Our remaining net sales were principally denominated in Japanese Yen. For the year ended December 31, 2020, approximately 45%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December 31, 2020 to assess the potential impact of fluctuations in exchange rates for all foreign denominated sales and operating expenses. Assuming that all foreign currencies appreciated 10% against the U.S. dollar, our operating income for the year ended December 31, 2020 would have been approximately $125 million lower.</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Financial Statements are impacted by changes in exchange rates at the entity where the local currency is the functional currency. The effect of foreign exchange rate translation for these entities was a gain of $7.5 million and $2.8 million for the years ended December 31, 2020 and 2019, respectively, and was recognized as an adjustment to equity through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interest rate risk with respect to our available-for-sale debt investments. Our investment portfolio consists of various security types and maturities, with a significant portion of our portfolio having maturity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 available-for-sale debt investments, see Note 6 to our Consolidated Financial Statements in Part II, Item 8 of this Annual Report on Form 10-K.</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December 31,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Thereafter</w:t>
            </w:r>
          </w:p>
        </w:tc>
        <w:tc>
          <w:tcPr>
            <w:tcW w:w="13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Fair Value</w:t>
            </w:r>
          </w:p>
        </w:tc>
      </w:tr>
      <w:tr>
        <w:trPr>
          <w:trHeight w:val="187"/>
        </w:trPr>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720"/>
              <w:spacing w:after="0"/>
              <w:rPr>
                <w:sz w:val="20"/>
                <w:szCs w:val="20"/>
                <w:color w:val="auto"/>
              </w:rPr>
            </w:pPr>
            <w:r>
              <w:rPr>
                <w:rFonts w:ascii="Arial" w:cs="Arial" w:eastAsia="Arial" w:hAnsi="Arial"/>
                <w:sz w:val="14"/>
                <w:szCs w:val="14"/>
                <w:b w:val="1"/>
                <w:bCs w:val="1"/>
                <w:color w:val="auto"/>
              </w:rPr>
              <w:t>($ in thousands)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 debt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$140,344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$138,123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$119,235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$81,461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$27,400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$553,285</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$1,059,848</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$1,112,412</w:t>
            </w:r>
          </w:p>
        </w:tc>
      </w:tr>
      <w:tr>
        <w:trPr>
          <w:trHeight w:val="186"/>
        </w:trPr>
        <w:tc>
          <w:tcPr>
            <w:tcW w:w="1660" w:type="dxa"/>
            <w:vAlign w:val="bottom"/>
          </w:tcPr>
          <w:p>
            <w:pPr>
              <w:ind w:left="140"/>
              <w:spacing w:after="0"/>
              <w:rPr>
                <w:sz w:val="20"/>
                <w:szCs w:val="20"/>
                <w:color w:val="auto"/>
              </w:rPr>
            </w:pPr>
            <w:r>
              <w:rPr>
                <w:rFonts w:ascii="Arial" w:cs="Arial" w:eastAsia="Arial" w:hAnsi="Arial"/>
                <w:sz w:val="14"/>
                <w:szCs w:val="14"/>
                <w:color w:val="auto"/>
              </w:rPr>
              <w:t>Average interest rate</w:t>
            </w:r>
          </w:p>
        </w:tc>
        <w:tc>
          <w:tcPr>
            <w:tcW w:w="108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6.5 %</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2"/>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 debt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44,250</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51,541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104,454</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105,484</w:t>
            </w:r>
          </w:p>
        </w:tc>
      </w:tr>
      <w:tr>
        <w:trPr>
          <w:trHeight w:val="186"/>
        </w:trPr>
        <w:tc>
          <w:tcPr>
            <w:tcW w:w="1660" w:type="dxa"/>
            <w:vAlign w:val="bottom"/>
          </w:tcPr>
          <w:p>
            <w:pPr>
              <w:ind w:left="140"/>
              <w:spacing w:after="0"/>
              <w:rPr>
                <w:sz w:val="20"/>
                <w:szCs w:val="20"/>
                <w:color w:val="auto"/>
              </w:rPr>
            </w:pPr>
            <w:r>
              <w:rPr>
                <w:rFonts w:ascii="Arial" w:cs="Arial" w:eastAsia="Arial" w:hAnsi="Arial"/>
                <w:sz w:val="14"/>
                <w:szCs w:val="14"/>
                <w:color w:val="auto"/>
              </w:rPr>
              <w:t>Average interest rate</w:t>
            </w:r>
          </w:p>
        </w:tc>
        <w:tc>
          <w:tcPr>
            <w:tcW w:w="1080" w:type="dxa"/>
            <w:vAlign w:val="bottom"/>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20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1"/>
        </w:trPr>
        <w:tc>
          <w:tcPr>
            <w:tcW w:w="1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debt maturities</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$149,007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$182,373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$553,285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$1,164,302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$1,217,896</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the fair value of our long-term debt, see Note 16 to our Consolidated Financial Statements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78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700" w:type="dxa"/>
            <w:vAlign w:val="bottom"/>
          </w:tcPr>
          <w:p>
            <w:pPr>
              <w:spacing w:after="0"/>
              <w:rPr>
                <w:sz w:val="20"/>
                <w:szCs w:val="20"/>
                <w:color w:val="auto"/>
              </w:rPr>
            </w:pPr>
          </w:p>
        </w:tc>
      </w:tr>
      <w:tr>
        <w:trPr>
          <w:trHeight w:val="459"/>
        </w:trPr>
        <w:tc>
          <w:tcPr>
            <w:tcW w:w="10540" w:type="dxa"/>
            <w:vAlign w:val="bottom"/>
            <w:gridSpan w:val="2"/>
          </w:tcPr>
          <w:p>
            <w:pPr>
              <w:spacing w:after="0"/>
              <w:rPr>
                <w:sz w:val="20"/>
                <w:szCs w:val="20"/>
                <w:color w:val="auto"/>
              </w:rPr>
            </w:pPr>
            <w:r>
              <w:rPr>
                <w:rFonts w:ascii="Arial" w:cs="Arial" w:eastAsia="Arial" w:hAnsi="Arial"/>
                <w:sz w:val="18"/>
                <w:szCs w:val="18"/>
                <w:color w:val="auto"/>
              </w:rPr>
              <w:t>We present the information required by Item 8 of Form 10-K here in the following order:</w:t>
            </w:r>
          </w:p>
        </w:tc>
        <w:tc>
          <w:tcPr>
            <w:tcW w:w="700" w:type="dxa"/>
            <w:vAlign w:val="bottom"/>
          </w:tcPr>
          <w:p>
            <w:pPr>
              <w:spacing w:after="0"/>
              <w:rPr>
                <w:sz w:val="24"/>
                <w:szCs w:val="24"/>
                <w:color w:val="auto"/>
              </w:rPr>
            </w:pPr>
          </w:p>
        </w:tc>
      </w:tr>
      <w:tr>
        <w:trPr>
          <w:trHeight w:val="304"/>
        </w:trPr>
        <w:tc>
          <w:tcPr>
            <w:tcW w:w="76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Page</w:t>
            </w:r>
          </w:p>
        </w:tc>
      </w:tr>
      <w:tr>
        <w:trPr>
          <w:trHeight w:val="229"/>
        </w:trPr>
        <w:tc>
          <w:tcPr>
            <w:tcW w:w="10540" w:type="dxa"/>
            <w:vAlign w:val="bottom"/>
            <w:gridSpan w:val="2"/>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Report of Independent Registered Public Accounting Firm</w:t>
              </w:r>
            </w:hyperlink>
          </w:p>
        </w:tc>
        <w:tc>
          <w:tcPr>
            <w:tcW w:w="70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49</w:t>
              </w:r>
            </w:hyperlink>
          </w:p>
        </w:tc>
      </w:tr>
      <w:tr>
        <w:trPr>
          <w:trHeight w:val="229"/>
        </w:trPr>
        <w:tc>
          <w:tcPr>
            <w:tcW w:w="10540" w:type="dxa"/>
            <w:vAlign w:val="bottom"/>
            <w:gridSpan w:val="2"/>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Consolidated Statements of Income — Years ended December 31, 2020, 2019 and 2018</w:t>
              </w:r>
            </w:hyperlink>
          </w:p>
        </w:tc>
        <w:tc>
          <w:tcPr>
            <w:tcW w:w="70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52</w:t>
              </w:r>
            </w:hyperlink>
          </w:p>
        </w:tc>
      </w:tr>
      <w:tr>
        <w:trPr>
          <w:trHeight w:val="229"/>
        </w:trPr>
        <w:tc>
          <w:tcPr>
            <w:tcW w:w="10540" w:type="dxa"/>
            <w:vAlign w:val="bottom"/>
            <w:gridSpan w:val="2"/>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Consolidated Statements of Comprehensive Income — Years ended December 31, 2020, 2019 and 2018</w:t>
              </w:r>
            </w:hyperlink>
          </w:p>
        </w:tc>
        <w:tc>
          <w:tcPr>
            <w:tcW w:w="70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53</w:t>
              </w:r>
            </w:hyperlink>
          </w:p>
        </w:tc>
      </w:tr>
      <w:tr>
        <w:trPr>
          <w:trHeight w:val="230"/>
        </w:trPr>
        <w:tc>
          <w:tcPr>
            <w:tcW w:w="10540" w:type="dxa"/>
            <w:vAlign w:val="bottom"/>
            <w:gridSpan w:val="2"/>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Consolidated Balance Sheets — December 31, 2020 and 2019</w:t>
              </w:r>
            </w:hyperlink>
          </w:p>
        </w:tc>
        <w:tc>
          <w:tcPr>
            <w:tcW w:w="70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r>
      <w:tr>
        <w:trPr>
          <w:trHeight w:val="229"/>
        </w:trPr>
        <w:tc>
          <w:tcPr>
            <w:tcW w:w="10540" w:type="dxa"/>
            <w:vAlign w:val="bottom"/>
            <w:gridSpan w:val="2"/>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Consolidated Statements of Stockholders’ Equity — Years ended December 31, 2020, 2019 and 2018</w:t>
              </w:r>
            </w:hyperlink>
          </w:p>
        </w:tc>
        <w:tc>
          <w:tcPr>
            <w:tcW w:w="70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r>
      <w:tr>
        <w:trPr>
          <w:trHeight w:val="229"/>
        </w:trPr>
        <w:tc>
          <w:tcPr>
            <w:tcW w:w="10540" w:type="dxa"/>
            <w:vAlign w:val="bottom"/>
            <w:gridSpan w:val="2"/>
          </w:tcPr>
          <w:p>
            <w:pPr>
              <w:ind w:left="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Consolidated Statements of Cash Flows — Years December 31, 2020, 2019 and 2018</w:t>
              </w:r>
            </w:hyperlink>
          </w:p>
        </w:tc>
        <w:tc>
          <w:tcPr>
            <w:tcW w:w="700" w:type="dxa"/>
            <w:vAlign w:val="bottom"/>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56</w:t>
              </w:r>
            </w:hyperlink>
          </w:p>
        </w:tc>
      </w:tr>
      <w:tr>
        <w:trPr>
          <w:trHeight w:val="230"/>
        </w:trPr>
        <w:tc>
          <w:tcPr>
            <w:tcW w:w="10540" w:type="dxa"/>
            <w:vAlign w:val="bottom"/>
            <w:gridSpan w:val="2"/>
          </w:tcPr>
          <w:p>
            <w:pPr>
              <w:ind w:left="2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Notes to Consolidated Financial Statements</w:t>
              </w:r>
            </w:hyperlink>
          </w:p>
        </w:tc>
        <w:tc>
          <w:tcPr>
            <w:tcW w:w="70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58</w:t>
              </w:r>
            </w:hyperlink>
          </w:p>
        </w:tc>
      </w:tr>
      <w:tr>
        <w:trPr>
          <w:trHeight w:val="230"/>
        </w:trPr>
        <w:tc>
          <w:tcPr>
            <w:tcW w:w="10540" w:type="dxa"/>
            <w:vAlign w:val="bottom"/>
            <w:gridSpan w:val="2"/>
          </w:tcPr>
          <w:p>
            <w:pPr>
              <w:ind w:left="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Schedule II — Valuation and Qualifying Accounts — Years ended December 31, 2020, 2019 and 2018</w:t>
              </w:r>
            </w:hyperlink>
          </w:p>
        </w:tc>
        <w:tc>
          <w:tcPr>
            <w:tcW w:w="700" w:type="dxa"/>
            <w:vAlign w:val="bottom"/>
          </w:tcPr>
          <w:p>
            <w:pPr>
              <w:jc w:val="right"/>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89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Amkor Technology,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Amkor Technology, Inc. and its subsidiaries (the “Company”) as of December 31, 2020 and 2019, and the related consolidated statements of income, of comprehensive income, of stockholders’ equity and of cash flows for each of the three years in the period ended December 31, 2020, including the related notes and schedule of valuation and qualifying accounts for each of the three years in the period ended December 31, 2020 appearing under Item 8 (collectively referred to as the “consolidated financial statements”). We also have audited the Company’s internal control over financial reporting as of December 31,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described in Notes 1 and 4 to the consolidated financial statements, the Company recorded income tax expense of $46.2 million for the year ended December 31, 2020, and net deferred tax assets of $88.5 million and unrecognized tax benefits of $32.6 million as of December 31, 2020. 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basis as well as for net operating loss and tax credit carryforwards. Management monitors on an ongoing basis its ability to utilize deferred tax assets and whether there is a need for a related valuation allowance. In evaluating the ability to recover deferred tax assets in the jurisdictions from which they arise, management considers all available positive and negative evidence, including scheduled reversals of deferred tax liabilities, projected future taxable income, tax-planning strategies and recent results of operations. The Company operates in and files income tax returns in various U.S. and foreign jurisdictions, which are subject to examination by tax authorities. Years open to examination contain matters that could be subject to differing interpretations of applicable tax laws and regulations related to the amount and/or timing of income, deductions and tax credits.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accounting for income taxes is a critical audit matter are the significant judgment by management in determining the income tax provision and other tax positions. This in turn led to a high degree of auditor judgment, subjectivity and effort in performing procedures and in evaluating audit evidence relating to income taxes. The audit effort involved the use of professionals with specialized skill and knowledge to assist in evaluating the audit evidence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accounting for income taxes, including the controls addressing the completeness and accuracy of the data utilized. These procedures also included, among others (i) testing the income tax provision calculation and underlying data, including the effective tax rate reconciliation, significant return to provision adjustments, and permanent and temporary differences, (ii) evaluating management’s assessment of the realizability of deferred tax assets on a jurisdictional basis, (iii) evaluating the identification of reserves for unrecognized tax benefits and the reasonableness of the “more likely than not” determination considering the jurisdictions, court decisions, legislative actions, statute of limitations, and developments in tax examinations, and (iv) using professionals with specialized skill and knowledge to assist in evaluating the reasonableness of management’s judgment and estimates, including application of foreign and domestic tax laws and regulations.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center"/>
              <w:ind w:left="612"/>
              <w:spacing w:after="0"/>
              <w:rPr>
                <w:sz w:val="20"/>
                <w:szCs w:val="20"/>
                <w:color w:val="auto"/>
              </w:rPr>
            </w:pPr>
            <w:r>
              <w:rPr>
                <w:rFonts w:ascii="Arial" w:cs="Arial" w:eastAsia="Arial" w:hAnsi="Arial"/>
                <w:sz w:val="14"/>
                <w:szCs w:val="14"/>
                <w:b w:val="1"/>
                <w:bCs w:val="1"/>
                <w:color w:val="auto"/>
                <w:w w:val="93"/>
              </w:rPr>
              <w:t>For the Year Ended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gridSpan w:val="6"/>
          </w:tcPr>
          <w:p>
            <w:pPr>
              <w:jc w:val="center"/>
              <w:ind w:left="612"/>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5,050,589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4,052,650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4,316,466</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4,149,775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3,403,211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3,605,901</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649,439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710,565</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302,842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278,631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295,239</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137,638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157,182</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416,269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452,421</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258,144</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71,587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78,946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72,329</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before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185,815</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129,565</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127,092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attributable to Amkor per common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0.50</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used in computing per common share amounts: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241,509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239,725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239,329</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239,741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674"/>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340,499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129,565</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0"/>
              </w:rPr>
              <w:t>Adjustments to net unrealized gains (losses) on available-for-sale debt investments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tcPr>
          <w:p>
            <w:pPr>
              <w:ind w:left="480"/>
              <w:spacing w:after="0"/>
              <w:rPr>
                <w:sz w:val="20"/>
                <w:szCs w:val="20"/>
                <w:color w:val="auto"/>
              </w:rPr>
            </w:pPr>
            <w:r>
              <w:rPr>
                <w:rFonts w:ascii="Arial" w:cs="Arial" w:eastAsia="Arial" w:hAnsi="Arial"/>
                <w:sz w:val="18"/>
                <w:szCs w:val="18"/>
                <w:color w:val="auto"/>
              </w:rPr>
              <w:t>Adjustments to unrealized components of defined benefit pension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(3,644)</w:t>
            </w:r>
          </w:p>
        </w:tc>
      </w:tr>
      <w:tr>
        <w:trPr>
          <w:trHeight w:val="230"/>
        </w:trPr>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r>
      <w:tr>
        <w:trPr>
          <w:trHeight w:val="223"/>
        </w:trPr>
        <w:tc>
          <w:tcPr>
            <w:tcW w:w="64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comprehensive income (loss)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130,858</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Amkor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128,385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32"/>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30"/>
        </w:trPr>
        <w:tc>
          <w:tcPr>
            <w:tcW w:w="8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gridSpan w:val="3"/>
          </w:tcPr>
          <w:p>
            <w:pPr>
              <w:jc w:val="center"/>
              <w:ind w:left="532"/>
              <w:spacing w:after="0" w:line="130" w:lineRule="exact"/>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31"/>
        </w:trPr>
        <w:tc>
          <w:tcPr>
            <w:tcW w:w="8220" w:type="dxa"/>
            <w:vAlign w:val="bottom"/>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894,948</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 (amortized cost of $133,744 in 2020)</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Accounts receivable, net of allowances of $863 and $1,314, respectively</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962,643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850,753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220,602</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2,001,533</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2,566,002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2,404,850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148,549</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25,976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111,733</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5,022,311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4,695,615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96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 and current portion of long-term debt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144,479</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636,434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571,054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 payable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77,044</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267,226</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1,315,987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1,059,803</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1,005,339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1,305,755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severance obligations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176,971</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84,420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91,107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71,740</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2,668,352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2,705,376</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17)</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Preferred stock, $0.001 par value, 10,000 shares authorized, designated Series A, none issued</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20" w:type="dxa"/>
            <w:vAlign w:val="bottom"/>
          </w:tcPr>
          <w:p>
            <w:pPr>
              <w:ind w:left="480"/>
              <w:spacing w:after="0" w:line="176" w:lineRule="exact"/>
              <w:rPr>
                <w:sz w:val="20"/>
                <w:szCs w:val="20"/>
                <w:color w:val="auto"/>
              </w:rPr>
            </w:pPr>
            <w:r>
              <w:rPr>
                <w:rFonts w:ascii="Arial" w:cs="Arial" w:eastAsia="Arial" w:hAnsi="Arial"/>
                <w:sz w:val="18"/>
                <w:szCs w:val="18"/>
                <w:color w:val="auto"/>
                <w:w w:val="93"/>
              </w:rPr>
              <w:t>Common stock, $0.001 par value, 500,000 shares authorized, 288,923 and 286,877 shares issued, and</w:t>
            </w:r>
          </w:p>
        </w:tc>
        <w:tc>
          <w:tcPr>
            <w:tcW w:w="3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8220" w:type="dxa"/>
            <w:vAlign w:val="bottom"/>
          </w:tcPr>
          <w:p>
            <w:pPr>
              <w:ind w:left="480"/>
              <w:spacing w:after="0"/>
              <w:rPr>
                <w:sz w:val="20"/>
                <w:szCs w:val="20"/>
                <w:color w:val="auto"/>
              </w:rPr>
            </w:pPr>
            <w:r>
              <w:rPr>
                <w:rFonts w:ascii="Arial" w:cs="Arial" w:eastAsia="Arial" w:hAnsi="Arial"/>
                <w:sz w:val="18"/>
                <w:szCs w:val="18"/>
                <w:color w:val="auto"/>
              </w:rPr>
              <w:t>242,829 and 240,805 shares outstanding, respectively</w:t>
            </w:r>
          </w:p>
        </w:tc>
        <w:tc>
          <w:tcPr>
            <w:tcW w:w="3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1,953,378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1,927,739</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562,502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234,077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Treasury stock, at cost, 46,094 and 46,072 shares, respectively</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(217,740)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(217,479)</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Amkor stockholders’ equity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2,325,699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1,963,739</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in subsidiaries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26,500</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2,353,959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1,990,239</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5,022,311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4,695,615</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Accumulated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1560" w:type="dxa"/>
            <w:vAlign w:val="bottom"/>
            <w:gridSpan w:val="5"/>
          </w:tcPr>
          <w:p>
            <w:pPr>
              <w:ind w:left="360"/>
              <w:spacing w:after="0" w:line="122" w:lineRule="exact"/>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Retained Earnings</w:t>
            </w: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Other</w:t>
            </w:r>
          </w:p>
        </w:tc>
        <w:tc>
          <w:tcPr>
            <w:tcW w:w="1680" w:type="dxa"/>
            <w:vAlign w:val="bottom"/>
            <w:gridSpan w:val="5"/>
          </w:tcPr>
          <w:p>
            <w:pPr>
              <w:ind w:left="440"/>
              <w:spacing w:after="0" w:line="122" w:lineRule="exact"/>
              <w:rPr>
                <w:sz w:val="20"/>
                <w:szCs w:val="20"/>
                <w:color w:val="auto"/>
              </w:rPr>
            </w:pPr>
            <w:r>
              <w:rPr>
                <w:rFonts w:ascii="Arial" w:cs="Arial" w:eastAsia="Arial" w:hAnsi="Arial"/>
                <w:sz w:val="11"/>
                <w:szCs w:val="11"/>
                <w:b w:val="1"/>
                <w:bCs w:val="1"/>
                <w:color w:val="auto"/>
              </w:rPr>
              <w:t>Treasury Stock</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3"/>
              </w:rPr>
              <w:t>Total Amkor</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Noncontrolling</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120"/>
              <w:spacing w:after="0" w:line="95" w:lineRule="exact"/>
              <w:rPr>
                <w:sz w:val="20"/>
                <w:szCs w:val="20"/>
                <w:color w:val="auto"/>
              </w:rPr>
            </w:pPr>
            <w:r>
              <w:rPr>
                <w:rFonts w:ascii="Arial" w:cs="Arial" w:eastAsia="Arial" w:hAnsi="Arial"/>
                <w:sz w:val="10"/>
                <w:szCs w:val="10"/>
                <w:b w:val="1"/>
                <w:bCs w:val="1"/>
                <w:color w:val="auto"/>
                <w:w w:val="99"/>
              </w:rPr>
              <w:t>Additional Paid-</w:t>
            </w: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6"/>
              </w:rPr>
              <w:t>(Accumulated</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5"/>
              </w:rPr>
              <w:t>Comprehensive</w:t>
            </w: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6"/>
              </w:rPr>
              <w:t>Stockholders’</w:t>
            </w:r>
          </w:p>
        </w:tc>
        <w:tc>
          <w:tcPr>
            <w:tcW w:w="140" w:type="dxa"/>
            <w:vAlign w:val="bottom"/>
          </w:tcPr>
          <w:p>
            <w:pPr>
              <w:spacing w:after="0"/>
              <w:rPr>
                <w:sz w:val="4"/>
                <w:szCs w:val="4"/>
                <w:color w:val="auto"/>
              </w:rPr>
            </w:pPr>
          </w:p>
        </w:tc>
        <w:tc>
          <w:tcPr>
            <w:tcW w:w="100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Interest in</w:t>
            </w:r>
          </w:p>
        </w:tc>
        <w:tc>
          <w:tcPr>
            <w:tcW w:w="18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line="20" w:lineRule="exact"/>
              <w:rPr>
                <w:sz w:val="1"/>
                <w:szCs w:val="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Cost</w:t>
            </w: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7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In Capital</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Deficit)</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Income (Loss)</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Equity</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Subsidiaries</w:t>
            </w:r>
          </w:p>
        </w:tc>
        <w:tc>
          <w:tcPr>
            <w:tcW w:w="180" w:type="dxa"/>
            <w:vAlign w:val="bottom"/>
          </w:tcPr>
          <w:p>
            <w:pPr>
              <w:spacing w:after="0"/>
              <w:rPr>
                <w:sz w:val="12"/>
                <w:szCs w:val="12"/>
                <w:color w:val="auto"/>
              </w:rPr>
            </w:pPr>
          </w:p>
        </w:tc>
        <w:tc>
          <w:tcPr>
            <w:tcW w:w="700" w:type="dxa"/>
            <w:vAlign w:val="bottom"/>
          </w:tcPr>
          <w:p>
            <w:pPr>
              <w:jc w:val="right"/>
              <w:ind w:right="21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4"/>
          </w:tcPr>
          <w:p>
            <w:pPr>
              <w:ind w:left="680"/>
              <w:spacing w:after="0"/>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7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w w:val="97"/>
              </w:rPr>
              <w:t>Balance at December 31,</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285,129</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1,903,357</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(13,903)</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22,519</w:t>
            </w: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(45,945)</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(215,982)</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1,696,276</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23,433</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1,719,709</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2017</w:t>
            </w: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127,092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127,092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2,473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129,565</w:t>
            </w: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88"/>
              </w:rPr>
              <w:t>Other comprehensive income</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1,293</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1,293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1,293</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w:t>
            </w: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rPr>
              <w:t>Treasury stock acquired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w w:val="93"/>
              </w:rPr>
              <w:t>through surrender of shares</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rPr>
              <w:t>for tax withholding</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Issuance of stock through</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95"/>
              </w:rPr>
              <w:t>share-based compensation</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1,050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1,050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1,050</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plans</w:t>
            </w: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w w:val="94"/>
              </w:rPr>
              <w:t>Share-based compensation</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5,018</w:t>
            </w: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Subsidiary dividends to</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700" w:type="dxa"/>
            <w:vAlign w:val="bottom"/>
          </w:tcPr>
          <w:p>
            <w:pPr>
              <w:ind w:left="180"/>
              <w:spacing w:after="0" w:line="102" w:lineRule="exact"/>
              <w:rPr>
                <w:sz w:val="20"/>
                <w:szCs w:val="20"/>
                <w:color w:val="auto"/>
              </w:rPr>
            </w:pPr>
            <w:r>
              <w:rPr>
                <w:rFonts w:ascii="Arial" w:cs="Arial" w:eastAsia="Arial" w:hAnsi="Arial"/>
                <w:sz w:val="10"/>
                <w:szCs w:val="10"/>
                <w:b w:val="1"/>
                <w:bCs w:val="1"/>
                <w:color w:val="auto"/>
              </w:rPr>
              <w:t>Balance at December 31,</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285,352</w:t>
            </w:r>
          </w:p>
        </w:tc>
        <w:tc>
          <w:tcPr>
            <w:tcW w:w="120" w:type="dxa"/>
            <w:vAlign w:val="bottom"/>
          </w:tcPr>
          <w:p>
            <w:pPr>
              <w:spacing w:after="0"/>
              <w:rPr>
                <w:sz w:val="8"/>
                <w:szCs w:val="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1,909,425</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113,189</w:t>
            </w:r>
          </w:p>
        </w:tc>
        <w:tc>
          <w:tcPr>
            <w:tcW w:w="100" w:type="dxa"/>
            <w:vAlign w:val="bottom"/>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23,812</w:t>
            </w:r>
          </w:p>
        </w:tc>
        <w:tc>
          <w:tcPr>
            <w:tcW w:w="100" w:type="dxa"/>
            <w:vAlign w:val="bottom"/>
          </w:tcPr>
          <w:p>
            <w:pPr>
              <w:spacing w:after="0"/>
              <w:rPr>
                <w:sz w:val="8"/>
                <w:szCs w:val="8"/>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(45,967)</w:t>
            </w:r>
          </w:p>
        </w:tc>
        <w:tc>
          <w:tcPr>
            <w:tcW w:w="10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(216,171)</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1,830,540</w:t>
            </w:r>
          </w:p>
        </w:tc>
        <w:tc>
          <w:tcPr>
            <w:tcW w:w="100" w:type="dxa"/>
            <w:vAlign w:val="bottom"/>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25,360</w:t>
            </w:r>
          </w:p>
        </w:tc>
        <w:tc>
          <w:tcPr>
            <w:tcW w:w="10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1,855,900</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Arial" w:cs="Arial" w:eastAsia="Arial" w:hAnsi="Arial"/>
                <w:sz w:val="13"/>
                <w:szCs w:val="13"/>
                <w:b w:val="1"/>
                <w:bCs w:val="1"/>
                <w:color w:val="auto"/>
              </w:rPr>
              <w:t>2018</w:t>
            </w: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122,628</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w w:val="88"/>
              </w:rPr>
              <w:t>Other comprehensive income</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(4,697)</w:t>
            </w:r>
          </w:p>
        </w:tc>
        <w:tc>
          <w:tcPr>
            <w:tcW w:w="100" w:type="dxa"/>
            <w:vAlign w:val="bottom"/>
          </w:tcPr>
          <w:p>
            <w:pPr>
              <w:spacing w:after="0"/>
              <w:rPr>
                <w:sz w:val="10"/>
                <w:szCs w:val="10"/>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(4,697)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(4,697)</w:t>
            </w: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rPr>
              <w:t>(loss)</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Treasury stock acquired</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93"/>
              </w:rPr>
              <w:t>through surrender of shares</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(1,308)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(1,308)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(1,308)</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 tax withholding</w:t>
            </w: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rPr>
              <w:t>Issuance of stock through</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w w:val="95"/>
              </w:rPr>
              <w:t>share-based compensation</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1,525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11,403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11,405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11,405</w:t>
            </w: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rPr>
              <w:t>plans</w:t>
            </w: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4"/>
              </w:rPr>
              <w:t>Share-based compensation</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6,911</w:t>
            </w:r>
          </w:p>
        </w:tc>
        <w:tc>
          <w:tcPr>
            <w:tcW w:w="0" w:type="dxa"/>
            <w:vAlign w:val="bottom"/>
          </w:tcPr>
          <w:p>
            <w:pPr>
              <w:spacing w:after="0"/>
              <w:rPr>
                <w:sz w:val="1"/>
                <w:szCs w:val="1"/>
                <w:color w:val="auto"/>
              </w:rPr>
            </w:pPr>
          </w:p>
        </w:tc>
      </w:tr>
      <w:tr>
        <w:trPr>
          <w:trHeight w:val="121"/>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rPr>
              <w:t>Subsidiary dividends to</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69"/>
        </w:trPr>
        <w:tc>
          <w:tcPr>
            <w:tcW w:w="170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700" w:type="dxa"/>
            <w:vAlign w:val="bottom"/>
            <w:tcBorders>
              <w:top w:val="single" w:sz="8" w:color="CCEEFF"/>
            </w:tcBorders>
            <w:shd w:val="clear" w:color="auto" w:fill="CCEEFF"/>
          </w:tcPr>
          <w:p>
            <w:pPr>
              <w:ind w:left="180"/>
              <w:spacing w:after="0" w:line="108" w:lineRule="exact"/>
              <w:rPr>
                <w:sz w:val="20"/>
                <w:szCs w:val="20"/>
                <w:color w:val="auto"/>
              </w:rPr>
            </w:pPr>
            <w:r>
              <w:rPr>
                <w:rFonts w:ascii="Arial" w:cs="Arial" w:eastAsia="Arial" w:hAnsi="Arial"/>
                <w:sz w:val="12"/>
                <w:szCs w:val="12"/>
                <w:b w:val="1"/>
                <w:bCs w:val="1"/>
                <w:color w:val="auto"/>
              </w:rPr>
              <w:t>Balance at December 31,</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286,877</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1,927,739</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234,077</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19,115</w:t>
            </w: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(46,072)</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(217,479)</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1,963,739</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26,500</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1,990,239</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2019</w:t>
            </w: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338,138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338,138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340,499</w:t>
            </w: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88"/>
              </w:rPr>
              <w:t>Other comprehensive income</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8,155</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8,155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8,155</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w:t>
            </w: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rPr>
              <w:t>Treasury stock acquired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w w:val="93"/>
              </w:rPr>
              <w:t>through surrender of shares</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rPr>
              <w:t>for tax withholding</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Issuance of stock through</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95"/>
              </w:rPr>
              <w:t>share-based compensation</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2,046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17,609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17,611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17,611</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plans</w:t>
            </w: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w w:val="94"/>
              </w:rPr>
              <w:t>Share-based compensation</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8,030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8,030</w:t>
            </w: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declared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(9,713)</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rPr>
              <w:t>Subsidiary dividends to</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(601)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(601)</w:t>
            </w:r>
          </w:p>
        </w:tc>
        <w:tc>
          <w:tcPr>
            <w:tcW w:w="0" w:type="dxa"/>
            <w:vAlign w:val="bottom"/>
          </w:tcPr>
          <w:p>
            <w:pPr>
              <w:spacing w:after="0"/>
              <w:rPr>
                <w:sz w:val="1"/>
                <w:szCs w:val="1"/>
                <w:color w:val="auto"/>
              </w:rPr>
            </w:pPr>
          </w:p>
        </w:tc>
      </w:tr>
      <w:tr>
        <w:trPr>
          <w:trHeight w:val="169"/>
        </w:trPr>
        <w:tc>
          <w:tcPr>
            <w:tcW w:w="170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700" w:type="dxa"/>
            <w:vAlign w:val="bottom"/>
            <w:tcBorders>
              <w:top w:val="single" w:sz="8" w:color="CCEEFF"/>
            </w:tcBorders>
            <w:shd w:val="clear" w:color="auto" w:fill="CCEEFF"/>
          </w:tcPr>
          <w:p>
            <w:pPr>
              <w:ind w:left="180"/>
              <w:spacing w:after="0" w:line="108" w:lineRule="exact"/>
              <w:rPr>
                <w:sz w:val="20"/>
                <w:szCs w:val="20"/>
                <w:color w:val="auto"/>
              </w:rPr>
            </w:pPr>
            <w:r>
              <w:rPr>
                <w:rFonts w:ascii="Arial" w:cs="Arial" w:eastAsia="Arial" w:hAnsi="Arial"/>
                <w:sz w:val="12"/>
                <w:szCs w:val="12"/>
                <w:b w:val="1"/>
                <w:bCs w:val="1"/>
                <w:color w:val="auto"/>
              </w:rPr>
              <w:t>Balance at December 31,</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288,923</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1,953,378</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562,502</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27,270</w:t>
            </w: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(46,094)</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(217,740)</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2,325,699</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28,260</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2,353,959</w:t>
            </w:r>
          </w:p>
        </w:tc>
        <w:tc>
          <w:tcPr>
            <w:tcW w:w="0" w:type="dxa"/>
            <w:vAlign w:val="bottom"/>
          </w:tcPr>
          <w:p>
            <w:pPr>
              <w:spacing w:after="0"/>
              <w:rPr>
                <w:sz w:val="1"/>
                <w:szCs w:val="1"/>
                <w:color w:val="auto"/>
              </w:rPr>
            </w:pPr>
          </w:p>
        </w:tc>
      </w:tr>
      <w:tr>
        <w:trPr>
          <w:trHeight w:val="168"/>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2020</w:t>
            </w: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center"/>
              <w:ind w:left="599"/>
              <w:spacing w:after="0"/>
              <w:rPr>
                <w:sz w:val="20"/>
                <w:szCs w:val="20"/>
                <w:color w:val="auto"/>
              </w:rPr>
            </w:pPr>
            <w:r>
              <w:rPr>
                <w:rFonts w:ascii="Arial" w:cs="Arial" w:eastAsia="Arial" w:hAnsi="Arial"/>
                <w:sz w:val="16"/>
                <w:szCs w:val="16"/>
                <w:b w:val="1"/>
                <w:bCs w:val="1"/>
                <w:color w:val="auto"/>
                <w:w w:val="92"/>
              </w:rPr>
              <w:t>For the 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r>
      <w:tr>
        <w:trPr>
          <w:trHeight w:val="209"/>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340,499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122,628</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129,565</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510,396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524,177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571,961</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 of deferred debt issuance costs and premiums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25,931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(13,110)</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Loss on debt retirement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w:t>
            </w: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Loss (gain) on disposal of fixed assets,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5,310</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5,018</w:t>
            </w: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2,558</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 net of acquisitions: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(106,693)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(124,140)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80,571</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Inventories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(16,310)</w:t>
            </w: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4,329</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w:t>
            </w: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Trade accounts payable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48,786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38,670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(43,490)</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(78,136)</w:t>
            </w: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Pension and severance obligations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(4,653)</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operating lease ROU asset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131,967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15,179</w:t>
            </w:r>
          </w:p>
        </w:tc>
      </w:tr>
      <w:tr>
        <w:trPr>
          <w:trHeight w:val="207"/>
        </w:trPr>
        <w:tc>
          <w:tcPr>
            <w:tcW w:w="66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770,033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563,850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663,410</w:t>
            </w:r>
          </w:p>
        </w:tc>
      </w:tr>
      <w:tr>
        <w:trPr>
          <w:trHeight w:val="19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Payments for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(553,021)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(472,433)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(547,122)</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property, plant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2,841</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Proceeds from insurance recovery for property, plant and equipment</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1,371</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short-term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(6,477)</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Proceeds from sale of short-term investments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247,081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4,829</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Proceeds from foreign exchange forward contracts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49,226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13,550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6,754</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foreign exchange forward contracts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w:t>
            </w:r>
          </w:p>
        </w:tc>
      </w:tr>
      <w:tr>
        <w:trPr>
          <w:trHeight w:val="213"/>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investing activities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6,285</w:t>
            </w:r>
          </w:p>
        </w:tc>
      </w:tr>
      <w:tr>
        <w:trPr>
          <w:trHeight w:val="213"/>
        </w:trPr>
        <w:tc>
          <w:tcPr>
            <w:tcW w:w="66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(638,705)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(462,489)</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(537,383)</w:t>
            </w:r>
          </w:p>
        </w:tc>
      </w:tr>
      <w:tr>
        <w:trPr>
          <w:trHeight w:val="193"/>
        </w:trPr>
        <w:tc>
          <w:tcPr>
            <w:tcW w:w="66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revolving credit facilities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Payments of revolving credit facilities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(332,000)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(272,700)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(75,000)</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short-term debt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23,341</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Payments of short-term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(87,353)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(52,635)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(46,631)</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long-term debt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975,575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596,226</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Payments of long-term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(648,514)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(862,927)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(535,738)</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debt issuance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Payments of finance lease obligations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(6,574)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(3,930)</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stock through share-based compensation plans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r>
      <w:tr>
        <w:trPr>
          <w:trHeight w:val="213"/>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financing activities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3,855</w:t>
            </w:r>
          </w:p>
        </w:tc>
      </w:tr>
      <w:tr>
        <w:trPr>
          <w:trHeight w:val="213"/>
        </w:trPr>
        <w:tc>
          <w:tcPr>
            <w:tcW w:w="66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(333,719)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108,250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(40,623)</w:t>
            </w:r>
          </w:p>
        </w:tc>
      </w:tr>
      <w:tr>
        <w:trPr>
          <w:trHeight w:val="207"/>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fluctuations on cash, cash equivalents and restricted cash</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12"/>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210,481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85,200</w:t>
            </w:r>
          </w:p>
        </w:tc>
      </w:tr>
      <w:tr>
        <w:trPr>
          <w:trHeight w:val="21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898,532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688,051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602,851</w:t>
            </w:r>
          </w:p>
        </w:tc>
      </w:tr>
      <w:tr>
        <w:trPr>
          <w:trHeight w:val="23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702,197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898,532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688,051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center"/>
              <w:ind w:left="599"/>
              <w:spacing w:after="0"/>
              <w:rPr>
                <w:sz w:val="20"/>
                <w:szCs w:val="20"/>
                <w:color w:val="auto"/>
              </w:rPr>
            </w:pPr>
            <w:r>
              <w:rPr>
                <w:rFonts w:ascii="Arial" w:cs="Arial" w:eastAsia="Arial" w:hAnsi="Arial"/>
                <w:sz w:val="16"/>
                <w:szCs w:val="16"/>
                <w:b w:val="1"/>
                <w:bCs w:val="1"/>
                <w:color w:val="auto"/>
                <w:w w:val="91"/>
              </w:rPr>
              <w:t>For the Year Ended December 31,</w:t>
            </w:r>
          </w:p>
        </w:tc>
        <w:tc>
          <w:tcPr>
            <w:tcW w:w="1000" w:type="dxa"/>
            <w:vAlign w:val="bottom"/>
            <w:tcBorders>
              <w:bottom w:val="single" w:sz="8" w:color="auto"/>
            </w:tcBorders>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2019</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10"/>
        </w:trPr>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(In thousands)</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Cash paid during the period for:</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6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Interest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61,295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65,992</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77,575</w:t>
            </w:r>
          </w:p>
        </w:tc>
      </w:tr>
      <w:tr>
        <w:trPr>
          <w:trHeight w:val="213"/>
        </w:trPr>
        <w:tc>
          <w:tcPr>
            <w:tcW w:w="6620" w:type="dxa"/>
            <w:vAlign w:val="bottom"/>
          </w:tcPr>
          <w:p>
            <w:pPr>
              <w:ind w:left="46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43,404</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44,495</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63,080</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6620" w:type="dxa"/>
            <w:vAlign w:val="bottom"/>
          </w:tcPr>
          <w:p>
            <w:pPr>
              <w:ind w:left="700"/>
              <w:spacing w:after="0"/>
              <w:rPr>
                <w:sz w:val="20"/>
                <w:szCs w:val="20"/>
                <w:color w:val="auto"/>
              </w:rPr>
            </w:pPr>
            <w:r>
              <w:rPr>
                <w:rFonts w:ascii="Arial" w:cs="Arial" w:eastAsia="Arial" w:hAnsi="Arial"/>
                <w:sz w:val="16"/>
                <w:szCs w:val="16"/>
                <w:color w:val="auto"/>
              </w:rPr>
              <w:t>Property, plant and equipment included in capital expenditures payable</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181,376</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77,250</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256,070</w:t>
            </w:r>
          </w:p>
        </w:tc>
      </w:tr>
      <w:tr>
        <w:trPr>
          <w:trHeight w:val="219"/>
        </w:trPr>
        <w:tc>
          <w:tcPr>
            <w:tcW w:w="66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Right of use assets acquired through operating lease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41,672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60,963</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20" w:type="dxa"/>
            <w:vAlign w:val="bottom"/>
          </w:tcPr>
          <w:p>
            <w:pPr>
              <w:ind w:left="700"/>
              <w:spacing w:after="0"/>
              <w:rPr>
                <w:sz w:val="20"/>
                <w:szCs w:val="20"/>
                <w:color w:val="auto"/>
              </w:rPr>
            </w:pPr>
            <w:r>
              <w:rPr>
                <w:rFonts w:ascii="Arial" w:cs="Arial" w:eastAsia="Arial" w:hAnsi="Arial"/>
                <w:sz w:val="16"/>
                <w:szCs w:val="16"/>
                <w:color w:val="auto"/>
              </w:rPr>
              <w:t>Right of use assets acquired through finance lease liabilities</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10,517</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10,835</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17,163</w:t>
            </w:r>
          </w:p>
        </w:tc>
      </w:tr>
      <w:tr>
        <w:trPr>
          <w:trHeight w:val="219"/>
        </w:trPr>
        <w:tc>
          <w:tcPr>
            <w:tcW w:w="66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Dividends declared and unpaid</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9,713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Amkor is one of the world’s leading providers of outsourced semiconductor packaging and test services. Amkor pioneered the outsourcing of semiconductor packaging and test services through a predecessor corporation in 1968, and over the years we have built a leading position by:</w:t>
      </w:r>
    </w:p>
    <w:p>
      <w:pPr>
        <w:spacing w:after="0" w:line="9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Designing and developing innovative packaging and test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Offering a broad portfolio of cost-effective solutions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Focusing on strategic end markets that offer solid growth potential;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Cultivating long-standing relationships with our customers, which include many of the world’s leading semiconductor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Collaborating with customers, original equipment manufacturers (“OEMs”) and equipment and material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Developing a competitive cost structure with disciplined capital investment;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Building expertise in high-volume manufacturing processes and developing a reputation for high quality and solid execution;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a geographically diverse operating base, with research and development, engineering support and production capabilities at various facilities in China, Japan, Korea, Malaysia, the Philippines, Portugal and Taiwan.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Financial Statements include the accounts of Amkor Technology, Inc. and our subsidiaries (“Amkor”). Our Consolidated Financial Statements reflect the elimination of all significant inter-company accounts and transactions. Our investments in variable interest entities in which we are the primary beneficiary are consolidated. We reflect the remaining portion of variable interest entities and foreign subsidiaries that are not wholly owned as noncontrolling interests.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amounts reported in the financial statements and accompanying notes. On an ongoing basis, we evaluate our estimates, including those related to acquisitions, revenue recognition, income taxes, inventory, long lived assets and contingencies. These estimates are based on management’s best knowledge of current events, historical experience, actions that we may undertake in the future and on various other assumptions that are believed to be reasonable under the circumstances. As a result, actual results could differ materially from these estimates and assumptions, including the impact of Covid-19 and any deterioration in the global business and economic environment. Certain prior year amounts have been reclassified to conform to current year presentation.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variable interests in certain Philippine realty corporations in which we have a 40% ownership. We lease land and buildings in the Philippines from these entities and we are the primary beneficiary of these arrangements. As of December 31, 2020, the combined book value of the assets and liabilities associated with these Philippine realty corporations included in our Consolidated Balance Sheet was $17.0 million and $0.1 million, respectively. The impact of consolidating these variable interest entities on our Consolidated Statements of Income was not significant, and other than our lease payments, we have not provided any significant assistance or other financial support to these variable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entities for the years ended December 31, 2020, 2019 or 2018. The creditors of the Philippine realty corporations have no recourse to our general credit.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dollar is the functional currency of our subsidiaries other than our Japan operations. The foreign currency asset and liability amounts at these subsidiaries are remeasured into U.S. dollars at end-of-period exchange rates, except for nonmonetary items which are remeasured at historical rates. Foreign currency income and expenses are remeasured at daily exchange rates, except for expenses related to balance sheet amounts which are remeasured at historical exchange rates. Exchange gains and losses arising from remeasurement of foreign currency-denominated monetary assets and liabilities are included in other (income) expense, net in the period in which they occur.</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Japanese Yen is the functional currency of our Japan operations. The asset and liability amounts of our Japan operations are translated into U.S. dollars at end-of-period exchange rates. Income and expenses are translated into U.S. dollars at average exchange rates in effect during the period. The resulting translation adjustments are reported as a component of accumulated other comprehensive income in the stockholders’ equity section of the balance sheet. Assets and liabilities denominated in a currency other than the functional currency are remeasured into the functional currency prior to translation into U.S. dollars, and the resulting transaction exchange gains or losses are included in other expense (income) in the period in which they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Concentrations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semiconductor industry is characterized by rapid technological change, competitive pricing pressures and cyclical market patterns. Our financial results are affected by a wide variety of factors, including general economic conditions worldwide, economic conditions specific to the semiconductor industry, the timely implementation of new package and test technologies, the ability to safeguard patents and intellectual property in a rapidly evolving market and reliance on materials and equipment suppliers. In addition, the semiconductor market has historically been cyclical and subject to significant economic downturns at various times.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20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 significant portion of our revenues is concentrated with a small group of customers (Note 18). Direct sales to our largest customer increased during 2020 and accounted for 14.5% of our net revenue for the year ended December 31, 2020. The loss of a significant customer, a business combination among customers, a reduction in orders or decrease in price from a significant customer or disruption in any of our significant strategic partnerships or other commercial arrangements could have a material adverse effect on our business, liquidity, results of operations, financial condition and cash flows.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Financial instruments, for which we are subject to credit risk, consist principally of accounts receivable and cash, cash equivalents and short-term investments. With respect to accounts receivable, we mitigate our credit risk by selling primarily to well-established companies, performing ongoing credit evaluations and making frequent contact with customers. In addition, we may utilize non-recourse factoring to mitigate credit risk when considered appropriate. We have historically mitigated our credit risk with respect to cash and cash equivalents through diversification of our holdings into various high quality money market funds and bank deposit accounts. Our short-term investments are principally investments in debt securities with maximum duration of twelve months and ranges from AAA to BBB rated financial instruments. Our short-term investments are primarily in direct obligation of the US Government or its agencies, corporate bonds, asset backed securities, commercial paper, and municipal bonds. At December 31, 2020, our cash and cash equivalents were maintained in various U.S. and foreign bank operating and time deposit accounts and invested in U.S.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be subject to certain legal proceedings, lawsuits and other claims, as discussed in Note 17. We accrue for a loss contingency, including legal proceedings, lawsuits, pending claims and other legal matters, when we conclude that the likelihood of a loss is probable and the amount of the loss can be reasonably estimated. When the reasonable estimate of the loss is within a range of amounts, and no amount in the range constitutes a better estimate than any other amount, we accrue for the amount at the low end of the range.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consider all highly liquid investments with a maturity of three months or less when purchased to be cash equivalents. Our cash and cash equivalents are maintained in various U.S. and foreign bank operating and time deposit accounts and invested in U.S. money market funds.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current, consists of short-term cash equivalents used to collateralize our daily banking services. Restricted cash, non-current, mainly consists of collateral to fulfill foreign trade compliance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Generally, we classify our short-term investments in fixed income securities as available-for-sale debt investments. All of our available-for-sale debt investments as of December 31, 2020 are available to fund current operations and are recorded at fair value (Note 6). Unrealized gains and losses on our available-for-sale debt investments are included as a separate component of accumulated other comprehensive income (loss), net of tax. Realized gains and losses on our available-for-sale debt investments and declines in value judged to be an impairment are included in other (income) expense, net. The cost of short-term investments matured or sold is based on the average cost method.</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evaluate on an ongoing basis the market conditions, trends of earnings, financial condition, credit ratings, any underlying collateral and other key measures for our short-term investments in determining if and when a decline in value below the adjusted cost of our available-for-sale debt investments is an impairment. An impairment is considered if (i) we have the intent to sell the security, (ii) it is more likely than not that we will be required to sell the security before recovery of the entire amortized cost basis or (iii) we do not expect to recover the entire amortized cost basis of the security. If impairment is considered on condition (i) or (ii) above, the entire difference between the amortized cost and the fair value of the debt security is recognized in earnings. If impairment is considered based on condition (iii), the amount representing credit losses will be recognized in earnings and as an allowance for credit losses. The amount relating to all other factors will be recognized in other comprehensive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Inventories consist of raw materials and purchased components and are stated at the lower of cost and net realizable value. Cost is principally determined by standard cost or the weighted moving average method, both of which approximate actual cost. We review and set our standard costs as needed, but at a minimum on an annual basis. We reduce the carrying value of our inventories for the cost of inventory we estimate is excess and obsolete based on the age of our inventories. When a determination is made that the inventory will not be utilized in production or is not saleable, it is written-off.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 principally of prepaid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are stated at cost. Depreciation is calculated by the straight-line method over the estimated useful lives of depreciable assets which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49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10 to 40 years</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4940" w:type="dxa"/>
            <w:vAlign w:val="bottom"/>
          </w:tcPr>
          <w:p>
            <w:pPr>
              <w:ind w:left="3440"/>
              <w:spacing w:after="0"/>
              <w:rPr>
                <w:sz w:val="20"/>
                <w:szCs w:val="20"/>
                <w:color w:val="auto"/>
              </w:rPr>
            </w:pPr>
            <w:r>
              <w:rPr>
                <w:rFonts w:ascii="Arial" w:cs="Arial" w:eastAsia="Arial" w:hAnsi="Arial"/>
                <w:sz w:val="18"/>
                <w:szCs w:val="18"/>
                <w:color w:val="auto"/>
              </w:rPr>
              <w:t>2 to 7 years</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and computer equipment</w:t>
            </w:r>
          </w:p>
        </w:tc>
        <w:tc>
          <w:tcPr>
            <w:tcW w:w="49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3 to 5 years</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Furniture, fixtures and other equipment</w:t>
            </w:r>
          </w:p>
        </w:tc>
        <w:tc>
          <w:tcPr>
            <w:tcW w:w="4940" w:type="dxa"/>
            <w:vAlign w:val="bottom"/>
          </w:tcPr>
          <w:p>
            <w:pPr>
              <w:ind w:left="3440"/>
              <w:spacing w:after="0"/>
              <w:rPr>
                <w:sz w:val="20"/>
                <w:szCs w:val="20"/>
                <w:color w:val="auto"/>
              </w:rPr>
            </w:pPr>
            <w:r>
              <w:rPr>
                <w:rFonts w:ascii="Arial" w:cs="Arial" w:eastAsia="Arial" w:hAnsi="Arial"/>
                <w:sz w:val="18"/>
                <w:szCs w:val="18"/>
                <w:color w:val="auto"/>
              </w:rPr>
              <w:t>4 to 10 years</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Cost and accumulated depreciation for property retired or disposed of are removed from the accounts, and any resulting gain or loss is included in earnings.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maintenance and repairs are charged to expense as incurred.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changes in circumstances indicate that the carrying amount may not be recoverable. Recoverability of a long-lived asset group to be held and used in operations is measured by a comparison of the carrying amount to the sum of the undiscounted cash flows expected to result from the use and eventual 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lease certain machinery and equipment, office space, and manufacturing facilities. Effective January 1, 2019, we adopted the requirements of the Financial Accounting Standards Board Accounting Standards Codification 842, Leases, using the modified transition approach without restating the comparative period financial statements or disclosures. Leases with an initial term of 12 months or less are not recorded on the balance sheet, and we recognize lease expense for these leases on a straight-line basis over the lease term. We combine lease components (e.g., fixed payments including rent, real estate taxes and insurance costs) with the non-lease components (e.g., common-area maintenance costs) for all asset classes. We use our incremental borrowing rate based on the information available at the lease commencement date to determine the lease liability. Our leases have remaining lease terms ranging from less than one year to 85 years. For purposes of calculating our lease liabilities, our lease terms include options to extend or terminate the lease when it is reasonably certain that we will exercise those options. Certain leases also include options to purchase the leased property.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is recorded when the cost of an acquisition exceeds the fair value of the net tangible and identifiable intangible assets acquired. We review goodwill for impairment annually during the fourth quarter of each year and whenever events or changes in circumstances indicate that an impairment may exist. Impairment losses are recorded when the carrying amount of the reporting unit exceeds its fair value. The balance of goodwill in our Consolidated Balance Sheets reflects adjustments for foreign currency translation.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principally of deferred tax assets, refundable security deposits, and non-current prepaid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use foreign exchange forward contracts to manage exposure to foreign exchange risk which are generally settled monthly. The derivatives are recorded at the fair value either in other current assets or accrued expenses, with the associated gains and losses charged to other (income) expense, net in the period in which they occur. We do not apply hedge accounting to the derivatives. See Note 15 for further discussion about the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apply fair value accounting for assets and liabilities that are recognized or disclosed at fair value in the financial statements on a recurring or nonrecurring basis. We define fair value as the price that would be received from selling an asset or paid to transfer a liability in the principal or most advantageous market for the asset or liability in an orderly transaction between market participants at the measurement date. See Note 16 for further discussion of fair value measurements.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revenue, net of sales, use, value-added and other similar taxes, as a performance obligation is satisfied in an amount reflecting the consideration to which we expect to be entitled. We apply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our revenue is recognized as services are rendered.</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receivables are revenues that have been recognized for performance obligations that have been satisfied, or partially satisfied, in advance of billing the customer. Revenue may be recognized in advance of billing as our contracts provide us with an unconditional right to consideration for work that is performed. Total unbilled receivables as of December 31, 2020 and 2019 were $146.8 million and $125.4 million, respectively. These amounts are included in accounts receivable, net of allowances in our Consolidated Balance Sheets.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times, the company receives cash payments from customers in advance of the company’s performance. In such cases, we record deferred revenue until the performance obligation is satisfied, which represents a contract liability and is included in accrued expenses and other non-current liabilities in the consolidated balance sheets. These contract liabilities are classified as either current or long-term based on the timing of when the company expects to recognize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Contract liabilities were $51.6 million and $17.5 million as of December 31, 2020 and December 31, 2019, respectively. As of December 31, 2020 and December 31, 2019, the short-term portion of the liability was $30.3 million and $16.2 million, respectively. Revenue recognized during the year that was included in the contract liability balance at the beginning of the period was $14.1 million, $16.4 million, and $13.7 million, for 2020, 2019 and 2018,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include costs attributable to the conduct of research and development programs primarily related to the development of new package designs or technologies and improving the efficiency and capabilities of our existing production processes. Such costs include salaries, payroll taxes, employee benefit costs, materials, supplies, depreciation and maintenance of research equipment, services provided by outside contractors and the allocable portions of facility costs such as rent, utilities, insurance, repairs and maintenance, depreciation and general support services. Costs associated with research and development are expensed as incurred.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basis as well as for net operating loss and tax credit carryforwards.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it is more likely than not that the related tax benefits will not be realized.</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 For most of our U.S. and foreign deferred tax assets,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in our Consolidated Financial Statements the impact of an income tax position, if that position is more likely than not of being sustained on audit, based on the technical merits of the position. Related interest and penalties are classified as income taxes in the financial statements. See Note 4 for further discussion regarding unrecognized income tax benefits.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Share-Based Compensation Plans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share-based compensation is measured at fair value and expensed over the service period (generally the vesting period). The amount of compensation expense to be recognized is adjusted for an estimated forfeiture rate which is based on historical data. For the years ended December 31, 2020, 2019 and 2018, we recognized share-based compensation attributable to stock options and restricted shares of $8.0 million, $6.9 million and $5.0 million, respectively, primarily in selling, general and administrative expenses. The corresponding deferred income tax benefits for stock options or restricted shares is $1.3 million, $1.3 million and $1.0 million for 2020, 2019 and 2018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Second Amended and Restated 2007 Equity Incentive Plan. </w:t>
      </w:r>
      <w:r>
        <w:rPr>
          <w:rFonts w:ascii="Arial" w:cs="Arial" w:eastAsia="Arial" w:hAnsi="Arial"/>
          <w:sz w:val="16"/>
          <w:szCs w:val="16"/>
          <w:color w:val="auto"/>
        </w:rPr>
        <w:t>The Second Amended and Restated 2007 Equity Incentive Plan, (the “2007 Plan”) provides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grant of the following types of incentive awards: (i) stock options, (ii) restricted stock, (iii) restricted stock units, (iv) stock appreciation rights,</w:t>
      </w:r>
    </w:p>
    <w:p>
      <w:pPr>
        <w:ind w:firstLine="8"/>
        <w:spacing w:after="0" w:line="260" w:lineRule="auto"/>
        <w:tabs>
          <w:tab w:leader="none" w:pos="2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performance units and performance shares and (vi) other stock or cash awards. Those eligible for awards include employees, directors and consultants who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services to Amkor and its subsidiaries. The 2007 Plan is effective through 2027 and can be terminated at the discretion of the Board of Directors. There were originally 17.0 million shares of our common stock reserved for issuance under the 2007 Plan and at December 31, 2020 there were 2.9 million shares available for grant.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 options are generally granted with an exercise price equal to the market price of the stock at the date of grant. Substantially all of the options granted are exercisable pursuant to a one to four year vesting schedule and the term of the options granted is no longer than ten years. Upon option exercise, we may issue new shares of common or treasury stock.</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calculate the fair value of stock options at the date of grant, we use the Black-Scholes option pricing model. Expected volatilities are based on historical performance of our stock. We also use historical data to estimate the timing and amount of option exercises and forfeitures within the valuation model. The expected term of the options is based on evaluations of historical and expected future employee exercise behavior and represents the period of time that options granted are expected to be outstanding. The risk-free interest rate for periods within the contractual life of the option is based on the U.S. Treasury yield curve in effect at the time of grant. The dividend yield is based on the annualized declared quarterly dividend rate divided by our closing stock price at the date of the grant.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 option activity for the year ended December 31,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2"/>
              </w:rPr>
              <w:t>Weighted-Average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Weighted-Average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3"/>
          </w:tcPr>
          <w:p>
            <w:pPr>
              <w:jc w:val="center"/>
              <w:ind w:right="380"/>
              <w:spacing w:after="0" w:line="135" w:lineRule="exact"/>
              <w:rPr>
                <w:sz w:val="20"/>
                <w:szCs w:val="20"/>
                <w:color w:val="auto"/>
              </w:rPr>
            </w:pPr>
            <w:r>
              <w:rPr>
                <w:rFonts w:ascii="Arial" w:cs="Arial" w:eastAsia="Arial" w:hAnsi="Arial"/>
                <w:sz w:val="14"/>
                <w:szCs w:val="14"/>
                <w:b w:val="1"/>
                <w:bCs w:val="1"/>
                <w:color w:val="auto"/>
                <w:w w:val="89"/>
              </w:rPr>
              <w:t>Exercise 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Contractual Term</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per Share</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12.85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9.56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91"/>
              </w:rPr>
              <w:t>7.47</w:t>
            </w: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7"/>
              </w:rPr>
              <w:t>Fully vested at December 31, 2020 and expected to vest</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40" w:type="dxa"/>
            <w:vAlign w:val="bottom"/>
            <w:vMerge w:val="continue"/>
          </w:tcPr>
          <w:p>
            <w:pPr>
              <w:spacing w:after="0"/>
              <w:rPr>
                <w:sz w:val="10"/>
                <w:szCs w:val="10"/>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4,245</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9.66</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2"/>
            <w:vMerge w:val="restart"/>
          </w:tcPr>
          <w:p>
            <w:pPr>
              <w:ind w:left="1180"/>
              <w:spacing w:after="0"/>
              <w:rPr>
                <w:sz w:val="20"/>
                <w:szCs w:val="20"/>
                <w:color w:val="auto"/>
              </w:rPr>
            </w:pPr>
            <w:r>
              <w:rPr>
                <w:rFonts w:ascii="Arial" w:cs="Arial" w:eastAsia="Arial" w:hAnsi="Arial"/>
                <w:sz w:val="18"/>
                <w:szCs w:val="18"/>
                <w:color w:val="auto"/>
                <w:w w:val="91"/>
              </w:rPr>
              <w:t>7.43</w:t>
            </w:r>
          </w:p>
        </w:tc>
        <w:tc>
          <w:tcPr>
            <w:tcW w:w="32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22,877</w:t>
            </w:r>
          </w:p>
        </w:tc>
        <w:tc>
          <w:tcPr>
            <w:tcW w:w="0" w:type="dxa"/>
            <w:vAlign w:val="bottom"/>
          </w:tcPr>
          <w:p>
            <w:pPr>
              <w:spacing w:after="0"/>
              <w:rPr>
                <w:sz w:val="1"/>
                <w:szCs w:val="1"/>
                <w:color w:val="auto"/>
              </w:rPr>
            </w:pPr>
          </w:p>
        </w:tc>
      </w:tr>
      <w:tr>
        <w:trPr>
          <w:trHeight w:val="203"/>
        </w:trPr>
        <w:tc>
          <w:tcPr>
            <w:tcW w:w="4440" w:type="dxa"/>
            <w:vAlign w:val="bottom"/>
          </w:tcPr>
          <w:p>
            <w:pPr>
              <w:ind w:left="260"/>
              <w:spacing w:after="0" w:line="202" w:lineRule="exact"/>
              <w:rPr>
                <w:sz w:val="20"/>
                <w:szCs w:val="20"/>
                <w:color w:val="auto"/>
              </w:rPr>
            </w:pPr>
            <w:r>
              <w:rPr>
                <w:rFonts w:ascii="Arial" w:cs="Arial" w:eastAsia="Arial" w:hAnsi="Arial"/>
                <w:sz w:val="18"/>
                <w:szCs w:val="18"/>
                <w:color w:val="auto"/>
              </w:rPr>
              <w:t>thereafter</w:t>
            </w:r>
          </w:p>
        </w:tc>
        <w:tc>
          <w:tcPr>
            <w:tcW w:w="150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gridSpan w:val="2"/>
            <w:shd w:val="clear" w:color="auto" w:fill="CCEEFF"/>
          </w:tcPr>
          <w:p>
            <w:pPr>
              <w:ind w:left="1180"/>
              <w:spacing w:after="0"/>
              <w:rPr>
                <w:sz w:val="20"/>
                <w:szCs w:val="20"/>
                <w:color w:val="auto"/>
              </w:rPr>
            </w:pPr>
            <w:r>
              <w:rPr>
                <w:rFonts w:ascii="Arial" w:cs="Arial" w:eastAsia="Arial" w:hAnsi="Arial"/>
                <w:sz w:val="18"/>
                <w:szCs w:val="18"/>
                <w:color w:val="auto"/>
                <w:w w:val="91"/>
              </w:rPr>
              <w:t>6.41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880" w:type="dxa"/>
            <w:vAlign w:val="bottom"/>
            <w:gridSpan w:val="8"/>
          </w:tcPr>
          <w:p>
            <w:pPr>
              <w:spacing w:after="0"/>
              <w:rPr>
                <w:sz w:val="20"/>
                <w:szCs w:val="20"/>
                <w:color w:val="auto"/>
              </w:rPr>
            </w:pPr>
            <w:r>
              <w:rPr>
                <w:rFonts w:ascii="Arial" w:cs="Arial" w:eastAsia="Arial" w:hAnsi="Arial"/>
                <w:sz w:val="18"/>
                <w:szCs w:val="18"/>
                <w:color w:val="auto"/>
                <w:w w:val="92"/>
              </w:rPr>
              <w:t>The following assumptions were used to calculate the weighted-average fair values of the options granted:</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0"/>
          </w:tcPr>
          <w:p>
            <w:pPr>
              <w:jc w:val="center"/>
              <w:ind w:left="1095"/>
              <w:spacing w:after="0"/>
              <w:rPr>
                <w:sz w:val="20"/>
                <w:szCs w:val="20"/>
                <w:color w:val="auto"/>
              </w:rPr>
            </w:pPr>
            <w:r>
              <w:rPr>
                <w:rFonts w:ascii="Arial" w:cs="Arial" w:eastAsia="Arial" w:hAnsi="Arial"/>
                <w:sz w:val="14"/>
                <w:szCs w:val="14"/>
                <w:b w:val="1"/>
                <w:bCs w:val="1"/>
                <w:color w:val="auto"/>
                <w:w w:val="93"/>
              </w:rPr>
              <w:t>For the Year Ended 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44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7"/>
              </w:rPr>
              <w:t>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Weighted-average grant date fair value per option granted</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unrecognized compensation expense from stock options was $8.3 million as of December 31, 2020, which is expected to be recognized over a weighted-average period of approximately 2.1 years beginning January 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grant restricted shares to directors and employees under the 2007 Plan. Restricted shares granted to directors vest on the earlier of the one year anniversary of the grant date or the date of the next annual meeting of stockholders. Generally, other restricted shares vest ratably over three years, with 8.33% of the shares vesting in equal quarterly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installments such that 100% of the shares will become vested on the third anniversary of the award, subject to the recipient’s continued employment with us on the applicable vesting dates. In addition, provided that the restricted shares have not been forfeited earlier, for certain grants, the restricted shares will vest upon the recipient’s death or disability, or upon a change in control of Amkor. The value of the restricted shares is determined based on the fair market value of the underlying shares on the date of the grant and is recognized ratably over the vesting period. Upon vesting of restricted stock awards, we may issue new shares of common or treasury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restricted share activity for the year ended December 31,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8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2019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Awards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Awards 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Awards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unrecognized compensation cost from restricted shares was $4.7 million as of December 31, 2020, which is expected to be recognized over a weighted-average period of approximately 2.2 years beginning January 1, 2021.</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Other Income and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and expense consists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676"/>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Foreign currency (gain) loss,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retirement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color w:val="auto"/>
              </w:rPr>
              <w:t>4. Income Taxes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80" w:type="dxa"/>
            <w:vAlign w:val="bottom"/>
          </w:tcPr>
          <w:p>
            <w:pPr>
              <w:spacing w:after="0"/>
              <w:rPr>
                <w:sz w:val="20"/>
                <w:szCs w:val="20"/>
                <w:color w:val="auto"/>
              </w:rPr>
            </w:pPr>
            <w:r>
              <w:rPr>
                <w:rFonts w:ascii="Arial" w:cs="Arial" w:eastAsia="Arial" w:hAnsi="Arial"/>
                <w:sz w:val="18"/>
                <w:szCs w:val="18"/>
                <w:color w:val="auto"/>
              </w:rPr>
              <w:t>Geographic sources of income (loss) before taxes are as follows: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jc w:val="center"/>
              <w:ind w:left="676"/>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180,280</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185,815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provision for income taxes includes current federal, state and foreign taxes payable and those deferred because of temporary differences between the financial statement and the tax bases of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(benefit) for income taxes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673"/>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22,003</w:t>
            </w: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47,318</w:t>
            </w:r>
          </w:p>
        </w:tc>
      </w:tr>
      <w:tr>
        <w:trPr>
          <w:trHeight w:val="223"/>
        </w:trPr>
        <w:tc>
          <w:tcPr>
            <w:tcW w:w="64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69,360</w:t>
            </w:r>
          </w:p>
        </w:tc>
      </w:tr>
      <w:tr>
        <w:trPr>
          <w:trHeight w:val="209"/>
        </w:trPr>
        <w:tc>
          <w:tcPr>
            <w:tcW w:w="6480" w:type="dxa"/>
            <w:vAlign w:val="bottom"/>
          </w:tcPr>
          <w:p>
            <w:pPr>
              <w:ind w:left="20"/>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2,993</w:t>
            </w:r>
          </w:p>
        </w:tc>
      </w:tr>
      <w:tr>
        <w:trPr>
          <w:trHeight w:val="229"/>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(21,571)</w:t>
            </w:r>
          </w:p>
        </w:tc>
      </w:tr>
      <w:tr>
        <w:trPr>
          <w:trHeight w:val="223"/>
        </w:trPr>
        <w:tc>
          <w:tcPr>
            <w:tcW w:w="64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(13,110)</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between the U.S. federal statutory income tax rate of 21% for 2020, 2019 and 2018 and our income tax expense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672"/>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39,021</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1,677</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income taxed at different rates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Foreign exchange (loss) gain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(3,797)</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(12,662)</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Adjustments related to prior years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1,898</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tax reform (the Tax Act)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22,284</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Income tax credits generated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(18,106)</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earnings and profits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Foreign derived intangible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Expiration of net operating losses and credits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19,462</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Settlements and changes in uncertain tax positions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(1,230)</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56,250</w:t>
            </w:r>
          </w:p>
        </w:tc>
      </w:tr>
      <w:tr>
        <w:trPr>
          <w:trHeight w:val="21"/>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valuation allowance for 2020, 2019 and 2018 is primarily the result of changes in our ability to realize net operating loss, tax credit, and other carryforwards.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certain capital investments, export commitments and employment levels, income from operations in Korea, Malaysia, the Philippines and Singapore was subject to reduced income tax rates and, in some cases, was exempt from income taxes. We recognized $27.6 million, $14.7 million and $1.9 million in tax benefits as a result of the tax holidays in 2020, 2019 and 2018, respectively. The benefit of the tax holidays on diluted earnings per share was approximately $0.11, $0.06 and $0.01 for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components of our deferred tax assets and liabilities: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7"/>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183"/>
        </w:trPr>
        <w:tc>
          <w:tcPr>
            <w:tcW w:w="8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24,791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25,905</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credits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98,158</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27,199</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interest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12,361</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61,812</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30,558</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Unrealized foreign exchange loss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2,750</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18,164</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11,889</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288,796</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(121,310)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(136,934)</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160,753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151,862</w:t>
            </w:r>
          </w:p>
        </w:tc>
      </w:tr>
      <w:tr>
        <w:trPr>
          <w:trHeight w:val="209"/>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23,747</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Deferred gain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11,193</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foreign exchange gain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Unbilled receivables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3,580</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 of use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17,687</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61,527</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88,537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90,335</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8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Recognized as: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95,045</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90,465</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88,537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90,335</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 against deferred tax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Foreign</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valuation allowance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81"/>
        </w:trPr>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r>
      <w:tr>
        <w:trPr>
          <w:trHeight w:val="461"/>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62,820</w:t>
            </w:r>
          </w:p>
        </w:tc>
        <w:tc>
          <w:tcPr>
            <w:tcW w:w="10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80,241</w:t>
            </w:r>
          </w:p>
        </w:tc>
      </w:tr>
      <w:tr>
        <w:trPr>
          <w:trHeight w:val="230"/>
        </w:trPr>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58,490</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56,693</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121,310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136,934</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80" w:space="720"/>
            <w:col w:w="3140"/>
          </w:cols>
          <w:pgMar w:left="320" w:top="121" w:right="339" w:bottom="1440" w:gutter="0" w:footer="0" w:header="0"/>
          <w:type w:val="continuous"/>
        </w:sectPr>
      </w:pP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had recorded a valuation allowance against our interest expense carryforward as a result of the limitation of deductibility of interest expense contained in the Tax Act. Realization of the carryforward is dependent on generating sufficient taxable income to overcome the interest limitation provisions. Although utilization of this carryforward is not assured, in light of our current earnings and recent estimates of future taxable income, management believes sufficient positive evidence exists to conclude that the valuation allowance is no longer needed and reversed the $12.4 million valuation allowance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net operating loss carryforwards (“NOLs”)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259"/>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8"/>
        </w:trPr>
        <w:tc>
          <w:tcPr>
            <w:tcW w:w="64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r>
      <w:tr>
        <w:trPr>
          <w:trHeight w:val="183"/>
        </w:trPr>
        <w:tc>
          <w:tcPr>
            <w:tcW w:w="6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2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NOLs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7"/>
              </w:rPr>
              <w:t>22,683</w:t>
            </w:r>
          </w:p>
        </w:tc>
        <w:tc>
          <w:tcPr>
            <w:tcW w:w="10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23,977</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2021-2024</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U.S. State NOLs</w:t>
            </w:r>
          </w:p>
        </w:tc>
        <w:tc>
          <w:tcPr>
            <w:tcW w:w="940" w:type="dxa"/>
            <w:vAlign w:val="bottom"/>
          </w:tcPr>
          <w:p>
            <w:pPr>
              <w:spacing w:after="0"/>
              <w:rPr>
                <w:sz w:val="19"/>
                <w:szCs w:val="19"/>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w w:val="87"/>
              </w:rPr>
              <w:t>88,170</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93,674</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2021-2038</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NOLs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7"/>
              </w:rPr>
              <w:t>85,960</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85,123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2022-2028</w:t>
            </w:r>
          </w:p>
        </w:tc>
      </w:tr>
    </w:tbl>
    <w:p>
      <w:pPr>
        <w:spacing w:after="0" w:line="32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December 31, 2020 and 2019, a portion of our remaining U.S. federal net operating loss carryforward was reserved with a valuation allowance due to ownership change limitations from a prior year acquisition as well as certain state net operating loss carryforwards expected to expire unused.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tax credit carryforwards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259"/>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8"/>
        </w:trPr>
        <w:tc>
          <w:tcPr>
            <w:tcW w:w="64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Expiration</w:t>
            </w:r>
          </w:p>
        </w:tc>
      </w:tr>
      <w:tr>
        <w:trPr>
          <w:trHeight w:val="183"/>
        </w:trPr>
        <w:tc>
          <w:tcPr>
            <w:tcW w:w="6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2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Foreign Tax Credits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7"/>
              </w:rPr>
              <w:t>70,265</w:t>
            </w:r>
          </w:p>
        </w:tc>
        <w:tc>
          <w:tcPr>
            <w:tcW w:w="10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77,983</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2026-2027</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U.S. Other Tax Credits</w:t>
            </w:r>
          </w:p>
        </w:tc>
        <w:tc>
          <w:tcPr>
            <w:tcW w:w="940" w:type="dxa"/>
            <w:vAlign w:val="bottom"/>
          </w:tcPr>
          <w:p>
            <w:pPr>
              <w:spacing w:after="0"/>
              <w:rPr>
                <w:sz w:val="19"/>
                <w:szCs w:val="19"/>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168</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2026</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7"/>
              </w:rPr>
              <w:t>22,623</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18,771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2021-2030</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and 2019, a portion of our U.S. and foreign tax credit carryforwards were reserved with a valuation allowance for the amount expected to expire unused.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changes in the Tax Act, distributions of cash to the U.S. as dividends generally will not be subject to U.S. federal income tax. We have not provided foreign withholding taxes or state income taxes on the undistributed earnings of our foreign subsidiaries, over which we have sufficient influence to control the distribution of such earnings and have determined that substantially all such earnings have been reinvested indefinitely. These earnings could become subject to foreign withholding tax if they are remitted as dividends. We estimate that repatriation of these foreign earnings would generate withholding taxes and state income taxes of approximately $119.1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and file income tax returns in various U.S. and foreign jurisdictions which are subject to examination by tax authorities. We have tax returns that are open to examination in various jurisdictions for tax years 2010-2020. The open years contain matters that could be subject to differing interpretations of applicable tax laws and regulations related to the amount and/or timing of income, deductions and tax credits. There can be no assurance that the outcome of examinations will be favorable. Our unrecognized tax benefits are subject to change as examinations of specific tax years are completed in the respective jurisdictions. In certain circumstances where we elect to appeal the results of an examination, we may be required to make tax assessment payments to proceed with the administrative appeal process. Current examinations include our 2012, 2013 and 2018 Philippine income tax returns and our 2018 Singapore income tax return.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gross amount of unrecognized tax benefits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left="92"/>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183"/>
        </w:trPr>
        <w:tc>
          <w:tcPr>
            <w:tcW w:w="6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27,211</w:t>
            </w: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Additions based on tax positions related to the current year</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10,427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for tax positions of prior years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Reductions for tax positions of prior years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(2,958)</w:t>
            </w:r>
          </w:p>
        </w:tc>
      </w:tr>
      <w:tr>
        <w:trPr>
          <w:trHeight w:val="229"/>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Reductions related to settlements with tax authorities</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Reductions from lapse of statutes of limitations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(4,964)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32,598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net increase in our unrecognized tax benefits was $6.4 million from December 31, 2019 to December 31, 2020. The increase was primarily related to income attribution offset by decreases from the lapse of statutes of limitations. At December 31, 2020, all of our gross unrecognized tax benefits would reduce our effective tax rate, if recognized. It is reasonably possible that unrecognized tax benefits related to entity classification and withholding taxes will decrease in the next 12 months by up to $7.1 million due to the lapse of statutes of limitations in foreign jurisdictions.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related to our unrecognized tax benefits is $28.3 million as of December 31, 2020 and is reported as a component of other non-current liabilities. The unrecognized tax benefits presented in the table above also include positions that have reduced deferred tax assets. The balance of accrued and unpaid interest and penalties is $4.7 million as of December 31, 2020 and is included as a component of other non-current liabilities in connection with our unrecognized tax benefits.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Earnings Per Share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includes restricted shares held by retirement eligible recipients and is reduced for treasury stock.</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Diluted EPS is computed on the basis of the weighted-average number of shares of common stock plus the effect of dilutive potential common shares outstanding during the period. Dilutive potential common shares include outstanding stock options and unvested restricted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computations of basic and diluted EPS: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For the Year Ended December 31,</w:t>
            </w:r>
          </w:p>
        </w:tc>
        <w:tc>
          <w:tcPr>
            <w:tcW w:w="106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gridSpan w:val="6"/>
          </w:tcPr>
          <w:p>
            <w:pPr>
              <w:jc w:val="center"/>
              <w:ind w:left="616"/>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60" w:type="dxa"/>
            <w:vAlign w:val="bottom"/>
          </w:tcPr>
          <w:p>
            <w:pPr>
              <w:spacing w:after="0"/>
              <w:rPr>
                <w:sz w:val="15"/>
                <w:szCs w:val="15"/>
                <w:color w:val="auto"/>
              </w:rPr>
            </w:pPr>
          </w:p>
        </w:tc>
      </w:tr>
      <w:tr>
        <w:trPr>
          <w:trHeight w:val="256"/>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to Amkor common stockholders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127,092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239,329</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 and restricted share awards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23"/>
        </w:trPr>
        <w:tc>
          <w:tcPr>
            <w:tcW w:w="6480" w:type="dxa"/>
            <w:vAlign w:val="bottom"/>
          </w:tcPr>
          <w:p>
            <w:pPr>
              <w:ind w:left="480"/>
              <w:spacing w:after="0"/>
              <w:rPr>
                <w:sz w:val="20"/>
                <w:szCs w:val="20"/>
                <w:color w:val="auto"/>
              </w:rPr>
            </w:pPr>
            <w:r>
              <w:rPr>
                <w:rFonts w:ascii="Arial" w:cs="Arial" w:eastAsia="Arial" w:hAnsi="Arial"/>
                <w:sz w:val="18"/>
                <w:szCs w:val="18"/>
                <w:color w:val="auto"/>
              </w:rPr>
              <w:t>Weighted-average shares outstanding — diluted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242,248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240,122</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239,741</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attributable to Amkor per common share: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p>
      <w:pPr>
        <w:spacing w:after="0" w:line="81"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2019</w:t>
            </w: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r>
      <w:tr>
        <w:trPr>
          <w:trHeight w:val="183"/>
        </w:trPr>
        <w:tc>
          <w:tcPr>
            <w:tcW w:w="6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60" w:type="dxa"/>
            <w:vAlign w:val="bottom"/>
          </w:tcPr>
          <w:p>
            <w:pPr>
              <w:jc w:val="center"/>
              <w:ind w:right="322"/>
              <w:spacing w:after="0"/>
              <w:rPr>
                <w:sz w:val="20"/>
                <w:szCs w:val="20"/>
                <w:color w:val="auto"/>
              </w:rPr>
            </w:pPr>
            <w:r>
              <w:rPr>
                <w:rFonts w:ascii="Arial" w:cs="Arial" w:eastAsia="Arial" w:hAnsi="Arial"/>
                <w:sz w:val="14"/>
                <w:szCs w:val="14"/>
                <w:b w:val="1"/>
                <w:bCs w:val="1"/>
                <w:color w:val="auto"/>
                <w:w w:val="91"/>
              </w:rPr>
              <w:t>(In thousands)</w:t>
            </w:r>
          </w:p>
        </w:tc>
        <w:tc>
          <w:tcPr>
            <w:tcW w:w="1300" w:type="dxa"/>
            <w:vAlign w:val="bottom"/>
          </w:tcPr>
          <w:p>
            <w:pPr>
              <w:spacing w:after="0"/>
              <w:rPr>
                <w:sz w:val="15"/>
                <w:szCs w:val="15"/>
                <w:color w:val="auto"/>
              </w:rPr>
            </w:pPr>
          </w:p>
        </w:tc>
      </w:tr>
      <w:tr>
        <w:trPr>
          <w:trHeight w:val="231"/>
        </w:trPr>
        <w:tc>
          <w:tcPr>
            <w:tcW w:w="7460" w:type="dxa"/>
            <w:vAlign w:val="bottom"/>
            <w:gridSpan w:val="2"/>
            <w:shd w:val="clear" w:color="auto" w:fill="CCEEFF"/>
          </w:tcPr>
          <w:p>
            <w:pPr>
              <w:jc w:val="right"/>
              <w:ind w:right="4388"/>
              <w:spacing w:after="0"/>
              <w:rPr>
                <w:sz w:val="20"/>
                <w:szCs w:val="20"/>
                <w:color w:val="auto"/>
              </w:rPr>
            </w:pPr>
            <w:r>
              <w:rPr>
                <w:rFonts w:ascii="Arial" w:cs="Arial" w:eastAsia="Arial" w:hAnsi="Arial"/>
                <w:sz w:val="18"/>
                <w:szCs w:val="18"/>
                <w:color w:val="auto"/>
                <w:w w:val="88"/>
              </w:rPr>
              <w:t>Stock options and restricted share awards</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7"/>
              </w:rPr>
              <w:t>2,412</w:t>
            </w:r>
          </w:p>
        </w:tc>
        <w:tc>
          <w:tcPr>
            <w:tcW w:w="176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5,379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equivalents and available-for-sale debt investments:</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118"/>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60" w:type="dxa"/>
            <w:vAlign w:val="bottom"/>
            <w:gridSpan w:val="3"/>
          </w:tcPr>
          <w:p>
            <w:pPr>
              <w:jc w:val="center"/>
              <w:ind w:right="120"/>
              <w:spacing w:after="0" w:line="118" w:lineRule="exact"/>
              <w:rPr>
                <w:sz w:val="20"/>
                <w:szCs w:val="20"/>
                <w:color w:val="auto"/>
              </w:rPr>
            </w:pPr>
            <w:r>
              <w:rPr>
                <w:rFonts w:ascii="Arial" w:cs="Arial" w:eastAsia="Arial" w:hAnsi="Arial"/>
                <w:sz w:val="13"/>
                <w:szCs w:val="13"/>
                <w:b w:val="1"/>
                <w:bCs w:val="1"/>
                <w:color w:val="auto"/>
                <w:w w:val="99"/>
              </w:rPr>
              <w:t>Gross Unrealized</w:t>
            </w:r>
          </w:p>
        </w:tc>
        <w:tc>
          <w:tcPr>
            <w:tcW w:w="1280" w:type="dxa"/>
            <w:vAlign w:val="bottom"/>
            <w:gridSpan w:val="3"/>
          </w:tcPr>
          <w:p>
            <w:pPr>
              <w:ind w:left="40"/>
              <w:spacing w:after="0" w:line="118" w:lineRule="exact"/>
              <w:rPr>
                <w:sz w:val="20"/>
                <w:szCs w:val="20"/>
                <w:color w:val="auto"/>
              </w:rPr>
            </w:pPr>
            <w:r>
              <w:rPr>
                <w:rFonts w:ascii="Arial" w:cs="Arial" w:eastAsia="Arial" w:hAnsi="Arial"/>
                <w:sz w:val="13"/>
                <w:szCs w:val="13"/>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09"/>
        </w:trPr>
        <w:tc>
          <w:tcPr>
            <w:tcW w:w="350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9"/>
                <w:szCs w:val="9"/>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 (1)</w:t>
            </w:r>
          </w:p>
        </w:tc>
        <w:tc>
          <w:tcPr>
            <w:tcW w:w="12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ind w:left="560"/>
              <w:spacing w:after="0"/>
              <w:rPr>
                <w:sz w:val="20"/>
                <w:szCs w:val="20"/>
                <w:color w:val="auto"/>
              </w:rPr>
            </w:pPr>
            <w:r>
              <w:rPr>
                <w:rFonts w:ascii="Arial" w:cs="Arial" w:eastAsia="Arial" w:hAnsi="Arial"/>
                <w:sz w:val="14"/>
                <w:szCs w:val="14"/>
                <w:b w:val="1"/>
                <w:bCs w:val="1"/>
                <w:color w:val="auto"/>
                <w:w w:val="97"/>
              </w:rPr>
              <w:t>(In 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Certificate of deposits</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cash equivalents (2)</w:t>
            </w: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146,703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146,703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139,266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Certificate of deposits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50,775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12,708</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U.S. government agency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8,418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short-term investments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129,098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129,123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106,469</w:t>
            </w:r>
          </w:p>
        </w:tc>
        <w:tc>
          <w:tcPr>
            <w:tcW w:w="0" w:type="dxa"/>
            <w:vAlign w:val="bottom"/>
          </w:tcPr>
          <w:p>
            <w:pPr>
              <w:spacing w:after="0"/>
              <w:rPr>
                <w:sz w:val="1"/>
                <w:szCs w:val="1"/>
                <w:color w:val="auto"/>
              </w:rPr>
            </w:pPr>
          </w:p>
        </w:tc>
      </w:tr>
      <w:tr>
        <w:trPr>
          <w:trHeight w:val="223"/>
        </w:trPr>
        <w:tc>
          <w:tcPr>
            <w:tcW w:w="3500" w:type="dxa"/>
            <w:vAlign w:val="bottom"/>
          </w:tcPr>
          <w:p>
            <w:pPr>
              <w:ind w:left="680"/>
              <w:spacing w:after="0"/>
              <w:rPr>
                <w:sz w:val="20"/>
                <w:szCs w:val="20"/>
                <w:color w:val="auto"/>
              </w:rPr>
            </w:pPr>
            <w:r>
              <w:rPr>
                <w:rFonts w:ascii="Arial" w:cs="Arial" w:eastAsia="Arial" w:hAnsi="Arial"/>
                <w:sz w:val="18"/>
                <w:szCs w:val="18"/>
                <w:color w:val="auto"/>
              </w:rPr>
              <w:t>Total (3)</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275,801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275,826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113,906</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63"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unrealized losses have been in a continuous loss position for less than 12 months. We do not intend to sell the investments in an unrealized loss position, and we do not believe it is more likely than not that we will be required to sell these investments before recovery of their amortized cost bases.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the year ended December 31, 2020, we sold cash equivalent investments for proceeds of $27.1 million and realized no gain or loss on such sales.</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January 2021, we increased our available-for-sale debt investments by approximately $60 million.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contractual maturities of our cash equivalents and available-for-sale debt investments as of December 31,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Amortized Cost</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Within 1 year</w:t>
            </w:r>
          </w:p>
        </w:tc>
        <w:tc>
          <w:tcPr>
            <w:tcW w:w="1680" w:type="dxa"/>
            <w:vAlign w:val="bottom"/>
            <w:shd w:val="clear" w:color="auto" w:fill="CCEEFF"/>
          </w:tcPr>
          <w:p>
            <w:pPr>
              <w:jc w:val="right"/>
              <w:ind w:right="147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259,652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259,667</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After 1 year through 5 years</w:t>
            </w: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14,705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14,713</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5 years through 10 years</w:t>
            </w:r>
          </w:p>
        </w:tc>
        <w:tc>
          <w:tcPr>
            <w:tcW w:w="16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r>
      <w:tr>
        <w:trPr>
          <w:trHeight w:val="223"/>
        </w:trPr>
        <w:tc>
          <w:tcPr>
            <w:tcW w:w="6440" w:type="dxa"/>
            <w:vAlign w:val="bottom"/>
          </w:tcPr>
          <w:p>
            <w:pPr>
              <w:ind w:left="2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ind w:right="14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275,801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275,826</w:t>
            </w:r>
          </w:p>
        </w:tc>
      </w:tr>
      <w:tr>
        <w:trPr>
          <w:trHeight w:val="20"/>
        </w:trPr>
        <w:tc>
          <w:tcPr>
            <w:tcW w:w="64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Actual maturities can differ from contractual maturities due to various factors including whether the issuers have the right to call or prepay obligations without call or prepayment penalties, and we view our available-for-sale debt investments as available for current operations.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2020, the amortized cost and the fair market value of our held-to-maturity government bond (Level 1) maturing within a year is $4.7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debt investments as of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December 31, 2019</w:t>
            </w:r>
          </w:p>
        </w:tc>
      </w:tr>
      <w:tr>
        <w:trPr>
          <w:trHeight w:val="187"/>
        </w:trPr>
        <w:tc>
          <w:tcPr>
            <w:tcW w:w="9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19"/>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 money market funds (Level 1)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384,474</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Short-term investment government bond (Level 2) (2)</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6,348</w:t>
            </w:r>
          </w:p>
        </w:tc>
      </w:tr>
    </w:tbl>
    <w:p>
      <w:pPr>
        <w:spacing w:after="0" w:line="147" w:lineRule="exact"/>
        <w:rPr>
          <w:sz w:val="20"/>
          <w:szCs w:val="20"/>
          <w:color w:val="auto"/>
        </w:rPr>
      </w:pPr>
    </w:p>
    <w:p>
      <w:pPr>
        <w:jc w:val="both"/>
        <w:ind w:left="660" w:hanging="328"/>
        <w:spacing w:after="0" w:line="286"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cash equivalent money market funds (Level 1) at December 31, 2019 have been corrected to include $286.7 million of cash equivalents that were excluded in previously reported amounts. There was no change to total cash and cash equivalents reported on our consolidated balance sheet. We determined this was immaterial to the prior period but have presented the balance as revised for comparability.</w:t>
      </w:r>
    </w:p>
    <w:p>
      <w:pPr>
        <w:spacing w:after="0" w:line="111" w:lineRule="exact"/>
        <w:rPr>
          <w:rFonts w:ascii="Arial" w:cs="Arial" w:eastAsia="Arial" w:hAnsi="Arial"/>
          <w:sz w:val="17"/>
          <w:szCs w:val="17"/>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fair market value of the security is $6.3 million.</w:t>
      </w: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Factoring of Accounts Receivable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As part of the factoring arrangements, we perform certain collection and administrative functions for the receivables sold. For the year ended December 31, 2020 and 2019, we sold accounts receivable totaling $499.3 million and $680.4 million, net of discounts and fees of $2.9 million and $4.4 million, respectively.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Property, Plant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7"/>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183"/>
        </w:trPr>
        <w:tc>
          <w:tcPr>
            <w:tcW w:w="8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221,304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219,785</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1,625,355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1,571,653</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5,736,797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5,303,729</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Finance lease machinery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40,856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34,158</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other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19,740</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Software and computer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231,171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220,264</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12,593</w:t>
            </w:r>
          </w:p>
        </w:tc>
      </w:tr>
      <w:tr>
        <w:trPr>
          <w:trHeight w:val="223"/>
        </w:trPr>
        <w:tc>
          <w:tcPr>
            <w:tcW w:w="8100" w:type="dxa"/>
            <w:vAlign w:val="bottom"/>
          </w:tcPr>
          <w:p>
            <w:pPr>
              <w:ind w:left="220"/>
              <w:spacing w:after="0"/>
              <w:rPr>
                <w:sz w:val="20"/>
                <w:szCs w:val="20"/>
                <w:color w:val="auto"/>
              </w:rPr>
            </w:pPr>
            <w:r>
              <w:rPr>
                <w:rFonts w:ascii="Arial" w:cs="Arial" w:eastAsia="Arial" w:hAnsi="Arial"/>
                <w:sz w:val="18"/>
                <w:szCs w:val="18"/>
                <w:color w:val="auto"/>
              </w:rPr>
              <w:t>Total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7,924,859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7,381,922</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(5,358,857)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(4,977,072)</w:t>
            </w:r>
          </w:p>
        </w:tc>
      </w:tr>
      <w:tr>
        <w:trPr>
          <w:trHeight w:val="223"/>
        </w:trPr>
        <w:tc>
          <w:tcPr>
            <w:tcW w:w="8100" w:type="dxa"/>
            <w:vAlign w:val="bottom"/>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2,566,002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2,404,850</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depreciation expense: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center"/>
              <w:ind w:left="682"/>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16"/>
                <w:szCs w:val="16"/>
                <w:color w:val="auto"/>
              </w:rPr>
            </w:pPr>
          </w:p>
        </w:tc>
      </w:tr>
      <w:tr>
        <w:trPr>
          <w:trHeight w:val="209"/>
        </w:trPr>
        <w:tc>
          <w:tcPr>
            <w:tcW w:w="6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r>
      <w:tr>
        <w:trPr>
          <w:trHeight w:val="186"/>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0"/>
        </w:trPr>
        <w:tc>
          <w:tcPr>
            <w:tcW w:w="6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509,770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522,011</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570,304</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412"/>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87"/>
        </w:trPr>
        <w:tc>
          <w:tcPr>
            <w:tcW w:w="7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7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5"/>
          </w:tcPr>
          <w:p>
            <w:pPr>
              <w:ind w:left="880"/>
              <w:spacing w:after="0"/>
              <w:rPr>
                <w:sz w:val="20"/>
                <w:szCs w:val="20"/>
                <w:color w:val="auto"/>
              </w:rPr>
            </w:pPr>
            <w:r>
              <w:rPr>
                <w:rFonts w:ascii="Arial" w:cs="Arial" w:eastAsia="Arial" w:hAnsi="Arial"/>
                <w:sz w:val="14"/>
                <w:szCs w:val="14"/>
                <w:b w:val="1"/>
                <w:bCs w:val="1"/>
                <w:color w:val="auto"/>
                <w:w w:val="97"/>
              </w:rPr>
              <w:t>(In thousands)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52,882</w:t>
            </w:r>
          </w:p>
        </w:tc>
        <w:tc>
          <w:tcPr>
            <w:tcW w:w="62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41,559</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leased assets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on lease liabilities</w:t>
            </w: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987</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finance lease cost</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7,188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8,927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23"/>
        </w:trPr>
        <w:tc>
          <w:tcPr>
            <w:tcW w:w="7860" w:type="dxa"/>
            <w:vAlign w:val="bottom"/>
          </w:tcPr>
          <w:p>
            <w:pPr>
              <w:ind w:left="220"/>
              <w:spacing w:after="0"/>
              <w:rPr>
                <w:sz w:val="20"/>
                <w:szCs w:val="20"/>
                <w:color w:val="auto"/>
              </w:rPr>
            </w:pPr>
            <w:r>
              <w:rPr>
                <w:rFonts w:ascii="Arial" w:cs="Arial" w:eastAsia="Arial" w:hAnsi="Arial"/>
                <w:sz w:val="18"/>
                <w:szCs w:val="18"/>
                <w:color w:val="auto"/>
              </w:rPr>
              <w:t>Net lease cost</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72,884</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62,075</w:t>
            </w:r>
          </w:p>
        </w:tc>
        <w:tc>
          <w:tcPr>
            <w:tcW w:w="0" w:type="dxa"/>
            <w:vAlign w:val="bottom"/>
          </w:tcPr>
          <w:p>
            <w:pPr>
              <w:spacing w:after="0"/>
              <w:rPr>
                <w:sz w:val="1"/>
                <w:szCs w:val="1"/>
                <w:color w:val="auto"/>
              </w:rPr>
            </w:pPr>
          </w:p>
        </w:tc>
      </w:tr>
      <w:tr>
        <w:trPr>
          <w:trHeight w:val="21"/>
        </w:trPr>
        <w:tc>
          <w:tcPr>
            <w:tcW w:w="7860" w:type="dxa"/>
            <w:vAlign w:val="bottom"/>
            <w:vMerge w:val="restart"/>
          </w:tcPr>
          <w:p>
            <w:pPr>
              <w:spacing w:after="0"/>
              <w:rPr>
                <w:sz w:val="20"/>
                <w:szCs w:val="20"/>
                <w:color w:val="auto"/>
              </w:rPr>
            </w:pPr>
            <w:r>
              <w:rPr>
                <w:rFonts w:ascii="Arial" w:cs="Arial" w:eastAsia="Arial" w:hAnsi="Arial"/>
                <w:sz w:val="18"/>
                <w:szCs w:val="18"/>
                <w:color w:val="auto"/>
              </w:rPr>
              <w:t>Rent expense was $43.6 million for the year ended December 31, 2018.</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60" w:type="dxa"/>
            <w:vAlign w:val="bottom"/>
          </w:tcPr>
          <w:p>
            <w:pPr>
              <w:spacing w:after="0"/>
              <w:rPr>
                <w:sz w:val="20"/>
                <w:szCs w:val="20"/>
                <w:color w:val="auto"/>
              </w:rPr>
            </w:pPr>
            <w:r>
              <w:rPr>
                <w:rFonts w:ascii="Arial" w:cs="Arial" w:eastAsia="Arial" w:hAnsi="Arial"/>
                <w:sz w:val="18"/>
                <w:szCs w:val="18"/>
                <w:color w:val="auto"/>
              </w:rPr>
              <w:t>Other information related to leases was as follows: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552"/>
              <w:spacing w:after="0"/>
              <w:rPr>
                <w:sz w:val="20"/>
                <w:szCs w:val="20"/>
                <w:color w:val="auto"/>
              </w:rPr>
            </w:pPr>
            <w:r>
              <w:rPr>
                <w:rFonts w:ascii="Arial" w:cs="Arial" w:eastAsia="Arial" w:hAnsi="Arial"/>
                <w:sz w:val="14"/>
                <w:szCs w:val="14"/>
                <w:b w:val="1"/>
                <w:bCs w:val="1"/>
                <w:color w:val="auto"/>
                <w:w w:val="98"/>
              </w:rPr>
              <w:t>For the Year Ended December 31,</w:t>
            </w:r>
          </w:p>
        </w:tc>
        <w:tc>
          <w:tcPr>
            <w:tcW w:w="0" w:type="dxa"/>
            <w:vAlign w:val="bottom"/>
          </w:tcPr>
          <w:p>
            <w:pPr>
              <w:spacing w:after="0"/>
              <w:rPr>
                <w:sz w:val="1"/>
                <w:szCs w:val="1"/>
                <w:color w:val="auto"/>
              </w:rPr>
            </w:pPr>
          </w:p>
        </w:tc>
      </w:tr>
      <w:tr>
        <w:trPr>
          <w:trHeight w:val="187"/>
        </w:trPr>
        <w:tc>
          <w:tcPr>
            <w:tcW w:w="78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Flows Information (in thousands)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for operating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53,323</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39,870</w:t>
            </w: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Operating cash flows for finance leases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cash flows for finance leases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9,851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(years)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Arial" w:cs="Arial" w:eastAsia="Arial" w:hAnsi="Arial"/>
                <w:sz w:val="18"/>
                <w:szCs w:val="18"/>
                <w:color w:val="auto"/>
                <w:w w:val="87"/>
              </w:rPr>
              <w:t>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7"/>
              </w:rPr>
              <w:t>3.1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 2020</w:t>
            </w:r>
          </w:p>
        </w:tc>
        <w:tc>
          <w:tcPr>
            <w:tcW w:w="1840" w:type="dxa"/>
            <w:vAlign w:val="bottom"/>
            <w:tcBorders>
              <w:bottom w:val="single" w:sz="8" w:color="auto"/>
            </w:tcBorders>
          </w:tcPr>
          <w:p>
            <w:pPr>
              <w:spacing w:after="0"/>
              <w:rPr>
                <w:sz w:val="16"/>
                <w:szCs w:val="16"/>
                <w:color w:val="auto"/>
              </w:rPr>
            </w:pPr>
          </w:p>
        </w:tc>
      </w:tr>
      <w:tr>
        <w:trPr>
          <w:trHeight w:val="187"/>
        </w:trPr>
        <w:tc>
          <w:tcPr>
            <w:tcW w:w="612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w w:val="99"/>
              </w:rPr>
              <w:t>Finance Leases</w:t>
            </w:r>
          </w:p>
        </w:tc>
      </w:tr>
      <w:tr>
        <w:trPr>
          <w:trHeight w:val="183"/>
        </w:trPr>
        <w:tc>
          <w:tcPr>
            <w:tcW w:w="6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8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Pr>
          <w:p>
            <w:pPr>
              <w:spacing w:after="0"/>
              <w:rPr>
                <w:sz w:val="15"/>
                <w:szCs w:val="15"/>
                <w:color w:val="auto"/>
              </w:rPr>
            </w:pPr>
          </w:p>
        </w:tc>
      </w:tr>
      <w:tr>
        <w:trPr>
          <w:trHeight w:val="231"/>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0" w:type="dxa"/>
            <w:vAlign w:val="bottom"/>
            <w:shd w:val="clear" w:color="auto" w:fill="CCEEFF"/>
          </w:tcPr>
          <w:p>
            <w:pPr>
              <w:jc w:val="right"/>
              <w:ind w:right="15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55,196</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13,409</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2022</w:t>
            </w:r>
          </w:p>
        </w:tc>
        <w:tc>
          <w:tcPr>
            <w:tcW w:w="18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36,850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6,395</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19,974</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2024</w:t>
            </w:r>
          </w:p>
        </w:tc>
        <w:tc>
          <w:tcPr>
            <w:tcW w:w="18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10,213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1,063</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17,255</w:t>
            </w: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w:t>
            </w:r>
          </w:p>
        </w:tc>
      </w:tr>
      <w:tr>
        <w:trPr>
          <w:trHeight w:val="223"/>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future minimum lease payments</w:t>
            </w:r>
          </w:p>
        </w:tc>
        <w:tc>
          <w:tcPr>
            <w:tcW w:w="18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147,413</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27,687</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8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(13,245)</w:t>
            </w: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r>
      <w:tr>
        <w:trPr>
          <w:trHeight w:val="248"/>
        </w:trPr>
        <w:tc>
          <w:tcPr>
            <w:tcW w:w="6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15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134,168</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25,690</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have entered into additional lease agreements that have not yet commenced of approximately $8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7"/>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183"/>
        </w:trPr>
        <w:tc>
          <w:tcPr>
            <w:tcW w:w="8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benefits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143,383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115,693</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Short-term operating lease liability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40,972</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and customer advances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16,177</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11,661</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finance lease liability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9,121</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Accrued severance plan obligations (Note 12)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10,837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13,408</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11,638</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64,967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48,556</w:t>
            </w:r>
          </w:p>
        </w:tc>
      </w:tr>
      <w:tr>
        <w:trPr>
          <w:trHeight w:val="248"/>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267,226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and long-term debt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8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of Amkor Technology, Inc.:</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Senior notes: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6.625% Senior notes, due September 2027</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29"/>
        </w:trPr>
        <w:tc>
          <w:tcPr>
            <w:tcW w:w="8100" w:type="dxa"/>
            <w:vAlign w:val="bottom"/>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of subsidiaries: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Amkor Technology Korea, Inc.:</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$30 million revolving credit facility, applicable bank rate plus 1.11% (1)</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tcPr>
          <w:p>
            <w:pPr>
              <w:ind w:left="600"/>
              <w:spacing w:after="0"/>
              <w:rPr>
                <w:sz w:val="20"/>
                <w:szCs w:val="20"/>
                <w:color w:val="auto"/>
              </w:rPr>
            </w:pPr>
            <w:r>
              <w:rPr>
                <w:rFonts w:ascii="Arial" w:cs="Arial" w:eastAsia="Arial" w:hAnsi="Arial"/>
                <w:sz w:val="18"/>
                <w:szCs w:val="18"/>
                <w:color w:val="auto"/>
              </w:rPr>
              <w:t>Term loan, fund floating rate plus 1.60%, due June 2020</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Term loan, fixed rate at 1.80%, due May 2021 (2)</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00" w:type="dxa"/>
            <w:vAlign w:val="bottom"/>
          </w:tcPr>
          <w:p>
            <w:pPr>
              <w:ind w:left="600"/>
              <w:spacing w:after="0"/>
              <w:rPr>
                <w:sz w:val="20"/>
                <w:szCs w:val="20"/>
                <w:color w:val="auto"/>
              </w:rPr>
            </w:pPr>
            <w:r>
              <w:rPr>
                <w:rFonts w:ascii="Arial" w:cs="Arial" w:eastAsia="Arial" w:hAnsi="Arial"/>
                <w:sz w:val="18"/>
                <w:szCs w:val="18"/>
                <w:color w:val="auto"/>
              </w:rPr>
              <w:t>Term loan, applicable bank rate plus 2.03%, due July 2022</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Term loan, applicable bank rate plus 2.03%, due September 2022 (3)</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29"/>
        </w:trPr>
        <w:tc>
          <w:tcPr>
            <w:tcW w:w="8100" w:type="dxa"/>
            <w:vAlign w:val="bottom"/>
          </w:tcPr>
          <w:p>
            <w:pPr>
              <w:ind w:left="600"/>
              <w:spacing w:after="0"/>
              <w:rPr>
                <w:sz w:val="20"/>
                <w:szCs w:val="20"/>
                <w:color w:val="auto"/>
              </w:rPr>
            </w:pPr>
            <w:r>
              <w:rPr>
                <w:rFonts w:ascii="Arial" w:cs="Arial" w:eastAsia="Arial" w:hAnsi="Arial"/>
                <w:sz w:val="18"/>
                <w:szCs w:val="18"/>
                <w:color w:val="auto"/>
              </w:rPr>
              <w:t>Term loan, applicable bank rate plus 1.77%, due April 2023 (4)</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Term loan, LIBOR plus 2.56%, due December 2023</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9"/>
        </w:trPr>
        <w:tc>
          <w:tcPr>
            <w:tcW w:w="8100" w:type="dxa"/>
            <w:vAlign w:val="bottom"/>
          </w:tcPr>
          <w:p>
            <w:pPr>
              <w:ind w:left="600"/>
              <w:spacing w:after="0"/>
              <w:rPr>
                <w:sz w:val="20"/>
                <w:szCs w:val="20"/>
                <w:color w:val="auto"/>
              </w:rPr>
            </w:pPr>
            <w:r>
              <w:rPr>
                <w:rFonts w:ascii="Arial" w:cs="Arial" w:eastAsia="Arial" w:hAnsi="Arial"/>
                <w:sz w:val="18"/>
                <w:szCs w:val="18"/>
                <w:color w:val="auto"/>
              </w:rPr>
              <w:t>Term loan, applicable bank rate plus 1.98%, due December 2028 (5)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Amkor Technology Japan, Inc.: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600"/>
              <w:spacing w:after="0"/>
              <w:rPr>
                <w:sz w:val="20"/>
                <w:szCs w:val="20"/>
                <w:color w:val="auto"/>
              </w:rPr>
            </w:pPr>
            <w:r>
              <w:rPr>
                <w:rFonts w:ascii="Arial" w:cs="Arial" w:eastAsia="Arial" w:hAnsi="Arial"/>
                <w:sz w:val="18"/>
                <w:szCs w:val="18"/>
                <w:color w:val="auto"/>
              </w:rPr>
              <w:t>Short-term term loans, variable rate (6)</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Term loan, fixed rate at 0.86%, due June 2022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23,018</w:t>
            </w:r>
          </w:p>
        </w:tc>
        <w:tc>
          <w:tcPr>
            <w:tcW w:w="0" w:type="dxa"/>
            <w:vAlign w:val="bottom"/>
          </w:tcPr>
          <w:p>
            <w:pPr>
              <w:spacing w:after="0"/>
              <w:rPr>
                <w:sz w:val="1"/>
                <w:szCs w:val="1"/>
                <w:color w:val="auto"/>
              </w:rPr>
            </w:pPr>
          </w:p>
        </w:tc>
      </w:tr>
      <w:tr>
        <w:trPr>
          <w:trHeight w:val="230"/>
        </w:trPr>
        <w:tc>
          <w:tcPr>
            <w:tcW w:w="8100" w:type="dxa"/>
            <w:vAlign w:val="bottom"/>
          </w:tcPr>
          <w:p>
            <w:pPr>
              <w:ind w:left="600"/>
              <w:spacing w:after="0"/>
              <w:rPr>
                <w:sz w:val="20"/>
                <w:szCs w:val="20"/>
                <w:color w:val="auto"/>
              </w:rPr>
            </w:pPr>
            <w:r>
              <w:rPr>
                <w:rFonts w:ascii="Arial" w:cs="Arial" w:eastAsia="Arial" w:hAnsi="Arial"/>
                <w:sz w:val="18"/>
                <w:szCs w:val="18"/>
                <w:color w:val="auto"/>
              </w:rPr>
              <w:t>Term loan, fixed rate at 0.60%, due July 2022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Term loan, fixed rate at 1.30%, due July 2023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179,541</w:t>
            </w:r>
          </w:p>
        </w:tc>
        <w:tc>
          <w:tcPr>
            <w:tcW w:w="0" w:type="dxa"/>
            <w:vAlign w:val="bottom"/>
          </w:tcPr>
          <w:p>
            <w:pPr>
              <w:spacing w:after="0"/>
              <w:rPr>
                <w:sz w:val="1"/>
                <w:szCs w:val="1"/>
                <w:color w:val="auto"/>
              </w:rPr>
            </w:pPr>
          </w:p>
        </w:tc>
      </w:tr>
      <w:tr>
        <w:trPr>
          <w:trHeight w:val="230"/>
        </w:trPr>
        <w:tc>
          <w:tcPr>
            <w:tcW w:w="8100" w:type="dxa"/>
            <w:vAlign w:val="bottom"/>
          </w:tcPr>
          <w:p>
            <w:pPr>
              <w:ind w:left="600"/>
              <w:spacing w:after="0"/>
              <w:rPr>
                <w:sz w:val="20"/>
                <w:szCs w:val="20"/>
                <w:color w:val="auto"/>
              </w:rPr>
            </w:pPr>
            <w:r>
              <w:rPr>
                <w:rFonts w:ascii="Arial" w:cs="Arial" w:eastAsia="Arial" w:hAnsi="Arial"/>
                <w:sz w:val="18"/>
                <w:szCs w:val="18"/>
                <w:color w:val="auto"/>
              </w:rPr>
              <w:t>Term loan, fixed rate at 1.35%, due December 2024</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220,823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262,407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Term loan, fixed rate at 1.20%, due December 2025 (7)</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Amkor Assembly &amp; Test (Shanghai) Co., Ltd.:</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Term loan, LIBOR plus 1.60%, due March 2022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30"/>
        </w:trPr>
        <w:tc>
          <w:tcPr>
            <w:tcW w:w="8100" w:type="dxa"/>
            <w:vAlign w:val="bottom"/>
          </w:tcPr>
          <w:p>
            <w:pPr>
              <w:ind w:left="600"/>
              <w:spacing w:after="0"/>
              <w:rPr>
                <w:sz w:val="20"/>
                <w:szCs w:val="20"/>
                <w:color w:val="auto"/>
              </w:rPr>
            </w:pPr>
            <w:r>
              <w:rPr>
                <w:rFonts w:ascii="Arial" w:cs="Arial" w:eastAsia="Arial" w:hAnsi="Arial"/>
                <w:sz w:val="18"/>
                <w:szCs w:val="18"/>
                <w:color w:val="auto"/>
              </w:rPr>
              <w:t>Term loan, LIBOR Plus 1.40%, due March 2022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19,250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00" w:type="dxa"/>
            <w:vAlign w:val="bottom"/>
          </w:tcPr>
          <w:p>
            <w:pPr>
              <w:ind w:left="600"/>
              <w:spacing w:after="0" w:line="176" w:lineRule="exact"/>
              <w:rPr>
                <w:sz w:val="20"/>
                <w:szCs w:val="20"/>
                <w:color w:val="auto"/>
              </w:rPr>
            </w:pPr>
            <w:r>
              <w:rPr>
                <w:rFonts w:ascii="Arial" w:cs="Arial" w:eastAsia="Arial" w:hAnsi="Arial"/>
                <w:sz w:val="18"/>
                <w:szCs w:val="18"/>
                <w:color w:val="auto"/>
              </w:rPr>
              <w:t>$250 million senior secured revolving credit facility, LIBOR plus 1.25%-1.75%, due July 2023</w:t>
            </w:r>
          </w:p>
        </w:tc>
        <w:tc>
          <w:tcPr>
            <w:tcW w:w="36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tcPr>
          <w:p>
            <w:pPr>
              <w:ind w:left="600"/>
              <w:spacing w:after="0"/>
              <w:rPr>
                <w:sz w:val="20"/>
                <w:szCs w:val="20"/>
                <w:color w:val="auto"/>
              </w:rPr>
            </w:pPr>
            <w:r>
              <w:rPr>
                <w:rFonts w:ascii="Arial" w:cs="Arial" w:eastAsia="Arial" w:hAnsi="Arial"/>
                <w:sz w:val="18"/>
                <w:szCs w:val="18"/>
                <w:color w:val="auto"/>
              </w:rPr>
              <w:t>(Singapore) (8)</w:t>
            </w:r>
          </w:p>
        </w:tc>
        <w:tc>
          <w:tcPr>
            <w:tcW w:w="3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Credit facility, TAIFX plus the applicable bank rate, due December 2024 (Taiwan) (9)</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1,164,302</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1,460,351</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discount and deferred debt costs,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Short-term borrowings and current portion of long-term debt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(149,007)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(144,479)</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1,005,339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1,305,755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hanging="5"/>
        <w:spacing w:after="0" w:line="263" w:lineRule="auto"/>
        <w:rPr>
          <w:sz w:val="20"/>
          <w:szCs w:val="20"/>
          <w:color w:val="auto"/>
        </w:rPr>
      </w:pPr>
      <w:r>
        <w:rPr>
          <w:rFonts w:ascii="Arial" w:cs="Arial" w:eastAsia="Arial" w:hAnsi="Arial"/>
          <w:sz w:val="18"/>
          <w:szCs w:val="18"/>
          <w:color w:val="auto"/>
        </w:rPr>
        <w:t>In October 2020, we renewed this revolving credit facility agreement for a one-year term with availability of $30.0 million. Principal is payable at maturity, six months after draw of funds, and interest is payable monthly in arrears. During the year ended December 31, 2020, we borrowed $60.0 million and repaid the full $60.0 million. As of December 31, 2020, $30.0 million was available to be 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hanging="5"/>
        <w:spacing w:after="0" w:line="318" w:lineRule="auto"/>
        <w:rPr>
          <w:sz w:val="20"/>
          <w:szCs w:val="20"/>
          <w:color w:val="auto"/>
        </w:rPr>
      </w:pPr>
      <w:r>
        <w:rPr>
          <w:rFonts w:ascii="Arial" w:cs="Arial" w:eastAsia="Arial" w:hAnsi="Arial"/>
          <w:sz w:val="17"/>
          <w:szCs w:val="17"/>
          <w:color w:val="auto"/>
        </w:rPr>
        <w:t>In May 2020, we entered into a KRW ₩60 billion term loan agreement with the option to re-borrow the funds through May 2021. Principal is payable at maturity and interest is payable monthly in arrears, at a fixed rate of 1.80%. During the year ended December 31, 2020, we borrowed and repaid ₩60 billion ($48.4 million). As of December 31, 2020, ₩60 billion, or approximately $55 million, was available to be drawn.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In July 2019, we entered into a $140.0 million term loan due September 2022. Principal is payable at maturity, and interest is payable quarterly in arrears.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2020, we borrowed $80.0 million available under this loan and repaid the full $140.0 million.</w:t>
      </w:r>
    </w:p>
    <w:p>
      <w:pPr>
        <w:spacing w:after="0" w:line="124" w:lineRule="exact"/>
        <w:rPr>
          <w:sz w:val="20"/>
          <w:szCs w:val="20"/>
          <w:color w:val="auto"/>
        </w:rPr>
      </w:pPr>
    </w:p>
    <w:p>
      <w:pPr>
        <w:jc w:val="both"/>
        <w:ind w:hanging="5"/>
        <w:spacing w:after="0" w:line="338" w:lineRule="auto"/>
        <w:rPr>
          <w:sz w:val="20"/>
          <w:szCs w:val="20"/>
          <w:color w:val="auto"/>
        </w:rPr>
      </w:pPr>
      <w:r>
        <w:rPr>
          <w:rFonts w:ascii="Arial" w:cs="Arial" w:eastAsia="Arial" w:hAnsi="Arial"/>
          <w:sz w:val="18"/>
          <w:szCs w:val="18"/>
          <w:color w:val="auto"/>
        </w:rPr>
        <w:t>In April 2020, we borrowed KRW ₩150 billion (US$122.0 million) under a new term loan due April 2023. Principal is payable at maturity and interest is payable monthly in arrears. During the year ended December 31, 2020, we repaid KRW ₩94 billion ($86.0 million).</w:t>
      </w:r>
    </w:p>
    <w:p>
      <w:pPr>
        <w:spacing w:after="0" w:line="44" w:lineRule="exact"/>
        <w:rPr>
          <w:sz w:val="20"/>
          <w:szCs w:val="20"/>
          <w:color w:val="auto"/>
        </w:rPr>
      </w:pPr>
    </w:p>
    <w:p>
      <w:pPr>
        <w:jc w:val="both"/>
        <w:ind w:right="20" w:hanging="5"/>
        <w:spacing w:after="0" w:line="308" w:lineRule="auto"/>
        <w:rPr>
          <w:sz w:val="20"/>
          <w:szCs w:val="20"/>
          <w:color w:val="auto"/>
        </w:rPr>
      </w:pPr>
      <w:r>
        <w:rPr>
          <w:rFonts w:ascii="Arial" w:cs="Arial" w:eastAsia="Arial" w:hAnsi="Arial"/>
          <w:sz w:val="17"/>
          <w:szCs w:val="17"/>
          <w:color w:val="auto"/>
        </w:rPr>
        <w:t>In December 2018, we entered into a term loan agreement pursuant to which we may borrow up to $90.0 million for capital expenditures. Principal is payable in semiannual installments and interest is payable quarterly in arrears (fixed at a weighted average of 3.88% as of December 31, 2020).</w:t>
      </w:r>
    </w:p>
    <w:p>
      <w:pPr>
        <w:spacing w:after="0" w:line="92" w:lineRule="exact"/>
        <w:rPr>
          <w:sz w:val="20"/>
          <w:szCs w:val="20"/>
          <w:color w:val="auto"/>
        </w:rPr>
      </w:pPr>
    </w:p>
    <w:p>
      <w:pPr>
        <w:jc w:val="both"/>
        <w:ind w:hanging="5"/>
        <w:spacing w:after="0" w:line="277" w:lineRule="auto"/>
        <w:rPr>
          <w:sz w:val="20"/>
          <w:szCs w:val="20"/>
          <w:color w:val="auto"/>
        </w:rPr>
      </w:pPr>
      <w:r>
        <w:rPr>
          <w:rFonts w:ascii="Arial" w:cs="Arial" w:eastAsia="Arial" w:hAnsi="Arial"/>
          <w:sz w:val="18"/>
          <w:szCs w:val="18"/>
          <w:color w:val="auto"/>
        </w:rPr>
        <w:t>We entered into various short-term term loans which mature semiannually. Principal and interest are payable in monthly installments. As of December 31, 2020, $4.8 million was available to be drawn.</w:t>
      </w:r>
    </w:p>
    <w:p>
      <w:pPr>
        <w:spacing w:after="0" w:line="116" w:lineRule="exact"/>
        <w:rPr>
          <w:sz w:val="20"/>
          <w:szCs w:val="20"/>
          <w:color w:val="auto"/>
        </w:rPr>
      </w:pPr>
    </w:p>
    <w:p>
      <w:pPr>
        <w:jc w:val="both"/>
        <w:ind w:hanging="5"/>
        <w:spacing w:after="0" w:line="263" w:lineRule="auto"/>
        <w:rPr>
          <w:sz w:val="20"/>
          <w:szCs w:val="20"/>
          <w:color w:val="auto"/>
        </w:rPr>
      </w:pPr>
      <w:r>
        <w:rPr>
          <w:rFonts w:ascii="Arial" w:cs="Arial" w:eastAsia="Arial" w:hAnsi="Arial"/>
          <w:sz w:val="18"/>
          <w:szCs w:val="18"/>
          <w:color w:val="auto"/>
        </w:rPr>
        <w:t>In December 2020, we borrowed ¥10.9 billion (US$105.0 million) under a new term loan agreement due December 2025, guaranteed by Amkor Technology, Inc. and our subsidiary, Amkor Technology Singapore Holding Pte, Ltd. Principal is due in 20 equal, quarterly installments plus accrued interest, through maturity.</w:t>
      </w:r>
    </w:p>
    <w:p>
      <w:pPr>
        <w:spacing w:after="0" w:line="130" w:lineRule="exact"/>
        <w:rPr>
          <w:sz w:val="20"/>
          <w:szCs w:val="20"/>
          <w:color w:val="auto"/>
        </w:rPr>
      </w:pPr>
    </w:p>
    <w:p>
      <w:pPr>
        <w:jc w:val="both"/>
        <w:ind w:hanging="5"/>
        <w:spacing w:after="0" w:line="259" w:lineRule="auto"/>
        <w:rPr>
          <w:sz w:val="20"/>
          <w:szCs w:val="20"/>
          <w:color w:val="auto"/>
        </w:rPr>
      </w:pPr>
      <w:r>
        <w:rPr>
          <w:rFonts w:ascii="Arial" w:cs="Arial" w:eastAsia="Arial" w:hAnsi="Arial"/>
          <w:sz w:val="18"/>
          <w:szCs w:val="18"/>
          <w:color w:val="auto"/>
        </w:rPr>
        <w:t>In July 2018, our subsidiary, Amkor Technology Singapore Holding Pte, Ltd., entered into a $250.0 million senior secured revolving credit facility, which is guaranteed by Amkor Technology, Inc. The availability for our revolving credit facility is based on the amount of eligible accounts receivable. Principal is payable at maturity. During the year ended December 31, 2020, we borrowed and repaid $150.0 million. As of December 31, 2020, $250.0 million was available to be drawn.</w:t>
      </w:r>
    </w:p>
    <w:p>
      <w:pPr>
        <w:spacing w:after="0" w:line="133" w:lineRule="exact"/>
        <w:rPr>
          <w:sz w:val="20"/>
          <w:szCs w:val="20"/>
          <w:color w:val="auto"/>
        </w:rPr>
      </w:pPr>
    </w:p>
    <w:p>
      <w:pPr>
        <w:jc w:val="both"/>
        <w:ind w:right="20" w:hanging="5"/>
        <w:spacing w:after="0" w:line="263" w:lineRule="auto"/>
        <w:rPr>
          <w:sz w:val="20"/>
          <w:szCs w:val="20"/>
          <w:color w:val="auto"/>
        </w:rPr>
      </w:pPr>
      <w:r>
        <w:rPr>
          <w:rFonts w:ascii="Arial" w:cs="Arial" w:eastAsia="Arial" w:hAnsi="Arial"/>
          <w:sz w:val="18"/>
          <w:szCs w:val="18"/>
          <w:color w:val="auto"/>
        </w:rPr>
        <w:t>In December 2019, we entered into a $56.0 million borrowing arrangement. This arrangement includes a $20.0 million term loan and a $36.0 million revolving credit facility. During the year ended December 31, 2020, we borrowed $72.0 million and repaid $92.0 million. As of December 31, 2020, $36.0 million was available to be drawn.</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foreign debt is collateralized by the land, buildings, equipment and accounts receivable in the respective locations. The carrying value of all collateral exceeds the carrying amount of the collateralized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is payable semiannually on our senior notes and quarterly or monthly on our other fixed- and variable-rate debt. Refer to the table above for the interest rates on our fixed-rate debt and to the table below for the interest rates on our variable-rate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60" w:type="dxa"/>
            <w:vAlign w:val="bottom"/>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r>
      <w:tr>
        <w:trPr>
          <w:trHeight w:val="231"/>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Amkor Technology Korea, Inc.:</w:t>
            </w:r>
          </w:p>
        </w:tc>
        <w:tc>
          <w:tcPr>
            <w:tcW w:w="9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Term loan, fund floating rate plus 1.60%, due June 2020</w:t>
            </w:r>
          </w:p>
        </w:tc>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3.90 %</w:t>
            </w:r>
          </w:p>
        </w:tc>
      </w:tr>
      <w:tr>
        <w:trPr>
          <w:trHeight w:val="229"/>
        </w:trPr>
        <w:tc>
          <w:tcPr>
            <w:tcW w:w="8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Term loan, applicable bank rate plus 1.77%, due April 2023</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2.40 %</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Term loan, LIBOR plus 2.56%, due December 2023</w:t>
            </w:r>
          </w:p>
        </w:tc>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4.49 %</w:t>
            </w:r>
          </w:p>
        </w:tc>
      </w:tr>
      <w:tr>
        <w:trPr>
          <w:trHeight w:val="230"/>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Amkor Technology Japan, Inc:</w:t>
            </w:r>
          </w:p>
        </w:tc>
        <w:tc>
          <w:tcPr>
            <w:tcW w:w="9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Short-term term loans, variable rate</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w w:val="99"/>
              </w:rPr>
              <w:t>0.27 %</w:t>
            </w:r>
          </w:p>
        </w:tc>
        <w:tc>
          <w:tcPr>
            <w:tcW w:w="1360" w:type="dxa"/>
            <w:vAlign w:val="bottom"/>
          </w:tcPr>
          <w:p>
            <w:pPr>
              <w:jc w:val="right"/>
              <w:spacing w:after="0"/>
              <w:rPr>
                <w:sz w:val="20"/>
                <w:szCs w:val="20"/>
                <w:color w:val="auto"/>
              </w:rPr>
            </w:pPr>
            <w:r>
              <w:rPr>
                <w:rFonts w:ascii="Arial" w:cs="Arial" w:eastAsia="Arial" w:hAnsi="Arial"/>
                <w:sz w:val="18"/>
                <w:szCs w:val="18"/>
                <w:color w:val="auto"/>
              </w:rPr>
              <w:t>0.22 %</w:t>
            </w:r>
          </w:p>
        </w:tc>
      </w:tr>
      <w:tr>
        <w:trPr>
          <w:trHeight w:val="229"/>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Amkor Assembly &amp; Test (Shanghai) Co., Ltd.:</w:t>
            </w:r>
          </w:p>
        </w:tc>
        <w:tc>
          <w:tcPr>
            <w:tcW w:w="9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Term loan, LIBOR plus 1.60%, due March 2022</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w w:val="99"/>
              </w:rPr>
              <w:t>1.83 %</w:t>
            </w:r>
          </w:p>
        </w:tc>
        <w:tc>
          <w:tcPr>
            <w:tcW w:w="1360" w:type="dxa"/>
            <w:vAlign w:val="bottom"/>
          </w:tcPr>
          <w:p>
            <w:pPr>
              <w:jc w:val="right"/>
              <w:spacing w:after="0"/>
              <w:rPr>
                <w:sz w:val="20"/>
                <w:szCs w:val="20"/>
                <w:color w:val="auto"/>
              </w:rPr>
            </w:pPr>
            <w:r>
              <w:rPr>
                <w:rFonts w:ascii="Arial" w:cs="Arial" w:eastAsia="Arial" w:hAnsi="Arial"/>
                <w:sz w:val="18"/>
                <w:szCs w:val="18"/>
                <w:color w:val="auto"/>
              </w:rPr>
              <w:t>3.53 %</w:t>
            </w:r>
          </w:p>
        </w:tc>
      </w:tr>
      <w:tr>
        <w:trPr>
          <w:trHeight w:val="229"/>
        </w:trPr>
        <w:tc>
          <w:tcPr>
            <w:tcW w:w="8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Term loan, LIBOR Plus 1.40%, due March 2022</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1.63 %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3.30 %</w:t>
            </w:r>
          </w:p>
        </w:tc>
      </w:tr>
      <w:tr>
        <w:trPr>
          <w:trHeight w:val="230"/>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Amkor Technology Taiwan Ltd.:</w:t>
            </w:r>
          </w:p>
        </w:tc>
        <w:tc>
          <w:tcPr>
            <w:tcW w:w="9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Revolving credit facility, TAIFX plus the applicable bank rate, due December 2024</w:t>
            </w:r>
          </w:p>
        </w:tc>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Debt Covenants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debt of Amkor Technology, Inc. is structurally subordinated in right of payment to all existing and future debt and other liabilities of our subsidiaries. From time to time, Amkor Technology, Inc. and Amkor Technology Singapore Holding Pte, Ltd. guarantee certain debt of our subsidiaries. The agreements governing our indebtedness contain affirmative and negative covenants which restrict our ability to pay dividends and could restrict our operations. These restrictions are determined in part by calculations based upon cumulative net income or, in the case of our Singapore Revolver, borrowing availability, and do not currently have a material impact on our ability to make dividend payments or stock repurchases.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debt covenants at December 31, 2020 and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 Debt</w:t>
            </w:r>
          </w:p>
        </w:tc>
      </w:tr>
      <w:tr>
        <w:trPr>
          <w:trHeight w:val="187"/>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(In thousands)</w:t>
            </w:r>
          </w:p>
        </w:tc>
      </w:tr>
      <w:tr>
        <w:trPr>
          <w:trHeight w:val="231"/>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due for the year ending December 31,</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149,007</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182,373</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170,776</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81,461</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27,400</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553,285</w:t>
            </w:r>
          </w:p>
        </w:tc>
      </w:tr>
      <w:tr>
        <w:trPr>
          <w:trHeight w:val="223"/>
        </w:trPr>
        <w:tc>
          <w:tcPr>
            <w:tcW w:w="972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1,164,302</w:t>
            </w:r>
          </w:p>
        </w:tc>
      </w:tr>
      <w:tr>
        <w:trPr>
          <w:trHeight w:val="21"/>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Severance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Korean Severance Plan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subsidiary in Korea maintains an unfunded severance plan that covers certain employees that were employed prior to August 1, 2015. To the extent eligible employees are terminated, our subsidiary in Korea would be required to make lump-sum severance payments on behalf of these eligible employees for service provided prior to August 1, 2015. Factors used to determine severance benefits include employees’ length of service, seniority and rate of pay. The employees’ length of service and seniority are fixed as of July 31, 2015. The employees’ rate of pay is adjusted to the rate of pay at the time of termination. Accrued severance benefits are estimated assuming all eligible employees were to terminate their employment at the balance sheet date. Our contributions to the National Pension Plan of the Republic of Korea are deducted from accrued severance benefit liabilities. On August 1, 2015, our subsidiary in Korea began sponsoring a defined benefit pension plan and a defined contribution plan. Existing employees at that time were given the option of choosing either a defined benefit pension plan or a defined contribution plan for their future benefits and new employees since that date are enrolled in a defined contribution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changes to the balance of our accrued severance plan obligations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673"/>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142,298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153,920</w:t>
            </w: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Provision of severance benefits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1,939</w:t>
            </w: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Severance payments (1)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w:t>
            </w:r>
          </w:p>
        </w:tc>
      </w:tr>
      <w:tr>
        <w:trPr>
          <w:trHeight w:val="230"/>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(gain) loss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142,298</w:t>
            </w:r>
          </w:p>
        </w:tc>
      </w:tr>
      <w:tr>
        <w:trPr>
          <w:trHeight w:val="230"/>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Payments remaining with the National Pension Fund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severance plan obligations at December 31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142,126</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accrued severance plan obligations (Note 10)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13,179</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 of accrued severance plan obligations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128,947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2020, some employees accepted our offer to convert their Korean severance plan participation to a defined contribution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subsidiaries in Japan, Korea, Malaysia, the Philippines and Taiwan sponsor defined benefit plans (the “Plans”). Charges to expense are based upon actuarial analyses. The following table summarizes the changes to the Plans’ benefit obligations, fair value of the Plans’ assets and the funded status of the Plans at December 31, 2020 and 2019: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For the Year Ended December 31,</w:t>
            </w:r>
          </w:p>
        </w:tc>
      </w:tr>
      <w:tr>
        <w:trPr>
          <w:trHeight w:val="187"/>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183"/>
        </w:trPr>
        <w:tc>
          <w:tcPr>
            <w:tcW w:w="8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projected benefit obligation:</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Projected benefit obligation at January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207,448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175,712</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31,355</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5,244</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(11,742)</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Actuarial (gain) loss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12,540</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Effects of curtailment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Settlement (1)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(5,310)</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(gain) loss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23"/>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Projected benefit obligation at December 31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222,509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207,448</w:t>
            </w: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plan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Fair value of plan assets at January 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145,158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123,370</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Actual gain (loss) on plan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12,221</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Employer contributions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27,134</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 (1)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Benefits paid</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(11,742)</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gain (loss)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23"/>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Fair value of plan assets at December 31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155,211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145,158</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 of the Plans at December 31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(62,290)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 2020, some employees accepted our offer to convert their defined benefit pension plan participation to a defined contribution plan.</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7"/>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83"/>
        </w:trPr>
        <w:tc>
          <w:tcPr>
            <w:tcW w:w="8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recognized in the Consolidated Balance Sheets consist of:</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Prepaid benefit cost (included in non-current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benefit liability (included in pension and severance obligations)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(72,154)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(62,788)</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Net amount recognized at year end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(62,290)</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as of December 31, 2020 and 2019 was $164.7 million and $154.7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by component, the change in accumulated other comprehensive income (loss), net of tax related to our Plans: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Prior Service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7"/>
              </w:rPr>
              <w:t>Actuarial Net Gain</w:t>
            </w:r>
          </w:p>
        </w:tc>
        <w:tc>
          <w:tcPr>
            <w:tcW w:w="300" w:type="dxa"/>
            <w:vAlign w:val="bottom"/>
          </w:tcPr>
          <w:p>
            <w:pPr>
              <w:spacing w:after="0"/>
              <w:rPr>
                <w:sz w:val="14"/>
                <w:szCs w:val="14"/>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(Loss)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3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right="301"/>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Amortization and settlement gain included in net periodic pension cost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gain (loss) arising during period</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860" w:type="dxa"/>
            <w:vAlign w:val="bottom"/>
            <w:gridSpan w:val="2"/>
          </w:tcPr>
          <w:p>
            <w:pPr>
              <w:ind w:left="260"/>
              <w:spacing w:after="0" w:line="156" w:lineRule="exact"/>
              <w:rPr>
                <w:sz w:val="20"/>
                <w:szCs w:val="20"/>
                <w:color w:val="auto"/>
              </w:rPr>
            </w:pPr>
            <w:r>
              <w:rPr>
                <w:rFonts w:ascii="Arial" w:cs="Arial" w:eastAsia="Arial" w:hAnsi="Arial"/>
                <w:sz w:val="18"/>
                <w:szCs w:val="18"/>
                <w:color w:val="auto"/>
                <w:w w:val="94"/>
              </w:rPr>
              <w:t>Adjustments to unrealized components of defined benefit pension plan included in other</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8"/>
                <w:szCs w:val="18"/>
                <w:color w:val="auto"/>
              </w:rPr>
              <w:t>(7,479)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(7,479)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comprehensive income (loss)</w:t>
            </w:r>
          </w:p>
        </w:tc>
        <w:tc>
          <w:tcPr>
            <w:tcW w:w="3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Amortization and settlement gain included in net periodic pension cost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gain (loss) arising during period</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860" w:type="dxa"/>
            <w:vAlign w:val="bottom"/>
            <w:gridSpan w:val="2"/>
          </w:tcPr>
          <w:p>
            <w:pPr>
              <w:ind w:left="260"/>
              <w:spacing w:after="0" w:line="156" w:lineRule="exact"/>
              <w:rPr>
                <w:sz w:val="20"/>
                <w:szCs w:val="20"/>
                <w:color w:val="auto"/>
              </w:rPr>
            </w:pPr>
            <w:r>
              <w:rPr>
                <w:rFonts w:ascii="Arial" w:cs="Arial" w:eastAsia="Arial" w:hAnsi="Arial"/>
                <w:sz w:val="18"/>
                <w:szCs w:val="18"/>
                <w:color w:val="auto"/>
                <w:w w:val="94"/>
              </w:rPr>
              <w:t>Adjustments to unrealized components of defined benefit pension plan included in other</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comprehensive income (loss)</w:t>
            </w:r>
          </w:p>
        </w:tc>
        <w:tc>
          <w:tcPr>
            <w:tcW w:w="3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center"/>
              <w:ind w:right="62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4"/>
              </w:rPr>
              <w:t>Information for pension plans with benefit obligations in excess of plan assets is as follows:</w:t>
            </w: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8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1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 with underfunded or non-funded projected benefit obligation:</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Aggregate projected benefit obligation</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140,424</w:t>
            </w:r>
          </w:p>
        </w:tc>
        <w:tc>
          <w:tcPr>
            <w:tcW w:w="1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197,377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Aggregate fair value of plan assets</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Plans with underfunded or non-funded accumulated benefit obligation:</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Aggregate accumulated benefit obligation</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Aggregate fair value of plan assets</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6480" w:type="dxa"/>
            <w:vAlign w:val="bottom"/>
          </w:tcPr>
          <w:p>
            <w:pPr>
              <w:spacing w:after="0"/>
              <w:rPr>
                <w:sz w:val="20"/>
                <w:szCs w:val="20"/>
                <w:color w:val="auto"/>
              </w:rPr>
            </w:pPr>
            <w:r>
              <w:rPr>
                <w:rFonts w:ascii="Arial" w:cs="Arial" w:eastAsia="Arial" w:hAnsi="Arial"/>
                <w:sz w:val="18"/>
                <w:szCs w:val="18"/>
                <w:color w:val="auto"/>
              </w:rPr>
              <w:t>The following table summarizes total pension expense:</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0"/>
          </w:tcPr>
          <w:p>
            <w:pPr>
              <w:jc w:val="center"/>
              <w:ind w:left="521"/>
              <w:spacing w:after="0"/>
              <w:rPr>
                <w:sz w:val="20"/>
                <w:szCs w:val="20"/>
                <w:color w:val="auto"/>
              </w:rPr>
            </w:pPr>
            <w:r>
              <w:rPr>
                <w:rFonts w:ascii="Arial" w:cs="Arial" w:eastAsia="Arial" w:hAnsi="Arial"/>
                <w:sz w:val="14"/>
                <w:szCs w:val="14"/>
                <w:b w:val="1"/>
                <w:bCs w:val="1"/>
                <w:color w:val="auto"/>
                <w:w w:val="93"/>
              </w:rPr>
              <w:t>For the Year Ended December 31,</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1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pension cost and total pension expense:</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29,848</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31,355</w:t>
            </w:r>
          </w:p>
        </w:tc>
        <w:tc>
          <w:tcPr>
            <w:tcW w:w="1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4,980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(gain) loss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periodic pension cost</w:t>
            </w: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29,378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Settlement (gain) loss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pension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29,440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are included in other (income) expense, net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weighted-average assumptions used in computing the net periodic pension cost and projected benefit obligations:</w:t>
      </w:r>
    </w:p>
    <w:p>
      <w:pPr>
        <w:spacing w:after="0" w:line="159"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0" w:type="dxa"/>
            <w:vAlign w:val="bottom"/>
          </w:tcPr>
          <w:p>
            <w:pPr>
              <w:spacing w:after="0"/>
              <w:rPr>
                <w:sz w:val="16"/>
                <w:szCs w:val="16"/>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7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 for determining net periodic pension cost</w:t>
            </w:r>
          </w:p>
        </w:tc>
        <w:tc>
          <w:tcPr>
            <w:tcW w:w="10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0"/>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Discount rate for determining benefit obligations at December 31</w:t>
            </w:r>
          </w:p>
        </w:tc>
        <w:tc>
          <w:tcPr>
            <w:tcW w:w="56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175"/>
        </w:trPr>
        <w:tc>
          <w:tcPr>
            <w:tcW w:w="72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Rate of compensation increase for determining net periodic</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pension cost</w:t>
            </w: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Rate of compensation increase for determining benefit obligations</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0"/>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at December 31</w:t>
            </w: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Expected rate of return on plan assets for determining net periodic</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pension cost</w:t>
            </w: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measurement date for determining the Plans’ assets and benefit obligations is December 31, each year. Discount rates are generally derived from yield curves constructed from high-quality corporate or foreign government bonds, for which the timing and amount of cash outflows approximate the estimated payouts.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expected rate of return assumption is based on weighted-average expected returns for each asset class. Expected returns reflect a combination of historical performance analysis and the forward-looking views of the financial markets and include input from our actuaries. We have no control over the direction of our investments in our defined benefit plans in Taiwan as the local Labor Standards Law Fund mandates such contributions into a cash account balance at the Bank of Taiwan. Our defined benefit pension plan in Malaysia is a non-funded plan, and as such, no asset exists related to this plan. Our investment strategies for our defined benefit plans in Japan, Korea and the Philippines, are based on long-term, sustained asset growth through low to medium risk investments. The current rate of return assumption targets are based on asset allocation strategies as follows:</w:t>
      </w:r>
    </w:p>
    <w:p>
      <w:pPr>
        <w:spacing w:after="0" w:line="61"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Allocation</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6680" w:type="dxa"/>
            <w:vAlign w:val="bottom"/>
          </w:tcPr>
          <w:p>
            <w:pPr>
              <w:spacing w:after="0"/>
              <w:rPr>
                <w:sz w:val="16"/>
                <w:szCs w:val="16"/>
                <w:color w:val="auto"/>
              </w:rPr>
            </w:pPr>
          </w:p>
        </w:tc>
        <w:tc>
          <w:tcPr>
            <w:tcW w:w="960" w:type="dxa"/>
            <w:vAlign w:val="bottom"/>
            <w:tcBorders>
              <w:top w:val="single" w:sz="8" w:color="auto"/>
            </w:tcBorders>
          </w:tcPr>
          <w:p>
            <w:pPr>
              <w:ind w:left="580"/>
              <w:spacing w:after="0"/>
              <w:rPr>
                <w:sz w:val="20"/>
                <w:szCs w:val="20"/>
                <w:color w:val="auto"/>
              </w:rPr>
            </w:pPr>
            <w:r>
              <w:rPr>
                <w:rFonts w:ascii="Arial" w:cs="Arial" w:eastAsia="Arial" w:hAnsi="Arial"/>
                <w:sz w:val="14"/>
                <w:szCs w:val="14"/>
                <w:b w:val="1"/>
                <w:bCs w:val="1"/>
                <w:color w:val="auto"/>
              </w:rPr>
              <w:t>Debt</w:t>
            </w: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Equity</w:t>
            </w:r>
          </w:p>
        </w:tc>
        <w:tc>
          <w:tcPr>
            <w:tcW w:w="14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Other</w:t>
            </w:r>
          </w:p>
        </w:tc>
      </w:tr>
      <w:tr>
        <w:trPr>
          <w:trHeight w:val="224"/>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 defined benefit plan</w:t>
            </w:r>
          </w:p>
        </w:tc>
        <w:tc>
          <w:tcPr>
            <w:tcW w:w="9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Korea defined benefit plan</w:t>
            </w:r>
          </w:p>
        </w:tc>
        <w:tc>
          <w:tcPr>
            <w:tcW w:w="48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Philippine defined benefit plan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pension plan assets, by asset category utilizing the fair value hierarchy as discussed in Note 16,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 2019 (1)</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7"/>
        </w:trPr>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83"/>
        </w:trPr>
        <w:tc>
          <w:tcPr>
            <w:tcW w:w="3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1"/>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16,071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24,342</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160" w:type="dxa"/>
            <w:vAlign w:val="bottom"/>
          </w:tcPr>
          <w:p>
            <w:pPr>
              <w:ind w:left="220"/>
              <w:spacing w:after="0"/>
              <w:rPr>
                <w:sz w:val="20"/>
                <w:szCs w:val="20"/>
                <w:color w:val="auto"/>
              </w:rPr>
            </w:pPr>
            <w:r>
              <w:rPr>
                <w:rFonts w:ascii="Arial" w:cs="Arial" w:eastAsia="Arial" w:hAnsi="Arial"/>
                <w:sz w:val="18"/>
                <w:szCs w:val="18"/>
                <w:color w:val="auto"/>
              </w:rPr>
              <w:t>Government bonds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3,106</w:t>
            </w:r>
          </w:p>
        </w:tc>
      </w:tr>
      <w:tr>
        <w:trPr>
          <w:trHeight w:val="229"/>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notes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Mutual and commingled funds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funds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37,703</w:t>
            </w: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rPr>
              <w:t>Debt funds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30,988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26,680</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Guaranteed investment contracts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33,931</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Taiwan retirement fund</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12,748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11,359</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Total fair value of pension plan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94,972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60,239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155,211</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88,199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145,158</w:t>
            </w:r>
          </w:p>
        </w:tc>
      </w:tr>
      <w:tr>
        <w:trPr>
          <w:trHeight w:val="21"/>
        </w:trPr>
        <w:tc>
          <w:tcPr>
            <w:tcW w:w="3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right="20" w:hanging="328"/>
        <w:spacing w:after="0" w:line="277"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current year, plan assets were categorized at the fund level rather than the underlying individual investment of the fund. Prior year amounts were reclassified to conform to current year presentation.</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Taiwan retirement fund category of our plan assets represents accounts that our subsidiaries in Taiwan have in a government labor retirement fund in the custody of the Bank of Taiwan. The accounts earn a minimum guaranteed rate of return and are invested in a mix of cash, domestic and foreign equity securities and domestic and foreign debt securities.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make contributions of approximately $23 million during 2021. We closely monitor the funded status of the Plans with respect to legislative requirements. We intend to make at least the minimum contribution required by law each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related to our foreign defined benefit plans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Payments</w:t>
            </w:r>
          </w:p>
        </w:tc>
      </w:tr>
      <w:tr>
        <w:trPr>
          <w:trHeight w:val="187"/>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(In thousands)</w:t>
            </w:r>
          </w:p>
        </w:tc>
      </w:tr>
      <w:tr>
        <w:trPr>
          <w:trHeight w:val="231"/>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13,482</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11,299</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14,894</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18,252</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2026 to 2030</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125,576</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sponsor defined contribution plans in Korea, Malaysia, Taiwan and the U.S. Total defined contribution expense was $16.5 million, $13.6 million and $12.2 million for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Dividends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2020, we announced that our Board of Directors approved the initiation of a regular quarterly cash dividend on our common stock. The first quarterly dividend of $0.04 per share, representing an initial dividend payment of $9.7 million in the aggregate, was paid on January 7, 2021 to stockholders of record as of December 18,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changes in accumulated other comprehensive income (loss), net of tax:</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Unrealized Gain</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6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(Losses) on Available-</w:t>
            </w:r>
          </w:p>
        </w:tc>
        <w:tc>
          <w:tcPr>
            <w:tcW w:w="200" w:type="dxa"/>
            <w:vAlign w:val="bottom"/>
          </w:tcPr>
          <w:p>
            <w:pPr>
              <w:spacing w:after="0"/>
              <w:rPr>
                <w:sz w:val="11"/>
                <w:szCs w:val="11"/>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11"/>
                <w:szCs w:val="11"/>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for-Sale Debt</w:t>
            </w:r>
          </w:p>
        </w:tc>
        <w:tc>
          <w:tcPr>
            <w:tcW w:w="2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Investments (1)</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Pension (2)</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Balance at December 31,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23,812</w:t>
            </w: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5"/>
              </w:rPr>
              <w:t>Amounts reclassified from accumulated other comprehensive</w:t>
            </w:r>
          </w:p>
        </w:tc>
        <w:tc>
          <w:tcPr>
            <w:tcW w:w="18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Balance at December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w:t>
            </w: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7,943</w:t>
            </w: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5"/>
              </w:rPr>
              <w:t>Amounts reclassified from accumulated other comprehensive</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7,532</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40" w:hanging="308"/>
        <w:spacing w:after="0"/>
        <w:tabs>
          <w:tab w:leader="none" w:pos="6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Amounts reclassified out of accumulated other comprehensive income (loss) are included as other (income) expense, net (Note 3).</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5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Amounts reclassified out of accumulated other comprehensive income (loss) are included as a component of net periodic pension cost (Note 12) or other (income) expense, net (Note 3).</w:t>
      </w:r>
    </w:p>
    <w:p>
      <w:pPr>
        <w:spacing w:after="0" w:line="193" w:lineRule="exact"/>
        <w:rPr>
          <w:rFonts w:ascii="Arial" w:cs="Arial" w:eastAsia="Arial" w:hAnsi="Arial"/>
          <w:sz w:val="18"/>
          <w:szCs w:val="18"/>
          <w:color w:val="auto"/>
        </w:rPr>
      </w:pPr>
    </w:p>
    <w:p>
      <w:pPr>
        <w:ind w:left="280" w:hanging="272"/>
        <w:spacing w:after="0"/>
        <w:tabs>
          <w:tab w:leader="none" w:pos="2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use foreign currency forward contracts to mitigate foreign currency risk of certain assets and monetary liabilities denominated in foreign currencies. We do not enter into such contracts for trading or speculative purposes. These derivative instruments are not designated as hedging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our foreign exchange forward contracts consisted of the following:</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Fair Value (Level</w:t>
            </w:r>
          </w:p>
        </w:tc>
        <w:tc>
          <w:tcPr>
            <w:tcW w:w="172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8"/>
              </w:rPr>
              <w:t>Balance Sheet Location</w:t>
            </w:r>
          </w:p>
        </w:tc>
        <w:tc>
          <w:tcPr>
            <w:tcW w:w="1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Fair Value (Level</w:t>
            </w:r>
          </w:p>
        </w:tc>
        <w:tc>
          <w:tcPr>
            <w:tcW w:w="176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Balance Sheet Location</w:t>
            </w:r>
          </w:p>
        </w:tc>
        <w:tc>
          <w:tcPr>
            <w:tcW w:w="0" w:type="dxa"/>
            <w:vAlign w:val="bottom"/>
          </w:tcPr>
          <w:p>
            <w:pPr>
              <w:spacing w:after="0"/>
              <w:rPr>
                <w:sz w:val="1"/>
                <w:szCs w:val="1"/>
                <w:color w:val="auto"/>
              </w:rPr>
            </w:pPr>
          </w:p>
        </w:tc>
      </w:tr>
      <w:tr>
        <w:trPr>
          <w:trHeight w:val="188"/>
        </w:trPr>
        <w:tc>
          <w:tcPr>
            <w:tcW w:w="2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w:t>
            </w: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w:t>
            </w: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20" w:type="dxa"/>
            <w:vAlign w:val="bottom"/>
            <w:gridSpan w:val="4"/>
          </w:tcPr>
          <w:p>
            <w:pPr>
              <w:ind w:left="130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7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Other 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Other current assets</w:t>
            </w:r>
          </w:p>
        </w:tc>
        <w:tc>
          <w:tcPr>
            <w:tcW w:w="0" w:type="dxa"/>
            <w:vAlign w:val="bottom"/>
          </w:tcPr>
          <w:p>
            <w:pPr>
              <w:spacing w:after="0"/>
              <w:rPr>
                <w:sz w:val="1"/>
                <w:szCs w:val="1"/>
                <w:color w:val="auto"/>
              </w:rPr>
            </w:pPr>
          </w:p>
        </w:tc>
      </w:tr>
      <w:tr>
        <w:trPr>
          <w:trHeight w:val="229"/>
        </w:trPr>
        <w:tc>
          <w:tcPr>
            <w:tcW w:w="2760" w:type="dxa"/>
            <w:vAlign w:val="bottom"/>
          </w:tcPr>
          <w:p>
            <w:pPr>
              <w:spacing w:after="0"/>
              <w:rPr>
                <w:sz w:val="20"/>
                <w:szCs w:val="20"/>
                <w:color w:val="auto"/>
              </w:rPr>
            </w:pPr>
            <w:r>
              <w:rPr>
                <w:rFonts w:ascii="Arial" w:cs="Arial" w:eastAsia="Arial" w:hAnsi="Arial"/>
                <w:sz w:val="18"/>
                <w:szCs w:val="18"/>
                <w:color w:val="auto"/>
              </w:rPr>
              <w:t>Korean Won</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161,612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1720" w:type="dxa"/>
            <w:vAlign w:val="bottom"/>
          </w:tcPr>
          <w:p>
            <w:pPr>
              <w:ind w:left="120"/>
              <w:spacing w:after="0"/>
              <w:rPr>
                <w:sz w:val="20"/>
                <w:szCs w:val="20"/>
                <w:color w:val="auto"/>
              </w:rPr>
            </w:pPr>
            <w:r>
              <w:rPr>
                <w:rFonts w:ascii="Arial" w:cs="Arial" w:eastAsia="Arial" w:hAnsi="Arial"/>
                <w:sz w:val="18"/>
                <w:szCs w:val="18"/>
                <w:color w:val="auto"/>
                <w:w w:val="96"/>
              </w:rPr>
              <w:t>Other current assets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1760" w:type="dxa"/>
            <w:vAlign w:val="bottom"/>
          </w:tcPr>
          <w:p>
            <w:pPr>
              <w:ind w:left="120"/>
              <w:spacing w:after="0"/>
              <w:rPr>
                <w:sz w:val="20"/>
                <w:szCs w:val="20"/>
                <w:color w:val="auto"/>
              </w:rPr>
            </w:pPr>
            <w:r>
              <w:rPr>
                <w:rFonts w:ascii="Arial" w:cs="Arial" w:eastAsia="Arial" w:hAnsi="Arial"/>
                <w:sz w:val="18"/>
                <w:szCs w:val="18"/>
                <w:color w:val="auto"/>
                <w:w w:val="99"/>
              </w:rPr>
              <w:t>Other current assets</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Philippine Peso</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760" w:type="dxa"/>
            <w:vAlign w:val="bottom"/>
          </w:tcPr>
          <w:p>
            <w:pPr>
              <w:ind w:left="120"/>
              <w:spacing w:after="0"/>
              <w:rPr>
                <w:sz w:val="20"/>
                <w:szCs w:val="20"/>
                <w:color w:val="auto"/>
              </w:rPr>
            </w:pPr>
            <w:r>
              <w:rPr>
                <w:rFonts w:ascii="Arial" w:cs="Arial" w:eastAsia="Arial" w:hAnsi="Arial"/>
                <w:sz w:val="18"/>
                <w:szCs w:val="18"/>
                <w:color w:val="auto"/>
              </w:rPr>
              <w:t>Total forward contracts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637,778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465,719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2020, 2019 and 2018, the derivatives resulted in a net gain of $35.9 million, $0.1 million and $2.5 million respectively, which were offset by the foreign currency losses associated with the underlying net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including money market funds (Note 6), we use inputs such as actual trade data, benchmark yields, broker/dealer quotes, and other similar data, obtained from quoted market prices and independent pricing vendors, to determine the fair value of these assets and liabilities.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cash equivalent money market funds and restricted cash money market funds. We also review goodwill for impairment annually during the fourth quarter of each year.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derivative financial instruments (Note 15) are valued using quoted market prices for similar assets. Counterparties to these derivative contracts are highly rated financial institutions.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measure certain assets and liabilities, including property, plant and equipment, operating lease right of use assets and goodwill,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measure the fair value of our debt for disclosure purposes. The following table presents the fair value of financial instruments that are not recorded at fair value on a recurring basis: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notes (Level 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Revolving credit facilities and term loans (Level 2)</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financial instruments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2020</w:t>
            </w:r>
          </w:p>
        </w:tc>
        <w:tc>
          <w:tcPr>
            <w:tcW w:w="5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897"/>
              <w:spacing w:after="0"/>
              <w:rPr>
                <w:sz w:val="20"/>
                <w:szCs w:val="20"/>
                <w:color w:val="auto"/>
              </w:rPr>
            </w:pPr>
            <w:r>
              <w:rPr>
                <w:rFonts w:ascii="Arial" w:cs="Arial" w:eastAsia="Arial" w:hAnsi="Arial"/>
                <w:sz w:val="14"/>
                <w:szCs w:val="14"/>
                <w:b w:val="1"/>
                <w:bCs w:val="1"/>
                <w:color w:val="auto"/>
              </w:rPr>
              <w:t>December 31, 2019</w:t>
            </w:r>
          </w:p>
        </w:tc>
      </w:tr>
      <w:tr>
        <w:trPr>
          <w:trHeight w:val="135"/>
        </w:trPr>
        <w:tc>
          <w:tcPr>
            <w:tcW w:w="360" w:type="dxa"/>
            <w:vAlign w:val="bottom"/>
          </w:tcPr>
          <w:p>
            <w:pPr>
              <w:spacing w:after="0"/>
              <w:rPr>
                <w:sz w:val="11"/>
                <w:szCs w:val="11"/>
                <w:color w:val="auto"/>
              </w:rPr>
            </w:pPr>
          </w:p>
        </w:tc>
        <w:tc>
          <w:tcPr>
            <w:tcW w:w="126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132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7"/>
              </w:rPr>
              <w:t>Carrying</w:t>
            </w:r>
          </w:p>
        </w:tc>
        <w:tc>
          <w:tcPr>
            <w:tcW w:w="500" w:type="dxa"/>
            <w:vAlign w:val="bottom"/>
          </w:tcPr>
          <w:p>
            <w:pPr>
              <w:spacing w:after="0"/>
              <w:rPr>
                <w:sz w:val="11"/>
                <w:szCs w:val="11"/>
                <w:color w:val="auto"/>
              </w:rPr>
            </w:pPr>
          </w:p>
        </w:tc>
        <w:tc>
          <w:tcPr>
            <w:tcW w:w="112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1220" w:type="dxa"/>
            <w:vAlign w:val="bottom"/>
          </w:tcPr>
          <w:p>
            <w:pPr>
              <w:jc w:val="right"/>
              <w:ind w:right="397"/>
              <w:spacing w:after="0" w:line="135" w:lineRule="exact"/>
              <w:rPr>
                <w:sz w:val="20"/>
                <w:szCs w:val="20"/>
                <w:color w:val="auto"/>
              </w:rPr>
            </w:pPr>
            <w:r>
              <w:rPr>
                <w:rFonts w:ascii="Arial" w:cs="Arial" w:eastAsia="Arial" w:hAnsi="Arial"/>
                <w:sz w:val="14"/>
                <w:szCs w:val="14"/>
                <w:b w:val="1"/>
                <w:bCs w:val="1"/>
                <w:color w:val="auto"/>
              </w:rPr>
              <w:t>Carrying</w:t>
            </w:r>
          </w:p>
        </w:tc>
      </w:tr>
      <w:tr>
        <w:trPr>
          <w:trHeight w:val="188"/>
        </w:trPr>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r>
      <w:tr>
        <w:trPr>
          <w:trHeight w:val="181"/>
        </w:trPr>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1"/>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570,339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519,803</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576,875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519,211</w:t>
            </w:r>
          </w:p>
        </w:tc>
      </w:tr>
      <w:tr>
        <w:trPr>
          <w:trHeight w:val="230"/>
        </w:trPr>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647,557</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634,543</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940,756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931,023</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1,217,896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1,154,346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1,517,631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1,450,234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-479425</wp:posOffset>
            </wp:positionV>
            <wp:extent cx="71323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-187960</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6380"/>
          </w:cols>
          <w:pgMar w:left="320" w:top="121" w:right="339" w:bottom="1440" w:gutter="0" w:footer="0" w:header="0"/>
          <w:type w:val="continuous"/>
        </w:sectPr>
      </w:pP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 based assumptions including forward interest rates adjusted for credit risk.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generally warrant that our services will be performed in a professional and workmanlike manner and in compliance with our customers’ specifications.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accrue costs for known warranty issues. Historically, our warranty costs have been immaterial.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Patent License Litigation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a January 2015 patent license litigation settlement, Amkor agreed to pay a total of $155.0 million in 16 equal quarterly recurring payments commencing in the first quarter of 2015 and continuing through the fourth quarter of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and 2019, we had no remaining liability under this settlement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provide packaging and test services, we purchase materials under various long-term supply contracts. Future minimum payments to be made under these contracts for the period 2021 through 2027 are $11.0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Segments, Customer Concentrations and Geographic Information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a single operating segment as managed by our Chief Executive Officer, who is considered our chief operating decision maker (“CODM”). The CODM bears the ultimate responsibility for, and is actively engaged in, the allocation of resources and the evaluation of our operating and financial results. We have concluded that we have a single operating segment based on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are managed under a functionally-based organizational structure with the head of each function reporting directly to the CODM;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assess performance, including incentive compensation, based on consolidated operating performance and financial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CODM allocates resources and makes other operating decisions based on specific customer business opportunities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an integrated process for the design, development and manufacturing services we provide to all of our customers. We also have centralized sales and administrative functions.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Net sales by product group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677"/>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Products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3,202,094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2,110,815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2,118,571</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Mainstream Products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1,848,495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1,941,835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2,197,895</w:t>
            </w:r>
          </w:p>
        </w:tc>
      </w:tr>
      <w:tr>
        <w:trPr>
          <w:trHeight w:val="248"/>
        </w:trPr>
        <w:tc>
          <w:tcPr>
            <w:tcW w:w="6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5,050,589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4,052,650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4,316,466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Advanced products include flip chip and wafer-level processing and related test services.</w:t>
      </w:r>
    </w:p>
    <w:p>
      <w:pPr>
        <w:spacing w:after="0" w:line="198" w:lineRule="exact"/>
        <w:rPr>
          <w:rFonts w:ascii="Arial" w:cs="Arial" w:eastAsia="Arial" w:hAnsi="Arial"/>
          <w:sz w:val="18"/>
          <w:szCs w:val="18"/>
          <w:color w:val="auto"/>
        </w:rPr>
      </w:pPr>
    </w:p>
    <w:p>
      <w:pPr>
        <w:ind w:left="640" w:hanging="308"/>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Mainstream products include wirebond packaging and related test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sales by end market consist of the following</w:t>
      </w:r>
      <w:r>
        <w:rPr>
          <w:rFonts w:ascii="Arial" w:cs="Arial" w:eastAsia="Arial" w:hAnsi="Arial"/>
          <w:sz w:val="18"/>
          <w:szCs w:val="18"/>
          <w:b w:val="1"/>
          <w:bCs w:val="1"/>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10"/>
          </w:tcPr>
          <w:p>
            <w:pPr>
              <w:jc w:val="right"/>
              <w:ind w:right="250"/>
              <w:spacing w:after="0"/>
              <w:rPr>
                <w:sz w:val="20"/>
                <w:szCs w:val="20"/>
                <w:color w:val="auto"/>
              </w:rPr>
            </w:pPr>
            <w:r>
              <w:rPr>
                <w:rFonts w:ascii="Arial" w:cs="Arial" w:eastAsia="Arial" w:hAnsi="Arial"/>
                <w:sz w:val="14"/>
                <w:szCs w:val="14"/>
                <w:b w:val="1"/>
                <w:bCs w:val="1"/>
                <w:color w:val="auto"/>
              </w:rPr>
              <w:t>For the Year Ended 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6"/>
        </w:trPr>
        <w:tc>
          <w:tcPr>
            <w:tcW w:w="6200" w:type="dxa"/>
            <w:vAlign w:val="bottom"/>
          </w:tcPr>
          <w:p>
            <w:pPr>
              <w:ind w:left="20"/>
              <w:spacing w:after="0"/>
              <w:rPr>
                <w:sz w:val="20"/>
                <w:szCs w:val="20"/>
                <w:color w:val="auto"/>
              </w:rPr>
            </w:pPr>
            <w:r>
              <w:rPr>
                <w:rFonts w:ascii="Arial" w:cs="Arial" w:eastAsia="Arial" w:hAnsi="Arial"/>
                <w:sz w:val="18"/>
                <w:szCs w:val="18"/>
                <w:color w:val="auto"/>
              </w:rPr>
              <w:t>Communications (handheld devices, smartphones, tablets)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Consumer (connected home, set-top boxes, televisions, visual imaging, wearables)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w w:val="95"/>
              </w:rPr>
              <w:t>Automotive, industrial and other (driver assist, infotainment, performance, safety)</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Computing (datacenter, infrastructure, PC/laptop, storage)</w:t>
            </w:r>
          </w:p>
        </w:tc>
        <w:tc>
          <w:tcPr>
            <w:tcW w:w="2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3"/>
        </w:trPr>
        <w:tc>
          <w:tcPr>
            <w:tcW w:w="6200" w:type="dxa"/>
            <w:vAlign w:val="bottom"/>
          </w:tcPr>
          <w:p>
            <w:pPr>
              <w:ind w:left="24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w w:val="90"/>
              </w:rPr>
              <w:t>Net sales by region based on customer headquarters location consist of the following:</w:t>
            </w: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6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9"/>
          </w:tcPr>
          <w:p>
            <w:pPr>
              <w:jc w:val="center"/>
              <w:ind w:right="110"/>
              <w:spacing w:after="0"/>
              <w:rPr>
                <w:sz w:val="20"/>
                <w:szCs w:val="20"/>
                <w:color w:val="auto"/>
              </w:rPr>
            </w:pPr>
            <w:r>
              <w:rPr>
                <w:rFonts w:ascii="Arial" w:cs="Arial" w:eastAsia="Arial" w:hAnsi="Arial"/>
                <w:sz w:val="14"/>
                <w:szCs w:val="14"/>
                <w:b w:val="1"/>
                <w:bCs w:val="1"/>
                <w:color w:val="auto"/>
                <w:w w:val="93"/>
              </w:rPr>
              <w:t>For the Year Ended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1,152,641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1,061,265</w:t>
            </w:r>
          </w:p>
        </w:tc>
        <w:tc>
          <w:tcPr>
            <w:tcW w:w="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1,156,797</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848,301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625,592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605,932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 (excluding Japan)</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672,563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487,406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535,894</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Arial" w:cs="Arial" w:eastAsia="Arial" w:hAnsi="Arial"/>
                <w:sz w:val="18"/>
                <w:szCs w:val="18"/>
                <w:color w:val="auto"/>
              </w:rPr>
              <w:t>Total foreign countries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2,673,505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2,174,263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2,298,623</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2,377,084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1,878,387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2,017,843</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Arial" w:cs="Arial" w:eastAsia="Arial" w:hAnsi="Arial"/>
                <w:sz w:val="18"/>
                <w:szCs w:val="18"/>
                <w:color w:val="auto"/>
              </w:rPr>
              <w:t>Total net sales</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5,050,589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4,052,650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4,316,466</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2020, one customer accounted for 14.5% of total net sales and another customer accounted for 10.2% of net sales in 2018. No single customer accounted for more than 10% of net sales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based on physical location,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7"/>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183"/>
        </w:trPr>
        <w:tc>
          <w:tcPr>
            <w:tcW w:w="8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397,849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419,749</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Japan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172,520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177,936</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1,179,966</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Malaysia</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41,030</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Philippines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215,941</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Portugal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69,458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63,975</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Taiwan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298,982</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foreign countries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r>
      <w:tr>
        <w:trPr>
          <w:trHeight w:val="223"/>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foreign countries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2,559,377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2,398,746</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6,104</w:t>
            </w:r>
          </w:p>
        </w:tc>
      </w:tr>
      <w:tr>
        <w:trPr>
          <w:trHeight w:val="248"/>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2,566,002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2,404,850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Restructuring and Other Exit Activities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our ongoing efforts to improve our manufacturing operations and manage costs, we regularly evaluate our staffing levels and facility requirements compared to business needs. The following table summarizes our exit activities associated with these efforts. “Charges” represents the initial charge related to the exit activity. “Cash Payments” consists of the utilization of “Charges.” “Non-cash Amounts” consists of translation adjustments.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 Consolidation Activities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 ended December 31, 2020, we recorded restructuring charges of $18.0 million associated with our Japan factory consolidation efforts. We recorded these charges to selling, general and administrative expenses within the Consolidated Statements of Income. All amounts accrued at December 31, 2020 are classified as current liabilities. We expect to complete these restructuring actions in the first half of fiscal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Facility Costs (1)</w:t>
            </w:r>
          </w:p>
        </w:tc>
        <w:tc>
          <w:tcPr>
            <w:tcW w:w="12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Employee Separation</w:t>
            </w:r>
          </w:p>
        </w:tc>
        <w:tc>
          <w:tcPr>
            <w:tcW w:w="14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Exit Costs (2)</w:t>
            </w:r>
          </w:p>
        </w:tc>
        <w:tc>
          <w:tcPr>
            <w:tcW w:w="380" w:type="dxa"/>
            <w:vAlign w:val="bottom"/>
          </w:tcPr>
          <w:p>
            <w:pPr>
              <w:spacing w:after="0"/>
              <w:rPr>
                <w:sz w:val="14"/>
                <w:szCs w:val="14"/>
                <w:color w:val="auto"/>
              </w:rPr>
            </w:pPr>
          </w:p>
        </w:tc>
        <w:tc>
          <w:tcPr>
            <w:tcW w:w="11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Costs</w:t>
            </w: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Accrual at December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Charges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18,006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(14,323)</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Non-cash amounts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Accrual at December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cumulative charges incurred to date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25,960</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Estimated additional charges to be incurred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Facility costs primarily consist of equipment relocation costs directly resulting from the restructuring actions.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exit costs primarily consist of employee relocation and training costs directly resulting from the restructuring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Quarterly Results (unaudited)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our consolidated unaudited financial data for the last eight quarters ended December 31, 2020. We believe that we have included all adjustments, consisting only of normal recurring adjustments necessary for a fair statement of our selected quarterly data. The calculation of basic and diluted per share amounts for each quarter is based on the weighted-average shares outstanding for that period; consequently, the sum of the quarters may not necessarily be equal to the full year basic and diluted net income per share.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3"/>
                <w:szCs w:val="13"/>
                <w:b w:val="1"/>
                <w:bCs w:val="1"/>
                <w:color w:val="auto"/>
                <w:w w:val="89"/>
              </w:rPr>
              <w:t>For the Quarter Ended</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70"/>
        </w:trPr>
        <w:tc>
          <w:tcPr>
            <w:tcW w:w="2500" w:type="dxa"/>
            <w:vAlign w:val="bottom"/>
          </w:tcPr>
          <w:p>
            <w:pPr>
              <w:spacing w:after="0"/>
              <w:rPr>
                <w:sz w:val="14"/>
                <w:szCs w:val="1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Dec 31, 2020 (a)</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Sept 30, 2020</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Jun 30, 2020</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Mar 31, 2020</w:t>
            </w:r>
          </w:p>
        </w:tc>
        <w:tc>
          <w:tcPr>
            <w:tcW w:w="11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Dec 31, 2019 (b)</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Sept 30, 2019</w:t>
            </w: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Jun 30, 2019 (c)</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Mar 31, 2019 (d)</w:t>
            </w:r>
          </w:p>
        </w:tc>
      </w:tr>
      <w:tr>
        <w:trPr>
          <w:trHeight w:val="169"/>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86"/>
              </w:rPr>
              <w:t>(In thousands, except per share data)</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5"/>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1,371,041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1,354,023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1,172,909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1,152,616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1,178,464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1,083,917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895,305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894,964</w:t>
            </w: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278,501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241,085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192,320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188,908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222,984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182,240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123,454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120,761</w:t>
            </w: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159,179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84,073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118,385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78,855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22,510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13,420</w:t>
            </w: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12,679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4,846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5,897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21,380</w:t>
            </w: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126,965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92,897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64,497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99,816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54,486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(22,668)</w:t>
            </w: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Net income (loss) attributable to Amkor</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126,674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92,151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55,424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63,889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99,147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54,070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(22,879)</w:t>
            </w:r>
          </w:p>
        </w:tc>
      </w:tr>
      <w:tr>
        <w:trPr>
          <w:trHeight w:val="138"/>
        </w:trPr>
        <w:tc>
          <w:tcPr>
            <w:tcW w:w="25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Net income (loss) attributable to Amkor</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89"/>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 common share: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9"/>
        </w:trPr>
        <w:tc>
          <w:tcPr>
            <w:tcW w:w="2500" w:type="dxa"/>
            <w:vAlign w:val="bottom"/>
          </w:tcPr>
          <w:p>
            <w:pPr>
              <w:ind w:left="14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0.52</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8"/>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line="277" w:lineRule="auto"/>
        <w:tabs>
          <w:tab w:leader="none" w:pos="33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fourth quarter of 2020, we recorded a $20.2 million discrete tax benefit from the recognition of deferred tax assets we expect to utilize in future years.</w:t>
      </w:r>
    </w:p>
    <w:p>
      <w:pPr>
        <w:spacing w:after="0" w:line="116"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fourth quarter of 2019, we recorded a $3.8 million discrete income tax benefit, primarily related to changes in the valuation of certain deferred tax assets.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second quarter of 2019, we incurred an $8.4 million charge related to the early redemption of our 2022 Notes.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the first quarter of 2019, we recorded a $14.9 million non-cash discrete income tax charge to reduce the value of certain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Balance at</w:t>
            </w:r>
          </w:p>
        </w:tc>
        <w:tc>
          <w:tcPr>
            <w:tcW w:w="154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Additions</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54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4"/>
              </w:rPr>
              <w:t>(Credited) Charged</w:t>
            </w:r>
          </w:p>
        </w:tc>
        <w:tc>
          <w:tcPr>
            <w:tcW w:w="12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Write-offs</w:t>
            </w:r>
          </w:p>
        </w:tc>
        <w:tc>
          <w:tcPr>
            <w:tcW w:w="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Period</w:t>
            </w:r>
          </w:p>
        </w:tc>
        <w:tc>
          <w:tcPr>
            <w:tcW w:w="15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to Expense</w:t>
            </w:r>
          </w:p>
        </w:tc>
        <w:tc>
          <w:tcPr>
            <w:tcW w:w="12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8"/>
              </w:rPr>
              <w:t>End of Period</w:t>
            </w:r>
          </w:p>
        </w:tc>
        <w:tc>
          <w:tcPr>
            <w:tcW w:w="0" w:type="dxa"/>
            <w:vAlign w:val="bottom"/>
          </w:tcPr>
          <w:p>
            <w:pPr>
              <w:spacing w:after="0"/>
              <w:rPr>
                <w:sz w:val="1"/>
                <w:szCs w:val="1"/>
                <w:color w:val="auto"/>
              </w:rPr>
            </w:pPr>
          </w:p>
        </w:tc>
      </w:tr>
      <w:tr>
        <w:trPr>
          <w:trHeight w:val="183"/>
        </w:trPr>
        <w:tc>
          <w:tcPr>
            <w:tcW w:w="5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20" w:type="dxa"/>
            <w:vAlign w:val="bottom"/>
            <w:gridSpan w:val="2"/>
          </w:tcPr>
          <w:p>
            <w:pPr>
              <w:jc w:val="right"/>
              <w:ind w:right="835"/>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 valuation allowance:</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Year ended at December 31, 2018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83,251</w:t>
            </w:r>
          </w:p>
        </w:tc>
        <w:tc>
          <w:tcPr>
            <w:tcW w:w="1540" w:type="dxa"/>
            <w:vAlign w:val="bottom"/>
          </w:tcPr>
          <w:p>
            <w:pPr>
              <w:jc w:val="center"/>
              <w:ind w:left="420"/>
              <w:spacing w:after="0"/>
              <w:rPr>
                <w:sz w:val="20"/>
                <w:szCs w:val="20"/>
                <w:color w:val="auto"/>
              </w:rPr>
            </w:pPr>
            <w:r>
              <w:rPr>
                <w:rFonts w:ascii="Arial" w:cs="Arial" w:eastAsia="Arial" w:hAnsi="Arial"/>
                <w:sz w:val="18"/>
                <w:szCs w:val="18"/>
                <w:color w:val="auto"/>
                <w:w w:val="87"/>
              </w:rPr>
              <w:t>54,421</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(19,112)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118,560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at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118,560</w:t>
            </w:r>
          </w:p>
        </w:tc>
        <w:tc>
          <w:tcPr>
            <w:tcW w:w="1540" w:type="dxa"/>
            <w:vAlign w:val="bottom"/>
            <w:shd w:val="clear" w:color="auto" w:fill="CCEEFF"/>
          </w:tcPr>
          <w:p>
            <w:pPr>
              <w:jc w:val="center"/>
              <w:ind w:left="420"/>
              <w:spacing w:after="0"/>
              <w:rPr>
                <w:sz w:val="20"/>
                <w:szCs w:val="20"/>
                <w:color w:val="auto"/>
              </w:rPr>
            </w:pPr>
            <w:r>
              <w:rPr>
                <w:rFonts w:ascii="Arial" w:cs="Arial" w:eastAsia="Arial" w:hAnsi="Arial"/>
                <w:sz w:val="18"/>
                <w:szCs w:val="18"/>
                <w:color w:val="auto"/>
                <w:w w:val="87"/>
              </w:rPr>
              <w:t>21,496</w:t>
            </w: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(3,122)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136,934</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Year ended at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136,934</w:t>
            </w:r>
          </w:p>
        </w:tc>
        <w:tc>
          <w:tcPr>
            <w:tcW w:w="1540" w:type="dxa"/>
            <w:vAlign w:val="bottom"/>
          </w:tcPr>
          <w:p>
            <w:pPr>
              <w:jc w:val="center"/>
              <w:ind w:left="400"/>
              <w:spacing w:after="0"/>
              <w:rPr>
                <w:sz w:val="20"/>
                <w:szCs w:val="20"/>
                <w:color w:val="auto"/>
              </w:rPr>
            </w:pPr>
            <w:r>
              <w:rPr>
                <w:rFonts w:ascii="Arial" w:cs="Arial" w:eastAsia="Arial" w:hAnsi="Arial"/>
                <w:sz w:val="18"/>
                <w:szCs w:val="18"/>
                <w:color w:val="auto"/>
                <w:w w:val="92"/>
              </w:rPr>
              <w:t>(15,311)</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121,310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reports to the Securities and Exchange Commission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December 31, 2020, and concluded those disclosure controls and procedures were effective as of that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Rules 13a-15(f) and 15d-15(f).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conducted an assessment of the effectiveness of our internal control over financial reporting as of December 31, 2020, based on the framework established in Internal Control — Integrated Framework (2013) issued by the Committee of Sponsoring Organizations of the Treadway Commission (“COSO”). Based on the results of this evaluation, our management concluded that our internal control over financial reporting was effective as of December 31, 2020, based on criteria in Internal Control — Integrated Framework (2013) issued by the COSO.</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effectiveness of our internal control over financial reporting as of December 31, 2020, has been audited by PricewaterhouseCoopers LLP, an independent registered public accounting firm, as stated in their report which appears under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December 31, 2020 that have materially affected, or are reasonably likely to materially affect, our internal control over financial reporting.</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required by this Item 10, with the exception of information relating to the Code of Business Conduct as disclosed below, is incorporated herein by reference from the material included under the captions “Election of Directors,” “Executive Officers,” “Corporate Governance,” and “Delinquent Section 16(a) Reports” in our definitive proxy statement (to be filed pursuant to Regulation 14A) for our 2021 Annual Meeting of Stockholders.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written Code of Business Conduct applicable to all employees, including our Chief Executive Officer, Chief Financial Officer, and Controller. Our Code of Business Conduct, Code of Ethics for Directors, Corporate Governance Guidelines, and the charters of the Audit Committee, Nominating and Governance Committee and Compensation Committee of our Board of Directors are available and maintained on our website (http://www.amkor.com). We intend to disclose on our website future amendments or waivers of our Code of Business Conduct required to be disclosed pursuant to applicable rules and regulations.</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information required by this Item 11 is incorporated herein by reference from the material included under the captions “Executive Compensation,” “Compensation Committee Interlocks and Insider Participation” and “Compensation Committee Report” in our definitive proxy statement (to be filed pursuant to Regulation 14A) for our 2021 Annual Meeting of Stockholders.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12, with the exception of the equity compensation plan information presented below, is incorporated herein by reference to our definitive proxy statement (to be filed pursuant to Regulation 14A) for our 2021 Annual Meeting of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equity compensation plan as of December 31,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35"/>
        </w:trPr>
        <w:tc>
          <w:tcPr>
            <w:tcW w:w="59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35"/>
        </w:trPr>
        <w:tc>
          <w:tcPr>
            <w:tcW w:w="59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(b)</w:t>
            </w: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35"/>
        </w:trPr>
        <w:tc>
          <w:tcPr>
            <w:tcW w:w="59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Securities to be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35"/>
        </w:trPr>
        <w:tc>
          <w:tcPr>
            <w:tcW w:w="59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Issued Upon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Weighted</w:t>
            </w: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35"/>
        </w:trPr>
        <w:tc>
          <w:tcPr>
            <w:tcW w:w="59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Exercise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35"/>
        </w:trPr>
        <w:tc>
          <w:tcPr>
            <w:tcW w:w="59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Exercise Price of</w:t>
            </w: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35"/>
        </w:trPr>
        <w:tc>
          <w:tcPr>
            <w:tcW w:w="59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Outstanding</w:t>
            </w: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Reflected in Column(a))</w:t>
            </w:r>
          </w:p>
        </w:tc>
        <w:tc>
          <w:tcPr>
            <w:tcW w:w="0" w:type="dxa"/>
            <w:vAlign w:val="bottom"/>
          </w:tcPr>
          <w:p>
            <w:pPr>
              <w:spacing w:after="0"/>
              <w:rPr>
                <w:sz w:val="1"/>
                <w:szCs w:val="1"/>
                <w:color w:val="auto"/>
              </w:rPr>
            </w:pPr>
          </w:p>
        </w:tc>
      </w:tr>
      <w:tr>
        <w:trPr>
          <w:trHeight w:val="188"/>
        </w:trPr>
        <w:tc>
          <w:tcPr>
            <w:tcW w:w="59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Options</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 approved by stockholders (1)</w:t>
            </w:r>
          </w:p>
        </w:tc>
        <w:tc>
          <w:tcPr>
            <w:tcW w:w="15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4,366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9.70</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compensation plans not approved by stockholders</w:t>
            </w:r>
          </w:p>
        </w:tc>
        <w:tc>
          <w:tcPr>
            <w:tcW w:w="152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equity compensation plans</w:t>
            </w: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4,366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340" w:hanging="332"/>
        <w:spacing w:after="0" w:line="263" w:lineRule="auto"/>
        <w:tabs>
          <w:tab w:leader="none" w:pos="3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of December 31, 2020, a total of 2.9 million shares were reserved for issuance under the 2007 Plan. Shares available for issuance under our 2007 Plan can be granted pursuant to stock options, restricted stock, restricted stock units, stock appreciation rights, performance units and performance shares.</w:t>
      </w:r>
    </w:p>
    <w:p>
      <w:pPr>
        <w:spacing w:after="0" w:line="3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13 is incorporated herein by reference from the material included under the captions “Certain Relationships and Related Transactions” and “Proposal One — Election of Directors” in our definitive proxy statement (to be filed pursuant to Regulation 14A) for our 2021 Annual Meeting of Stockholders.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14 is incorporated herein by reference from the material included under the proposal “Ratification of Appointment of Independent Registered Public Accounting Firm” in our definitive proxy statement (to be filed pursuant to Regulation 14A) for our 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56" w:lineRule="exact"/>
        <w:rPr>
          <w:sz w:val="20"/>
          <w:szCs w:val="20"/>
          <w:color w:val="auto"/>
        </w:rPr>
      </w:pPr>
    </w:p>
    <w:p>
      <w:pPr>
        <w:ind w:left="500" w:hanging="249"/>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Financial Statements, Financial Statement Schedules and Exhibits</w:t>
      </w:r>
    </w:p>
    <w:p>
      <w:pPr>
        <w:spacing w:after="0" w:line="252"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color w:val="auto"/>
        </w:rPr>
        <w:t>The financial statements and schedules filed as part of this Annual Report on Form 10-K are listed in the index under Part II, Item 8 of this Annual Report.</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exhibits required by Item 601 of Regulation S-K which are filed with this report or incorporated by reference herein are set forth below.</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contracts or compensatory plans or arrangements are identified by an asterisk.</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w w:val="99"/>
              </w:rPr>
              <w:t>Incorporated by Reference</w:t>
            </w:r>
          </w:p>
        </w:tc>
        <w:tc>
          <w:tcPr>
            <w:tcW w:w="204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122"/>
        </w:trPr>
        <w:tc>
          <w:tcPr>
            <w:tcW w:w="1120" w:type="dxa"/>
            <w:vAlign w:val="bottom"/>
          </w:tcPr>
          <w:p>
            <w:pPr>
              <w:jc w:val="right"/>
              <w:ind w:right="312"/>
              <w:spacing w:after="0" w:line="122" w:lineRule="exact"/>
              <w:rPr>
                <w:sz w:val="20"/>
                <w:szCs w:val="20"/>
                <w:color w:val="auto"/>
              </w:rPr>
            </w:pPr>
            <w:r>
              <w:rPr>
                <w:rFonts w:ascii="Arial" w:cs="Arial" w:eastAsia="Arial" w:hAnsi="Arial"/>
                <w:sz w:val="14"/>
                <w:szCs w:val="14"/>
                <w:b w:val="1"/>
                <w:bCs w:val="1"/>
                <w:color w:val="auto"/>
              </w:rPr>
              <w:t>Exhibit</w:t>
            </w:r>
          </w:p>
        </w:tc>
        <w:tc>
          <w:tcPr>
            <w:tcW w:w="1140" w:type="dxa"/>
            <w:vAlign w:val="bottom"/>
          </w:tcPr>
          <w:p>
            <w:pPr>
              <w:spacing w:after="0"/>
              <w:rPr>
                <w:sz w:val="10"/>
                <w:szCs w:val="10"/>
                <w:color w:val="auto"/>
              </w:rPr>
            </w:pPr>
          </w:p>
        </w:tc>
        <w:tc>
          <w:tcPr>
            <w:tcW w:w="4060" w:type="dxa"/>
            <w:vAlign w:val="bottom"/>
            <w:gridSpan w:val="15"/>
            <w:vMerge w:val="restart"/>
          </w:tcPr>
          <w:p>
            <w:pPr>
              <w:ind w:left="78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Period Ending</w:t>
            </w:r>
          </w:p>
        </w:tc>
        <w:tc>
          <w:tcPr>
            <w:tcW w:w="9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2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Number</w:t>
            </w:r>
          </w:p>
        </w:tc>
        <w:tc>
          <w:tcPr>
            <w:tcW w:w="114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15"/>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Pr>
          <w:p>
            <w:pPr>
              <w:jc w:val="right"/>
              <w:ind w:right="112"/>
              <w:spacing w:after="0" w:line="184" w:lineRule="exact"/>
              <w:rPr>
                <w:sz w:val="20"/>
                <w:szCs w:val="20"/>
                <w:color w:val="auto"/>
              </w:rPr>
            </w:pPr>
            <w:r>
              <w:rPr>
                <w:rFonts w:ascii="Arial" w:cs="Arial" w:eastAsia="Arial" w:hAnsi="Arial"/>
                <w:sz w:val="18"/>
                <w:szCs w:val="18"/>
                <w:color w:val="auto"/>
              </w:rPr>
              <w:t>2.1</w:t>
            </w:r>
          </w:p>
        </w:tc>
        <w:tc>
          <w:tcPr>
            <w:tcW w:w="5200" w:type="dxa"/>
            <w:vAlign w:val="bottom"/>
            <w:gridSpan w:val="16"/>
          </w:tcPr>
          <w:p>
            <w:pPr>
              <w:spacing w:after="0" w:line="184" w:lineRule="exact"/>
              <w:rPr>
                <w:rFonts w:ascii="Arial" w:cs="Arial" w:eastAsia="Arial" w:hAnsi="Arial"/>
                <w:sz w:val="18"/>
                <w:szCs w:val="18"/>
                <w:color w:val="0000FF"/>
              </w:rPr>
            </w:pPr>
            <w:hyperlink r:id="rId110">
              <w:r>
                <w:rPr>
                  <w:rFonts w:ascii="Arial" w:cs="Arial" w:eastAsia="Arial" w:hAnsi="Arial"/>
                  <w:sz w:val="18"/>
                  <w:szCs w:val="18"/>
                  <w:color w:val="0000FF"/>
                </w:rPr>
                <w:t>Sales  Contract  of  Commodity  Premises  between  Shanghai</w:t>
              </w:r>
            </w:hyperlink>
          </w:p>
        </w:tc>
        <w:tc>
          <w:tcPr>
            <w:tcW w:w="680" w:type="dxa"/>
            <w:vAlign w:val="bottom"/>
          </w:tcPr>
          <w:p>
            <w:pPr>
              <w:jc w:val="center"/>
              <w:spacing w:after="0" w:line="184" w:lineRule="exact"/>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line="184" w:lineRule="exact"/>
              <w:rPr>
                <w:sz w:val="20"/>
                <w:szCs w:val="20"/>
                <w:color w:val="auto"/>
              </w:rPr>
            </w:pPr>
            <w:r>
              <w:rPr>
                <w:rFonts w:ascii="Arial" w:cs="Arial" w:eastAsia="Arial" w:hAnsi="Arial"/>
                <w:sz w:val="18"/>
                <w:szCs w:val="18"/>
                <w:color w:val="auto"/>
                <w:w w:val="89"/>
              </w:rPr>
              <w:t>6/30/04</w:t>
            </w:r>
          </w:p>
        </w:tc>
        <w:tc>
          <w:tcPr>
            <w:tcW w:w="940" w:type="dxa"/>
            <w:vAlign w:val="bottom"/>
          </w:tcPr>
          <w:p>
            <w:pPr>
              <w:jc w:val="center"/>
              <w:ind w:right="71"/>
              <w:spacing w:after="0" w:line="184" w:lineRule="exact"/>
              <w:rPr>
                <w:sz w:val="20"/>
                <w:szCs w:val="20"/>
                <w:color w:val="auto"/>
              </w:rPr>
            </w:pPr>
            <w:r>
              <w:rPr>
                <w:rFonts w:ascii="Arial" w:cs="Arial" w:eastAsia="Arial" w:hAnsi="Arial"/>
                <w:sz w:val="18"/>
                <w:szCs w:val="18"/>
                <w:color w:val="auto"/>
                <w:w w:val="87"/>
              </w:rPr>
              <w:t>2.3</w:t>
            </w:r>
          </w:p>
        </w:tc>
        <w:tc>
          <w:tcPr>
            <w:tcW w:w="2040" w:type="dxa"/>
            <w:vAlign w:val="bottom"/>
          </w:tcPr>
          <w:p>
            <w:pPr>
              <w:jc w:val="center"/>
              <w:ind w:right="1012"/>
              <w:spacing w:after="0" w:line="184" w:lineRule="exact"/>
              <w:rPr>
                <w:sz w:val="20"/>
                <w:szCs w:val="20"/>
                <w:color w:val="auto"/>
              </w:rPr>
            </w:pPr>
            <w:r>
              <w:rPr>
                <w:rFonts w:ascii="Arial" w:cs="Arial" w:eastAsia="Arial" w:hAnsi="Arial"/>
                <w:sz w:val="18"/>
                <w:szCs w:val="18"/>
                <w:color w:val="auto"/>
                <w:w w:val="91"/>
              </w:rPr>
              <w:t>8/6/04</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00" w:type="dxa"/>
            <w:vAlign w:val="bottom"/>
            <w:tcBorders>
              <w:top w:val="single" w:sz="8" w:color="0000FF"/>
            </w:tcBorders>
            <w:gridSpan w:val="11"/>
          </w:tcPr>
          <w:p>
            <w:pPr>
              <w:spacing w:after="0" w:line="156" w:lineRule="exact"/>
              <w:rPr>
                <w:rFonts w:ascii="Arial" w:cs="Arial" w:eastAsia="Arial" w:hAnsi="Arial"/>
                <w:sz w:val="18"/>
                <w:szCs w:val="18"/>
                <w:color w:val="0000FF"/>
                <w:w w:val="93"/>
              </w:rPr>
            </w:pPr>
            <w:hyperlink r:id="rId110">
              <w:r>
                <w:rPr>
                  <w:rFonts w:ascii="Arial" w:cs="Arial" w:eastAsia="Arial" w:hAnsi="Arial"/>
                  <w:sz w:val="18"/>
                  <w:szCs w:val="18"/>
                  <w:color w:val="0000FF"/>
                  <w:w w:val="93"/>
                </w:rPr>
                <w:t>Waigaoqiao Free Trade Zone Xin Development Co., Ltd. and Amkor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5080" w:type="dxa"/>
            <w:vAlign w:val="bottom"/>
            <w:tcBorders>
              <w:top w:val="single" w:sz="8" w:color="0000FF"/>
            </w:tcBorders>
            <w:gridSpan w:val="10"/>
          </w:tcPr>
          <w:p>
            <w:pPr>
              <w:spacing w:after="0" w:line="195" w:lineRule="exact"/>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Assembly &amp; Test (Shanghai) Co., Ltd. dated May 7, 2004.</w:t>
              </w:r>
            </w:hyperlink>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5200" w:type="dxa"/>
            <w:vAlign w:val="bottom"/>
            <w:gridSpan w:val="16"/>
          </w:tcPr>
          <w:p>
            <w:pPr>
              <w:spacing w:after="0"/>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Certificate of Incorporation.</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20" w:type="dxa"/>
            <w:vAlign w:val="bottom"/>
          </w:tcPr>
          <w:p>
            <w:pPr>
              <w:spacing w:after="0"/>
              <w:rPr>
                <w:sz w:val="19"/>
                <w:szCs w:val="19"/>
                <w:color w:val="auto"/>
              </w:rPr>
            </w:pPr>
          </w:p>
        </w:tc>
        <w:tc>
          <w:tcPr>
            <w:tcW w:w="940" w:type="dxa"/>
            <w:vAlign w:val="bottom"/>
          </w:tcPr>
          <w:p>
            <w:pPr>
              <w:jc w:val="center"/>
              <w:ind w:right="71"/>
              <w:spacing w:after="0"/>
              <w:rPr>
                <w:sz w:val="20"/>
                <w:szCs w:val="20"/>
                <w:color w:val="auto"/>
              </w:rPr>
            </w:pPr>
            <w:r>
              <w:rPr>
                <w:rFonts w:ascii="Arial" w:cs="Arial" w:eastAsia="Arial" w:hAnsi="Arial"/>
                <w:sz w:val="18"/>
                <w:szCs w:val="18"/>
                <w:color w:val="auto"/>
                <w:w w:val="87"/>
              </w:rPr>
              <w:t>3.1</w:t>
            </w:r>
          </w:p>
        </w:tc>
        <w:tc>
          <w:tcPr>
            <w:tcW w:w="2040" w:type="dxa"/>
            <w:vAlign w:val="bottom"/>
          </w:tcPr>
          <w:p>
            <w:pPr>
              <w:jc w:val="center"/>
              <w:ind w:right="1032"/>
              <w:spacing w:after="0"/>
              <w:rPr>
                <w:sz w:val="20"/>
                <w:szCs w:val="20"/>
                <w:color w:val="auto"/>
              </w:rPr>
            </w:pPr>
            <w:r>
              <w:rPr>
                <w:rFonts w:ascii="Arial" w:cs="Arial" w:eastAsia="Arial" w:hAnsi="Arial"/>
                <w:sz w:val="18"/>
                <w:szCs w:val="18"/>
                <w:color w:val="auto"/>
                <w:w w:val="93"/>
              </w:rPr>
              <w:t>10/6/97</w:t>
            </w:r>
          </w:p>
        </w:tc>
        <w:tc>
          <w:tcPr>
            <w:tcW w:w="0" w:type="dxa"/>
            <w:vAlign w:val="bottom"/>
          </w:tcPr>
          <w:p>
            <w:pPr>
              <w:spacing w:after="0"/>
              <w:rPr>
                <w:sz w:val="1"/>
                <w:szCs w:val="1"/>
                <w:color w:val="auto"/>
              </w:rPr>
            </w:pPr>
          </w:p>
        </w:tc>
      </w:tr>
      <w:tr>
        <w:trPr>
          <w:trHeight w:val="22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5200" w:type="dxa"/>
            <w:vAlign w:val="bottom"/>
            <w:gridSpan w:val="16"/>
          </w:tcPr>
          <w:p>
            <w:pPr>
              <w:spacing w:after="0"/>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Certificate of Correction to Certificate of Incorporation.</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20" w:type="dxa"/>
            <w:vAlign w:val="bottom"/>
          </w:tcPr>
          <w:p>
            <w:pPr>
              <w:spacing w:after="0"/>
              <w:rPr>
                <w:sz w:val="19"/>
                <w:szCs w:val="19"/>
                <w:color w:val="auto"/>
              </w:rPr>
            </w:pPr>
          </w:p>
        </w:tc>
        <w:tc>
          <w:tcPr>
            <w:tcW w:w="940" w:type="dxa"/>
            <w:vAlign w:val="bottom"/>
          </w:tcPr>
          <w:p>
            <w:pPr>
              <w:jc w:val="center"/>
              <w:ind w:right="71"/>
              <w:spacing w:after="0"/>
              <w:rPr>
                <w:sz w:val="20"/>
                <w:szCs w:val="20"/>
                <w:color w:val="auto"/>
              </w:rPr>
            </w:pPr>
            <w:r>
              <w:rPr>
                <w:rFonts w:ascii="Arial" w:cs="Arial" w:eastAsia="Arial" w:hAnsi="Arial"/>
                <w:sz w:val="18"/>
                <w:szCs w:val="18"/>
                <w:color w:val="auto"/>
                <w:w w:val="87"/>
              </w:rPr>
              <w:t>3.1</w:t>
            </w:r>
          </w:p>
        </w:tc>
        <w:tc>
          <w:tcPr>
            <w:tcW w:w="2040" w:type="dxa"/>
            <w:vAlign w:val="bottom"/>
          </w:tcPr>
          <w:p>
            <w:pPr>
              <w:jc w:val="center"/>
              <w:ind w:right="1012"/>
              <w:spacing w:after="0"/>
              <w:rPr>
                <w:sz w:val="20"/>
                <w:szCs w:val="20"/>
                <w:color w:val="auto"/>
              </w:rPr>
            </w:pPr>
            <w:r>
              <w:rPr>
                <w:rFonts w:ascii="Arial" w:cs="Arial" w:eastAsia="Arial" w:hAnsi="Arial"/>
                <w:sz w:val="18"/>
                <w:szCs w:val="18"/>
                <w:color w:val="auto"/>
                <w:w w:val="91"/>
              </w:rPr>
              <w:t>4/8/98</w:t>
            </w:r>
          </w:p>
        </w:tc>
        <w:tc>
          <w:tcPr>
            <w:tcW w:w="0" w:type="dxa"/>
            <w:vAlign w:val="bottom"/>
          </w:tcPr>
          <w:p>
            <w:pPr>
              <w:spacing w:after="0"/>
              <w:rPr>
                <w:sz w:val="1"/>
                <w:szCs w:val="1"/>
                <w:color w:val="auto"/>
              </w:rPr>
            </w:pPr>
          </w:p>
        </w:tc>
      </w:tr>
      <w:tr>
        <w:trPr>
          <w:trHeight w:val="23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5200" w:type="dxa"/>
            <w:vAlign w:val="bottom"/>
            <w:gridSpan w:val="16"/>
          </w:tcPr>
          <w:p>
            <w:pPr>
              <w:spacing w:after="0"/>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Restated Bylaws as amended on November 5, 2013.</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12/31/13</w:t>
            </w:r>
          </w:p>
        </w:tc>
        <w:tc>
          <w:tcPr>
            <w:tcW w:w="940" w:type="dxa"/>
            <w:vAlign w:val="bottom"/>
          </w:tcPr>
          <w:p>
            <w:pPr>
              <w:jc w:val="center"/>
              <w:ind w:right="71"/>
              <w:spacing w:after="0"/>
              <w:rPr>
                <w:sz w:val="20"/>
                <w:szCs w:val="20"/>
                <w:color w:val="auto"/>
              </w:rPr>
            </w:pPr>
            <w:r>
              <w:rPr>
                <w:rFonts w:ascii="Arial" w:cs="Arial" w:eastAsia="Arial" w:hAnsi="Arial"/>
                <w:sz w:val="18"/>
                <w:szCs w:val="18"/>
                <w:color w:val="auto"/>
                <w:w w:val="87"/>
              </w:rPr>
              <w:t>3.3</w:t>
            </w:r>
          </w:p>
        </w:tc>
        <w:tc>
          <w:tcPr>
            <w:tcW w:w="2040" w:type="dxa"/>
            <w:vAlign w:val="bottom"/>
          </w:tcPr>
          <w:p>
            <w:pPr>
              <w:jc w:val="center"/>
              <w:ind w:right="1032"/>
              <w:spacing w:after="0"/>
              <w:rPr>
                <w:sz w:val="20"/>
                <w:szCs w:val="20"/>
                <w:color w:val="auto"/>
              </w:rPr>
            </w:pPr>
            <w:r>
              <w:rPr>
                <w:rFonts w:ascii="Arial" w:cs="Arial" w:eastAsia="Arial" w:hAnsi="Arial"/>
                <w:sz w:val="18"/>
                <w:szCs w:val="18"/>
                <w:color w:val="auto"/>
                <w:w w:val="93"/>
              </w:rPr>
              <w:t>2/28/14</w:t>
            </w:r>
          </w:p>
        </w:tc>
        <w:tc>
          <w:tcPr>
            <w:tcW w:w="0" w:type="dxa"/>
            <w:vAlign w:val="bottom"/>
          </w:tcPr>
          <w:p>
            <w:pPr>
              <w:spacing w:after="0"/>
              <w:rPr>
                <w:sz w:val="1"/>
                <w:szCs w:val="1"/>
                <w:color w:val="auto"/>
              </w:rPr>
            </w:pPr>
          </w:p>
        </w:tc>
      </w:tr>
      <w:tr>
        <w:trPr>
          <w:trHeight w:val="22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5200" w:type="dxa"/>
            <w:vAlign w:val="bottom"/>
            <w:gridSpan w:val="16"/>
          </w:tcPr>
          <w:p>
            <w:pPr>
              <w:spacing w:after="0"/>
              <w:rPr>
                <w:rFonts w:ascii="Arial" w:cs="Arial" w:eastAsia="Arial" w:hAnsi="Arial"/>
                <w:sz w:val="18"/>
                <w:szCs w:val="18"/>
                <w:color w:val="0000FF"/>
              </w:rPr>
            </w:pPr>
            <w:hyperlink r:id="rId114">
              <w:r>
                <w:rPr>
                  <w:rFonts w:ascii="Arial" w:cs="Arial" w:eastAsia="Arial" w:hAnsi="Arial"/>
                  <w:sz w:val="18"/>
                  <w:szCs w:val="18"/>
                  <w:u w:val="single" w:color="auto"/>
                  <w:color w:val="0000FF"/>
                </w:rPr>
                <w:t>Specimen Common Stock Certificate</w:t>
              </w:r>
              <w:r>
                <w:rPr>
                  <w:rFonts w:ascii="Arial" w:cs="Arial" w:eastAsia="Arial" w:hAnsi="Arial"/>
                  <w:sz w:val="18"/>
                  <w:szCs w:val="18"/>
                  <w:color w:val="0000FF"/>
                </w:rPr>
                <w:t>.</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spacing w:after="0"/>
              <w:rPr>
                <w:sz w:val="19"/>
                <w:szCs w:val="19"/>
                <w:color w:val="auto"/>
              </w:rPr>
            </w:pPr>
          </w:p>
        </w:tc>
        <w:tc>
          <w:tcPr>
            <w:tcW w:w="940" w:type="dxa"/>
            <w:vAlign w:val="bottom"/>
          </w:tcPr>
          <w:p>
            <w:pPr>
              <w:jc w:val="center"/>
              <w:ind w:right="71"/>
              <w:spacing w:after="0"/>
              <w:rPr>
                <w:sz w:val="20"/>
                <w:szCs w:val="20"/>
                <w:color w:val="auto"/>
              </w:rPr>
            </w:pPr>
            <w:r>
              <w:rPr>
                <w:rFonts w:ascii="Arial" w:cs="Arial" w:eastAsia="Arial" w:hAnsi="Arial"/>
                <w:sz w:val="18"/>
                <w:szCs w:val="18"/>
                <w:color w:val="auto"/>
                <w:w w:val="87"/>
              </w:rPr>
              <w:t>4.1</w:t>
            </w:r>
          </w:p>
        </w:tc>
        <w:tc>
          <w:tcPr>
            <w:tcW w:w="2040" w:type="dxa"/>
            <w:vAlign w:val="bottom"/>
          </w:tcPr>
          <w:p>
            <w:pPr>
              <w:jc w:val="center"/>
              <w:ind w:right="1032"/>
              <w:spacing w:after="0"/>
              <w:rPr>
                <w:sz w:val="20"/>
                <w:szCs w:val="20"/>
                <w:color w:val="auto"/>
              </w:rPr>
            </w:pPr>
            <w:r>
              <w:rPr>
                <w:rFonts w:ascii="Arial" w:cs="Arial" w:eastAsia="Arial" w:hAnsi="Arial"/>
                <w:sz w:val="18"/>
                <w:szCs w:val="18"/>
                <w:color w:val="auto"/>
                <w:w w:val="93"/>
              </w:rPr>
              <w:t>3/31/98</w:t>
            </w:r>
          </w:p>
        </w:tc>
        <w:tc>
          <w:tcPr>
            <w:tcW w:w="0" w:type="dxa"/>
            <w:vAlign w:val="bottom"/>
          </w:tcPr>
          <w:p>
            <w:pPr>
              <w:spacing w:after="0"/>
              <w:rPr>
                <w:sz w:val="1"/>
                <w:szCs w:val="1"/>
                <w:color w:val="auto"/>
              </w:rPr>
            </w:pPr>
          </w:p>
        </w:tc>
      </w:tr>
      <w:tr>
        <w:trPr>
          <w:trHeight w:val="190"/>
        </w:trPr>
        <w:tc>
          <w:tcPr>
            <w:tcW w:w="1120" w:type="dxa"/>
            <w:vAlign w:val="bottom"/>
          </w:tcPr>
          <w:p>
            <w:pPr>
              <w:jc w:val="right"/>
              <w:ind w:right="112"/>
              <w:spacing w:after="0" w:line="190" w:lineRule="exact"/>
              <w:rPr>
                <w:sz w:val="20"/>
                <w:szCs w:val="20"/>
                <w:color w:val="auto"/>
              </w:rPr>
            </w:pPr>
            <w:r>
              <w:rPr>
                <w:rFonts w:ascii="Arial" w:cs="Arial" w:eastAsia="Arial" w:hAnsi="Arial"/>
                <w:sz w:val="18"/>
                <w:szCs w:val="18"/>
                <w:color w:val="auto"/>
              </w:rPr>
              <w:t>4.2</w:t>
            </w:r>
          </w:p>
        </w:tc>
        <w:tc>
          <w:tcPr>
            <w:tcW w:w="5200" w:type="dxa"/>
            <w:vAlign w:val="bottom"/>
            <w:gridSpan w:val="16"/>
          </w:tcPr>
          <w:p>
            <w:pPr>
              <w:spacing w:after="0" w:line="190" w:lineRule="exact"/>
              <w:rPr>
                <w:rFonts w:ascii="Arial" w:cs="Arial" w:eastAsia="Arial" w:hAnsi="Arial"/>
                <w:sz w:val="18"/>
                <w:szCs w:val="18"/>
                <w:color w:val="0000FF"/>
              </w:rPr>
            </w:pPr>
            <w:hyperlink r:id="rId115">
              <w:r>
                <w:rPr>
                  <w:rFonts w:ascii="Arial" w:cs="Arial" w:eastAsia="Arial" w:hAnsi="Arial"/>
                  <w:sz w:val="18"/>
                  <w:szCs w:val="18"/>
                  <w:color w:val="0000FF"/>
                </w:rPr>
                <w:t>Indenture,  dated  March  15,  2019,  by  and  between  Amkor</w:t>
              </w:r>
            </w:hyperlink>
          </w:p>
        </w:tc>
        <w:tc>
          <w:tcPr>
            <w:tcW w:w="68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16"/>
                <w:szCs w:val="16"/>
                <w:color w:val="auto"/>
              </w:rPr>
            </w:pPr>
          </w:p>
        </w:tc>
        <w:tc>
          <w:tcPr>
            <w:tcW w:w="940" w:type="dxa"/>
            <w:vAlign w:val="bottom"/>
          </w:tcPr>
          <w:p>
            <w:pPr>
              <w:jc w:val="center"/>
              <w:ind w:right="71"/>
              <w:spacing w:after="0" w:line="190" w:lineRule="exact"/>
              <w:rPr>
                <w:sz w:val="20"/>
                <w:szCs w:val="20"/>
                <w:color w:val="auto"/>
              </w:rPr>
            </w:pPr>
            <w:r>
              <w:rPr>
                <w:rFonts w:ascii="Arial" w:cs="Arial" w:eastAsia="Arial" w:hAnsi="Arial"/>
                <w:sz w:val="18"/>
                <w:szCs w:val="18"/>
                <w:color w:val="auto"/>
                <w:w w:val="87"/>
              </w:rPr>
              <w:t>4.1</w:t>
            </w:r>
          </w:p>
        </w:tc>
        <w:tc>
          <w:tcPr>
            <w:tcW w:w="2040" w:type="dxa"/>
            <w:vAlign w:val="bottom"/>
          </w:tcPr>
          <w:p>
            <w:pPr>
              <w:jc w:val="center"/>
              <w:ind w:right="1012"/>
              <w:spacing w:after="0" w:line="190" w:lineRule="exact"/>
              <w:rPr>
                <w:sz w:val="20"/>
                <w:szCs w:val="20"/>
                <w:color w:val="auto"/>
              </w:rPr>
            </w:pPr>
            <w:r>
              <w:rPr>
                <w:rFonts w:ascii="Arial" w:cs="Arial" w:eastAsia="Arial" w:hAnsi="Arial"/>
                <w:sz w:val="18"/>
                <w:szCs w:val="18"/>
                <w:color w:val="auto"/>
                <w:w w:val="91"/>
              </w:rPr>
              <w:t>3/5/19</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20" w:type="dxa"/>
            <w:vAlign w:val="bottom"/>
            <w:tcBorders>
              <w:top w:val="single" w:sz="8" w:color="0000FF"/>
            </w:tcBorders>
            <w:gridSpan w:val="12"/>
          </w:tcPr>
          <w:p>
            <w:pPr>
              <w:spacing w:after="0" w:line="156" w:lineRule="exact"/>
              <w:rPr>
                <w:rFonts w:ascii="Arial" w:cs="Arial" w:eastAsia="Arial" w:hAnsi="Arial"/>
                <w:sz w:val="18"/>
                <w:szCs w:val="18"/>
                <w:color w:val="0000FF"/>
                <w:w w:val="98"/>
              </w:rPr>
            </w:pPr>
            <w:hyperlink r:id="rId115">
              <w:r>
                <w:rPr>
                  <w:rFonts w:ascii="Arial" w:cs="Arial" w:eastAsia="Arial" w:hAnsi="Arial"/>
                  <w:sz w:val="18"/>
                  <w:szCs w:val="18"/>
                  <w:color w:val="0000FF"/>
                  <w:w w:val="98"/>
                </w:rPr>
                <w:t>Technology, Inc. and U.S. Bank National Association,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15">
              <w:r>
                <w:rPr>
                  <w:rFonts w:ascii="Arial" w:cs="Arial" w:eastAsia="Arial" w:hAnsi="Arial"/>
                  <w:sz w:val="18"/>
                  <w:szCs w:val="18"/>
                  <w:color w:val="0000FF"/>
                  <w:w w:val="89"/>
                </w:rPr>
                <w:t>regarding the 6.625% Senior Notes due 2027.</w:t>
              </w:r>
            </w:hyperlink>
          </w:p>
        </w:tc>
        <w:tc>
          <w:tcPr>
            <w:tcW w:w="17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5200" w:type="dxa"/>
            <w:vAlign w:val="bottom"/>
            <w:gridSpan w:val="16"/>
          </w:tcPr>
          <w:p>
            <w:pPr>
              <w:spacing w:after="0"/>
              <w:rPr>
                <w:rFonts w:ascii="Arial" w:cs="Arial" w:eastAsia="Arial" w:hAnsi="Arial"/>
                <w:sz w:val="18"/>
                <w:szCs w:val="18"/>
                <w:color w:val="0000FF"/>
              </w:rPr>
            </w:pPr>
            <w:hyperlink r:id="rId116">
              <w:r>
                <w:rPr>
                  <w:rFonts w:ascii="Arial" w:cs="Arial" w:eastAsia="Arial" w:hAnsi="Arial"/>
                  <w:sz w:val="18"/>
                  <w:szCs w:val="18"/>
                  <w:color w:val="0000FF"/>
                </w:rPr>
                <w:t>Description of the Registrant’s Securities Registered Pursuant to</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12/31/19</w:t>
            </w:r>
          </w:p>
        </w:tc>
        <w:tc>
          <w:tcPr>
            <w:tcW w:w="940" w:type="dxa"/>
            <w:vAlign w:val="bottom"/>
          </w:tcPr>
          <w:p>
            <w:pPr>
              <w:jc w:val="center"/>
              <w:ind w:right="71"/>
              <w:spacing w:after="0"/>
              <w:rPr>
                <w:sz w:val="20"/>
                <w:szCs w:val="20"/>
                <w:color w:val="auto"/>
              </w:rPr>
            </w:pPr>
            <w:r>
              <w:rPr>
                <w:rFonts w:ascii="Arial" w:cs="Arial" w:eastAsia="Arial" w:hAnsi="Arial"/>
                <w:sz w:val="18"/>
                <w:szCs w:val="18"/>
                <w:color w:val="auto"/>
                <w:w w:val="87"/>
              </w:rPr>
              <w:t>4.3</w:t>
            </w:r>
          </w:p>
        </w:tc>
        <w:tc>
          <w:tcPr>
            <w:tcW w:w="2040" w:type="dxa"/>
            <w:vAlign w:val="bottom"/>
          </w:tcPr>
          <w:p>
            <w:pPr>
              <w:jc w:val="center"/>
              <w:ind w:right="1032"/>
              <w:spacing w:after="0"/>
              <w:rPr>
                <w:sz w:val="20"/>
                <w:szCs w:val="20"/>
                <w:color w:val="auto"/>
              </w:rPr>
            </w:pPr>
            <w:r>
              <w:rPr>
                <w:rFonts w:ascii="Arial" w:cs="Arial" w:eastAsia="Arial" w:hAnsi="Arial"/>
                <w:sz w:val="18"/>
                <w:szCs w:val="18"/>
                <w:color w:val="auto"/>
                <w:w w:val="93"/>
              </w:rPr>
              <w:t>2/19/20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Section 12 of the Securities Exchange Act of 1934.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5200" w:type="dxa"/>
            <w:vAlign w:val="bottom"/>
            <w:gridSpan w:val="16"/>
          </w:tcPr>
          <w:p>
            <w:pPr>
              <w:spacing w:after="0"/>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Form of Indemnification Agreement for directors and officers.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2040" w:type="dxa"/>
            <w:vAlign w:val="bottom"/>
          </w:tcPr>
          <w:p>
            <w:pPr>
              <w:jc w:val="center"/>
              <w:ind w:right="1032"/>
              <w:spacing w:after="0"/>
              <w:rPr>
                <w:sz w:val="20"/>
                <w:szCs w:val="20"/>
                <w:color w:val="auto"/>
              </w:rPr>
            </w:pPr>
            <w:r>
              <w:rPr>
                <w:rFonts w:ascii="Arial" w:cs="Arial" w:eastAsia="Arial" w:hAnsi="Arial"/>
                <w:sz w:val="18"/>
                <w:szCs w:val="18"/>
                <w:color w:val="auto"/>
                <w:w w:val="93"/>
              </w:rPr>
              <w:t>3/31/98</w:t>
            </w:r>
          </w:p>
        </w:tc>
        <w:tc>
          <w:tcPr>
            <w:tcW w:w="0" w:type="dxa"/>
            <w:vAlign w:val="bottom"/>
          </w:tcPr>
          <w:p>
            <w:pPr>
              <w:spacing w:after="0"/>
              <w:rPr>
                <w:sz w:val="1"/>
                <w:szCs w:val="1"/>
                <w:color w:val="auto"/>
              </w:rPr>
            </w:pPr>
          </w:p>
        </w:tc>
      </w:tr>
      <w:tr>
        <w:trPr>
          <w:trHeight w:val="190"/>
        </w:trPr>
        <w:tc>
          <w:tcPr>
            <w:tcW w:w="1120" w:type="dxa"/>
            <w:vAlign w:val="bottom"/>
          </w:tcPr>
          <w:p>
            <w:pPr>
              <w:jc w:val="right"/>
              <w:ind w:right="112"/>
              <w:spacing w:after="0" w:line="190" w:lineRule="exact"/>
              <w:rPr>
                <w:sz w:val="20"/>
                <w:szCs w:val="20"/>
                <w:color w:val="auto"/>
              </w:rPr>
            </w:pPr>
            <w:r>
              <w:rPr>
                <w:rFonts w:ascii="Arial" w:cs="Arial" w:eastAsia="Arial" w:hAnsi="Arial"/>
                <w:sz w:val="18"/>
                <w:szCs w:val="18"/>
                <w:color w:val="auto"/>
              </w:rPr>
              <w:t>10.2</w:t>
            </w:r>
          </w:p>
        </w:tc>
        <w:tc>
          <w:tcPr>
            <w:tcW w:w="5200" w:type="dxa"/>
            <w:vAlign w:val="bottom"/>
            <w:gridSpan w:val="16"/>
          </w:tcPr>
          <w:p>
            <w:pPr>
              <w:spacing w:after="0" w:line="190" w:lineRule="exact"/>
              <w:rPr>
                <w:rFonts w:ascii="Arial" w:cs="Arial" w:eastAsia="Arial" w:hAnsi="Arial"/>
                <w:sz w:val="18"/>
                <w:szCs w:val="18"/>
                <w:color w:val="0000FF"/>
              </w:rPr>
            </w:pPr>
            <w:hyperlink r:id="rId117">
              <w:r>
                <w:rPr>
                  <w:rFonts w:ascii="Arial" w:cs="Arial" w:eastAsia="Arial" w:hAnsi="Arial"/>
                  <w:sz w:val="18"/>
                  <w:szCs w:val="18"/>
                  <w:color w:val="0000FF"/>
                </w:rPr>
                <w:t>2009 Voting Agreement, dated as of March 26, 2009, between</w:t>
              </w:r>
            </w:hyperlink>
          </w:p>
        </w:tc>
        <w:tc>
          <w:tcPr>
            <w:tcW w:w="68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16"/>
                <w:szCs w:val="16"/>
                <w:color w:val="auto"/>
              </w:rPr>
            </w:pPr>
          </w:p>
        </w:tc>
        <w:tc>
          <w:tcPr>
            <w:tcW w:w="940" w:type="dxa"/>
            <w:vAlign w:val="bottom"/>
          </w:tcPr>
          <w:p>
            <w:pPr>
              <w:jc w:val="center"/>
              <w:ind w:right="51"/>
              <w:spacing w:after="0" w:line="190" w:lineRule="exact"/>
              <w:rPr>
                <w:sz w:val="20"/>
                <w:szCs w:val="20"/>
                <w:color w:val="auto"/>
              </w:rPr>
            </w:pPr>
            <w:r>
              <w:rPr>
                <w:rFonts w:ascii="Arial" w:cs="Arial" w:eastAsia="Arial" w:hAnsi="Arial"/>
                <w:sz w:val="18"/>
                <w:szCs w:val="18"/>
                <w:color w:val="auto"/>
                <w:w w:val="91"/>
              </w:rPr>
              <w:t>10.1</w:t>
            </w:r>
          </w:p>
        </w:tc>
        <w:tc>
          <w:tcPr>
            <w:tcW w:w="2040" w:type="dxa"/>
            <w:vAlign w:val="bottom"/>
          </w:tcPr>
          <w:p>
            <w:pPr>
              <w:jc w:val="center"/>
              <w:ind w:right="1012"/>
              <w:spacing w:after="0" w:line="190" w:lineRule="exact"/>
              <w:rPr>
                <w:sz w:val="20"/>
                <w:szCs w:val="20"/>
                <w:color w:val="auto"/>
              </w:rPr>
            </w:pPr>
            <w:r>
              <w:rPr>
                <w:rFonts w:ascii="Arial" w:cs="Arial" w:eastAsia="Arial" w:hAnsi="Arial"/>
                <w:sz w:val="18"/>
                <w:szCs w:val="18"/>
                <w:color w:val="auto"/>
                <w:w w:val="91"/>
              </w:rPr>
              <w:t>4/1/09</w:t>
            </w: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5020" w:type="dxa"/>
            <w:vAlign w:val="bottom"/>
            <w:tcBorders>
              <w:top w:val="single" w:sz="8" w:color="0000FF"/>
            </w:tcBorders>
            <w:gridSpan w:val="7"/>
          </w:tcPr>
          <w:p>
            <w:pPr>
              <w:spacing w:after="0" w:line="195" w:lineRule="exact"/>
              <w:rPr>
                <w:rFonts w:ascii="Arial" w:cs="Arial" w:eastAsia="Arial" w:hAnsi="Arial"/>
                <w:sz w:val="18"/>
                <w:szCs w:val="18"/>
                <w:u w:val="single" w:color="auto"/>
                <w:color w:val="0000FF"/>
                <w:w w:val="96"/>
              </w:rPr>
            </w:pPr>
            <w:hyperlink r:id="rId117">
              <w:r>
                <w:rPr>
                  <w:rFonts w:ascii="Arial" w:cs="Arial" w:eastAsia="Arial" w:hAnsi="Arial"/>
                  <w:sz w:val="18"/>
                  <w:szCs w:val="18"/>
                  <w:u w:val="single" w:color="auto"/>
                  <w:color w:val="0000FF"/>
                  <w:w w:val="96"/>
                </w:rPr>
                <w:t>Amkor Technology, Inc., James J. Kim and 915 Investments, LP.</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tcPr>
          <w:p>
            <w:pPr>
              <w:jc w:val="right"/>
              <w:ind w:right="112"/>
              <w:spacing w:after="0" w:line="190" w:lineRule="exact"/>
              <w:rPr>
                <w:sz w:val="20"/>
                <w:szCs w:val="20"/>
                <w:color w:val="auto"/>
              </w:rPr>
            </w:pPr>
            <w:r>
              <w:rPr>
                <w:rFonts w:ascii="Arial" w:cs="Arial" w:eastAsia="Arial" w:hAnsi="Arial"/>
                <w:sz w:val="18"/>
                <w:szCs w:val="18"/>
                <w:color w:val="auto"/>
              </w:rPr>
              <w:t>10.3</w:t>
            </w:r>
          </w:p>
        </w:tc>
        <w:tc>
          <w:tcPr>
            <w:tcW w:w="5200" w:type="dxa"/>
            <w:vAlign w:val="bottom"/>
            <w:gridSpan w:val="16"/>
          </w:tcPr>
          <w:p>
            <w:pPr>
              <w:spacing w:after="0" w:line="190" w:lineRule="exact"/>
              <w:rPr>
                <w:rFonts w:ascii="Arial" w:cs="Arial" w:eastAsia="Arial" w:hAnsi="Arial"/>
                <w:sz w:val="18"/>
                <w:szCs w:val="18"/>
                <w:color w:val="0000FF"/>
                <w:w w:val="97"/>
              </w:rPr>
            </w:pPr>
            <w:hyperlink r:id="rId118">
              <w:r>
                <w:rPr>
                  <w:rFonts w:ascii="Arial" w:cs="Arial" w:eastAsia="Arial" w:hAnsi="Arial"/>
                  <w:sz w:val="18"/>
                  <w:szCs w:val="18"/>
                  <w:color w:val="0000FF"/>
                  <w:w w:val="97"/>
                </w:rPr>
                <w:t>Employment Letter Agreement, dated February 27, 2017, between</w:t>
              </w:r>
            </w:hyperlink>
          </w:p>
        </w:tc>
        <w:tc>
          <w:tcPr>
            <w:tcW w:w="68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16"/>
                <w:szCs w:val="16"/>
                <w:color w:val="auto"/>
              </w:rPr>
            </w:pPr>
          </w:p>
        </w:tc>
        <w:tc>
          <w:tcPr>
            <w:tcW w:w="940" w:type="dxa"/>
            <w:vAlign w:val="bottom"/>
          </w:tcPr>
          <w:p>
            <w:pPr>
              <w:jc w:val="center"/>
              <w:ind w:right="51"/>
              <w:spacing w:after="0" w:line="190" w:lineRule="exact"/>
              <w:rPr>
                <w:sz w:val="20"/>
                <w:szCs w:val="20"/>
                <w:color w:val="auto"/>
              </w:rPr>
            </w:pPr>
            <w:r>
              <w:rPr>
                <w:rFonts w:ascii="Arial" w:cs="Arial" w:eastAsia="Arial" w:hAnsi="Arial"/>
                <w:sz w:val="18"/>
                <w:szCs w:val="18"/>
                <w:color w:val="auto"/>
                <w:w w:val="91"/>
              </w:rPr>
              <w:t>10.1</w:t>
            </w:r>
          </w:p>
        </w:tc>
        <w:tc>
          <w:tcPr>
            <w:tcW w:w="2040" w:type="dxa"/>
            <w:vAlign w:val="bottom"/>
          </w:tcPr>
          <w:p>
            <w:pPr>
              <w:jc w:val="center"/>
              <w:ind w:right="1012"/>
              <w:spacing w:after="0" w:line="190" w:lineRule="exact"/>
              <w:rPr>
                <w:sz w:val="20"/>
                <w:szCs w:val="20"/>
                <w:color w:val="auto"/>
              </w:rPr>
            </w:pPr>
            <w:r>
              <w:rPr>
                <w:rFonts w:ascii="Arial" w:cs="Arial" w:eastAsia="Arial" w:hAnsi="Arial"/>
                <w:sz w:val="18"/>
                <w:szCs w:val="18"/>
                <w:color w:val="auto"/>
                <w:w w:val="91"/>
              </w:rPr>
              <w:t>3/3/17</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Amkor Technology, Inc. and Stephen D. Kelley.*</w:t>
              </w:r>
            </w:hyperlink>
          </w:p>
        </w:tc>
        <w:tc>
          <w:tcPr>
            <w:tcW w:w="1500" w:type="dxa"/>
            <w:vAlign w:val="bottom"/>
            <w:tcBorders>
              <w:top w:val="single" w:sz="8" w:color="0000FF"/>
            </w:tcBorders>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5200" w:type="dxa"/>
            <w:vAlign w:val="bottom"/>
            <w:tcBorders>
              <w:bottom w:val="single" w:sz="8" w:color="0000FF"/>
            </w:tcBorders>
            <w:gridSpan w:val="16"/>
          </w:tcPr>
          <w:p>
            <w:pPr>
              <w:spacing w:after="0"/>
              <w:rPr>
                <w:rFonts w:ascii="Arial" w:cs="Arial" w:eastAsia="Arial" w:hAnsi="Arial"/>
                <w:sz w:val="18"/>
                <w:szCs w:val="18"/>
                <w:color w:val="0000FF"/>
                <w:w w:val="94"/>
              </w:rPr>
            </w:pPr>
            <w:hyperlink r:id="rId119">
              <w:r>
                <w:rPr>
                  <w:rFonts w:ascii="Arial" w:cs="Arial" w:eastAsia="Arial" w:hAnsi="Arial"/>
                  <w:sz w:val="18"/>
                  <w:szCs w:val="18"/>
                  <w:color w:val="0000FF"/>
                  <w:w w:val="94"/>
                </w:rPr>
                <w:t>Form of Stock Option Award Agreement under the Second Amended</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3/31/17</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10.2</w:t>
            </w:r>
          </w:p>
        </w:tc>
        <w:tc>
          <w:tcPr>
            <w:tcW w:w="2040" w:type="dxa"/>
            <w:vAlign w:val="bottom"/>
          </w:tcPr>
          <w:p>
            <w:pPr>
              <w:jc w:val="center"/>
              <w:ind w:right="1012"/>
              <w:spacing w:after="0"/>
              <w:rPr>
                <w:sz w:val="20"/>
                <w:szCs w:val="20"/>
                <w:color w:val="auto"/>
              </w:rPr>
            </w:pPr>
            <w:r>
              <w:rPr>
                <w:rFonts w:ascii="Arial" w:cs="Arial" w:eastAsia="Arial" w:hAnsi="Arial"/>
                <w:sz w:val="18"/>
                <w:szCs w:val="18"/>
                <w:color w:val="auto"/>
                <w:w w:val="91"/>
              </w:rPr>
              <w:t>5/5/17</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080" w:type="dxa"/>
            <w:vAlign w:val="bottom"/>
            <w:tcBorders>
              <w:bottom w:val="single" w:sz="8" w:color="0000FF"/>
            </w:tcBorders>
            <w:gridSpan w:val="2"/>
          </w:tcPr>
          <w:p>
            <w:pPr>
              <w:spacing w:after="0" w:line="15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and Restated 2007 Equity Incentive Plan.*</w:t>
              </w:r>
            </w:hyperlink>
          </w:p>
        </w:tc>
        <w:tc>
          <w:tcPr>
            <w:tcW w:w="2120" w:type="dxa"/>
            <w:vAlign w:val="bottom"/>
            <w:gridSpan w:val="14"/>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10.5</w:t>
            </w:r>
          </w:p>
        </w:tc>
        <w:tc>
          <w:tcPr>
            <w:tcW w:w="5200" w:type="dxa"/>
            <w:vAlign w:val="bottom"/>
            <w:gridSpan w:val="16"/>
          </w:tcPr>
          <w:p>
            <w:pPr>
              <w:spacing w:after="0"/>
              <w:rPr>
                <w:rFonts w:ascii="Arial" w:cs="Arial" w:eastAsia="Arial" w:hAnsi="Arial"/>
                <w:sz w:val="18"/>
                <w:szCs w:val="18"/>
                <w:color w:val="0000FF"/>
              </w:rPr>
            </w:pPr>
            <w:hyperlink r:id="rId120">
              <w:r>
                <w:rPr>
                  <w:rFonts w:ascii="Arial" w:cs="Arial" w:eastAsia="Arial" w:hAnsi="Arial"/>
                  <w:sz w:val="18"/>
                  <w:szCs w:val="18"/>
                  <w:color w:val="0000FF"/>
                </w:rPr>
                <w:t>Form of Restricted Stock Award Agreement under the Second</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3/31/17</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10.3</w:t>
            </w:r>
          </w:p>
        </w:tc>
        <w:tc>
          <w:tcPr>
            <w:tcW w:w="2040" w:type="dxa"/>
            <w:vAlign w:val="bottom"/>
          </w:tcPr>
          <w:p>
            <w:pPr>
              <w:jc w:val="center"/>
              <w:ind w:right="1012"/>
              <w:spacing w:after="0"/>
              <w:rPr>
                <w:sz w:val="20"/>
                <w:szCs w:val="20"/>
                <w:color w:val="auto"/>
              </w:rPr>
            </w:pPr>
            <w:r>
              <w:rPr>
                <w:rFonts w:ascii="Arial" w:cs="Arial" w:eastAsia="Arial" w:hAnsi="Arial"/>
                <w:sz w:val="18"/>
                <w:szCs w:val="18"/>
                <w:color w:val="auto"/>
                <w:w w:val="91"/>
              </w:rPr>
              <w:t>5/5/17</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Amended and Restated 2007 Equity Incentive Plan.*</w:t>
              </w:r>
            </w:hyperlink>
          </w:p>
        </w:tc>
        <w:tc>
          <w:tcPr>
            <w:tcW w:w="13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10.6</w:t>
            </w:r>
          </w:p>
        </w:tc>
        <w:tc>
          <w:tcPr>
            <w:tcW w:w="5200" w:type="dxa"/>
            <w:vAlign w:val="bottom"/>
            <w:gridSpan w:val="16"/>
          </w:tcPr>
          <w:p>
            <w:pPr>
              <w:spacing w:after="0"/>
              <w:rPr>
                <w:rFonts w:ascii="Arial" w:cs="Arial" w:eastAsia="Arial" w:hAnsi="Arial"/>
                <w:sz w:val="18"/>
                <w:szCs w:val="18"/>
                <w:color w:val="0000FF"/>
                <w:w w:val="96"/>
              </w:rPr>
            </w:pPr>
            <w:hyperlink r:id="rId121">
              <w:r>
                <w:rPr>
                  <w:rFonts w:ascii="Arial" w:cs="Arial" w:eastAsia="Arial" w:hAnsi="Arial"/>
                  <w:sz w:val="18"/>
                  <w:szCs w:val="18"/>
                  <w:color w:val="0000FF"/>
                  <w:w w:val="96"/>
                </w:rPr>
                <w:t>Form of Outside Director Stock Option Award Agreement under the</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3/31/17</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10.4</w:t>
            </w:r>
          </w:p>
        </w:tc>
        <w:tc>
          <w:tcPr>
            <w:tcW w:w="2040" w:type="dxa"/>
            <w:vAlign w:val="bottom"/>
          </w:tcPr>
          <w:p>
            <w:pPr>
              <w:jc w:val="center"/>
              <w:ind w:right="1012"/>
              <w:spacing w:after="0"/>
              <w:rPr>
                <w:sz w:val="20"/>
                <w:szCs w:val="20"/>
                <w:color w:val="auto"/>
              </w:rPr>
            </w:pPr>
            <w:r>
              <w:rPr>
                <w:rFonts w:ascii="Arial" w:cs="Arial" w:eastAsia="Arial" w:hAnsi="Arial"/>
                <w:sz w:val="18"/>
                <w:szCs w:val="18"/>
                <w:color w:val="auto"/>
                <w:w w:val="91"/>
              </w:rPr>
              <w:t>5/5/17</w:t>
            </w: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5140" w:type="dxa"/>
            <w:vAlign w:val="bottom"/>
            <w:tcBorders>
              <w:top w:val="single" w:sz="8" w:color="0000FF"/>
            </w:tcBorders>
            <w:gridSpan w:val="13"/>
          </w:tcPr>
          <w:p>
            <w:pPr>
              <w:spacing w:after="0" w:line="195" w:lineRule="exact"/>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Second Amended and Restated 2007 Equity Incentive Plan.*</w:t>
              </w:r>
            </w:hyperlink>
          </w:p>
        </w:tc>
        <w:tc>
          <w:tcPr>
            <w:tcW w:w="60" w:type="dxa"/>
            <w:vAlign w:val="bottom"/>
            <w:gridSpan w:val="3"/>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10.7</w:t>
            </w:r>
          </w:p>
        </w:tc>
        <w:tc>
          <w:tcPr>
            <w:tcW w:w="5200" w:type="dxa"/>
            <w:vAlign w:val="bottom"/>
            <w:gridSpan w:val="16"/>
          </w:tcPr>
          <w:p>
            <w:pPr>
              <w:spacing w:after="0"/>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Second Amended and Restated 2007 Equity Incentive Plan*</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19"/>
                <w:szCs w:val="19"/>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2040" w:type="dxa"/>
            <w:vAlign w:val="bottom"/>
          </w:tcPr>
          <w:p>
            <w:pPr>
              <w:jc w:val="center"/>
              <w:ind w:right="1012"/>
              <w:spacing w:after="0"/>
              <w:rPr>
                <w:sz w:val="20"/>
                <w:szCs w:val="20"/>
                <w:color w:val="auto"/>
              </w:rPr>
            </w:pPr>
            <w:r>
              <w:rPr>
                <w:rFonts w:ascii="Arial" w:cs="Arial" w:eastAsia="Arial" w:hAnsi="Arial"/>
                <w:sz w:val="18"/>
                <w:szCs w:val="18"/>
                <w:color w:val="auto"/>
                <w:w w:val="91"/>
              </w:rPr>
              <w:t>5/5/17</w:t>
            </w:r>
          </w:p>
        </w:tc>
        <w:tc>
          <w:tcPr>
            <w:tcW w:w="0" w:type="dxa"/>
            <w:vAlign w:val="bottom"/>
          </w:tcPr>
          <w:p>
            <w:pPr>
              <w:spacing w:after="0"/>
              <w:rPr>
                <w:sz w:val="1"/>
                <w:szCs w:val="1"/>
                <w:color w:val="auto"/>
              </w:rPr>
            </w:pPr>
          </w:p>
        </w:tc>
      </w:tr>
      <w:tr>
        <w:trPr>
          <w:trHeight w:val="190"/>
        </w:trPr>
        <w:tc>
          <w:tcPr>
            <w:tcW w:w="1120" w:type="dxa"/>
            <w:vAlign w:val="bottom"/>
          </w:tcPr>
          <w:p>
            <w:pPr>
              <w:jc w:val="right"/>
              <w:ind w:right="112"/>
              <w:spacing w:after="0" w:line="190" w:lineRule="exact"/>
              <w:rPr>
                <w:sz w:val="20"/>
                <w:szCs w:val="20"/>
                <w:color w:val="auto"/>
              </w:rPr>
            </w:pPr>
            <w:r>
              <w:rPr>
                <w:rFonts w:ascii="Arial" w:cs="Arial" w:eastAsia="Arial" w:hAnsi="Arial"/>
                <w:sz w:val="18"/>
                <w:szCs w:val="18"/>
                <w:color w:val="auto"/>
              </w:rPr>
              <w:t>10.8</w:t>
            </w:r>
          </w:p>
        </w:tc>
        <w:tc>
          <w:tcPr>
            <w:tcW w:w="5200" w:type="dxa"/>
            <w:vAlign w:val="bottom"/>
            <w:gridSpan w:val="16"/>
          </w:tcPr>
          <w:p>
            <w:pPr>
              <w:spacing w:after="0" w:line="190" w:lineRule="exact"/>
              <w:rPr>
                <w:rFonts w:ascii="Arial" w:cs="Arial" w:eastAsia="Arial" w:hAnsi="Arial"/>
                <w:sz w:val="18"/>
                <w:szCs w:val="18"/>
                <w:color w:val="0000FF"/>
              </w:rPr>
            </w:pPr>
            <w:hyperlink r:id="rId123">
              <w:r>
                <w:rPr>
                  <w:rFonts w:ascii="Arial" w:cs="Arial" w:eastAsia="Arial" w:hAnsi="Arial"/>
                  <w:sz w:val="18"/>
                  <w:szCs w:val="18"/>
                  <w:color w:val="0000FF"/>
                </w:rPr>
                <w:t>Amendment One to Second Amended and Restated 2007 Equity</w:t>
              </w:r>
            </w:hyperlink>
          </w:p>
        </w:tc>
        <w:tc>
          <w:tcPr>
            <w:tcW w:w="680" w:type="dxa"/>
            <w:vAlign w:val="bottom"/>
          </w:tcPr>
          <w:p>
            <w:pPr>
              <w:jc w:val="center"/>
              <w:spacing w:after="0" w:line="190" w:lineRule="exact"/>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89"/>
              </w:rPr>
              <w:t>6/30/19</w:t>
            </w:r>
          </w:p>
        </w:tc>
        <w:tc>
          <w:tcPr>
            <w:tcW w:w="940" w:type="dxa"/>
            <w:vAlign w:val="bottom"/>
          </w:tcPr>
          <w:p>
            <w:pPr>
              <w:jc w:val="center"/>
              <w:ind w:right="51"/>
              <w:spacing w:after="0" w:line="190" w:lineRule="exact"/>
              <w:rPr>
                <w:sz w:val="20"/>
                <w:szCs w:val="20"/>
                <w:color w:val="auto"/>
              </w:rPr>
            </w:pPr>
            <w:r>
              <w:rPr>
                <w:rFonts w:ascii="Arial" w:cs="Arial" w:eastAsia="Arial" w:hAnsi="Arial"/>
                <w:sz w:val="18"/>
                <w:szCs w:val="18"/>
                <w:color w:val="auto"/>
                <w:w w:val="91"/>
              </w:rPr>
              <w:t>10.3</w:t>
            </w:r>
          </w:p>
        </w:tc>
        <w:tc>
          <w:tcPr>
            <w:tcW w:w="2040" w:type="dxa"/>
            <w:vAlign w:val="bottom"/>
          </w:tcPr>
          <w:p>
            <w:pPr>
              <w:jc w:val="center"/>
              <w:ind w:right="1012"/>
              <w:spacing w:after="0" w:line="190" w:lineRule="exact"/>
              <w:rPr>
                <w:sz w:val="20"/>
                <w:szCs w:val="20"/>
                <w:color w:val="auto"/>
              </w:rPr>
            </w:pPr>
            <w:r>
              <w:rPr>
                <w:rFonts w:ascii="Arial" w:cs="Arial" w:eastAsia="Arial" w:hAnsi="Arial"/>
                <w:sz w:val="18"/>
                <w:szCs w:val="18"/>
                <w:color w:val="auto"/>
                <w:w w:val="91"/>
              </w:rPr>
              <w:t>8/1/19</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1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123">
              <w:r>
                <w:rPr>
                  <w:rFonts w:ascii="Arial" w:cs="Arial" w:eastAsia="Arial" w:hAnsi="Arial"/>
                  <w:sz w:val="18"/>
                  <w:szCs w:val="18"/>
                  <w:color w:val="0000FF"/>
                  <w:w w:val="93"/>
                </w:rPr>
                <w:t>Incentive Plan*</w:t>
              </w:r>
            </w:hyperlink>
          </w:p>
        </w:tc>
        <w:tc>
          <w:tcPr>
            <w:tcW w:w="3900" w:type="dxa"/>
            <w:vAlign w:val="bottom"/>
            <w:tcBorders>
              <w:top w:val="single" w:sz="8" w:color="0000FF"/>
            </w:tcBorders>
            <w:gridSpan w:val="7"/>
          </w:tcPr>
          <w:p>
            <w:pPr>
              <w:spacing w:after="0"/>
              <w:rPr>
                <w:sz w:val="13"/>
                <w:szCs w:val="13"/>
                <w:color w:val="auto"/>
              </w:rPr>
            </w:pPr>
          </w:p>
        </w:tc>
        <w:tc>
          <w:tcPr>
            <w:tcW w:w="160" w:type="dxa"/>
            <w:vAlign w:val="bottom"/>
            <w:gridSpan w:val="8"/>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w w:val="99"/>
              </w:rPr>
              <w:t>Incorporated by Reference</w:t>
            </w:r>
          </w:p>
        </w:tc>
        <w:tc>
          <w:tcPr>
            <w:tcW w:w="204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122"/>
        </w:trPr>
        <w:tc>
          <w:tcPr>
            <w:tcW w:w="1120" w:type="dxa"/>
            <w:vAlign w:val="bottom"/>
          </w:tcPr>
          <w:p>
            <w:pPr>
              <w:jc w:val="right"/>
              <w:ind w:right="312"/>
              <w:spacing w:after="0" w:line="122" w:lineRule="exact"/>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20" w:type="dxa"/>
            <w:vAlign w:val="bottom"/>
            <w:gridSpan w:val="25"/>
            <w:vMerge w:val="restart"/>
          </w:tcPr>
          <w:p>
            <w:pPr>
              <w:ind w:left="700"/>
              <w:spacing w:after="0"/>
              <w:rPr>
                <w:sz w:val="20"/>
                <w:szCs w:val="20"/>
                <w:color w:val="auto"/>
              </w:rPr>
            </w:pPr>
            <w:r>
              <w:rPr>
                <w:rFonts w:ascii="Arial" w:cs="Arial" w:eastAsia="Arial" w:hAnsi="Arial"/>
                <w:sz w:val="14"/>
                <w:szCs w:val="14"/>
                <w:b w:val="1"/>
                <w:bCs w:val="1"/>
                <w:color w:val="auto"/>
              </w:rPr>
              <w:t>Exhibit Description</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Period Ending</w:t>
            </w:r>
          </w:p>
        </w:tc>
        <w:tc>
          <w:tcPr>
            <w:tcW w:w="940" w:type="dxa"/>
            <w:vAlign w:val="bottom"/>
            <w:vMerge w:val="restart"/>
          </w:tcPr>
          <w:p>
            <w:pPr>
              <w:jc w:val="center"/>
              <w:ind w:right="71"/>
              <w:spacing w:after="0"/>
              <w:rPr>
                <w:sz w:val="20"/>
                <w:szCs w:val="20"/>
                <w:color w:val="auto"/>
              </w:rPr>
            </w:pPr>
            <w:r>
              <w:rPr>
                <w:rFonts w:ascii="Arial" w:cs="Arial" w:eastAsia="Arial" w:hAnsi="Arial"/>
                <w:sz w:val="14"/>
                <w:szCs w:val="14"/>
                <w:b w:val="1"/>
                <w:bCs w:val="1"/>
                <w:color w:val="auto"/>
                <w:w w:val="98"/>
              </w:rPr>
              <w:t>Exhibit</w:t>
            </w:r>
          </w:p>
        </w:tc>
        <w:tc>
          <w:tcPr>
            <w:tcW w:w="2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Number</w:t>
            </w: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25"/>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20" w:type="dxa"/>
            <w:vAlign w:val="bottom"/>
          </w:tcPr>
          <w:p>
            <w:pPr>
              <w:jc w:val="right"/>
              <w:ind w:right="112"/>
              <w:spacing w:after="0" w:line="197" w:lineRule="exact"/>
              <w:rPr>
                <w:sz w:val="20"/>
                <w:szCs w:val="20"/>
                <w:color w:val="auto"/>
              </w:rPr>
            </w:pPr>
            <w:r>
              <w:rPr>
                <w:rFonts w:ascii="Arial" w:cs="Arial" w:eastAsia="Arial" w:hAnsi="Arial"/>
                <w:sz w:val="18"/>
                <w:szCs w:val="18"/>
                <w:color w:val="auto"/>
              </w:rPr>
              <w:t>10.9</w:t>
            </w:r>
          </w:p>
        </w:tc>
        <w:tc>
          <w:tcPr>
            <w:tcW w:w="5240" w:type="dxa"/>
            <w:vAlign w:val="bottom"/>
            <w:gridSpan w:val="28"/>
          </w:tcPr>
          <w:p>
            <w:pPr>
              <w:spacing w:after="0" w:line="197" w:lineRule="exact"/>
              <w:rPr>
                <w:rFonts w:ascii="Arial" w:cs="Arial" w:eastAsia="Arial" w:hAnsi="Arial"/>
                <w:sz w:val="18"/>
                <w:szCs w:val="18"/>
                <w:color w:val="0000FF"/>
                <w:w w:val="99"/>
              </w:rPr>
            </w:pPr>
            <w:hyperlink r:id="rId125">
              <w:r>
                <w:rPr>
                  <w:rFonts w:ascii="Arial" w:cs="Arial" w:eastAsia="Arial" w:hAnsi="Arial"/>
                  <w:sz w:val="18"/>
                  <w:szCs w:val="18"/>
                  <w:color w:val="0000FF"/>
                  <w:w w:val="99"/>
                </w:rPr>
                <w:t>Form of Global Stock Option Award Agreement under the Second</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line="197" w:lineRule="exact"/>
              <w:rPr>
                <w:sz w:val="20"/>
                <w:szCs w:val="20"/>
                <w:color w:val="auto"/>
              </w:rPr>
            </w:pPr>
            <w:r>
              <w:rPr>
                <w:rFonts w:ascii="Arial" w:cs="Arial" w:eastAsia="Arial" w:hAnsi="Arial"/>
                <w:sz w:val="18"/>
                <w:szCs w:val="18"/>
                <w:color w:val="auto"/>
                <w:w w:val="89"/>
              </w:rPr>
              <w:t>6/30/20</w:t>
            </w:r>
          </w:p>
        </w:tc>
        <w:tc>
          <w:tcPr>
            <w:tcW w:w="940" w:type="dxa"/>
            <w:vAlign w:val="bottom"/>
          </w:tcPr>
          <w:p>
            <w:pPr>
              <w:jc w:val="center"/>
              <w:ind w:right="51"/>
              <w:spacing w:after="0" w:line="197" w:lineRule="exact"/>
              <w:rPr>
                <w:sz w:val="20"/>
                <w:szCs w:val="20"/>
                <w:color w:val="auto"/>
              </w:rPr>
            </w:pPr>
            <w:r>
              <w:rPr>
                <w:rFonts w:ascii="Arial" w:cs="Arial" w:eastAsia="Arial" w:hAnsi="Arial"/>
                <w:sz w:val="18"/>
                <w:szCs w:val="18"/>
                <w:color w:val="auto"/>
                <w:w w:val="91"/>
              </w:rPr>
              <w:t>10.1</w:t>
            </w:r>
          </w:p>
        </w:tc>
        <w:tc>
          <w:tcPr>
            <w:tcW w:w="2040" w:type="dxa"/>
            <w:vAlign w:val="bottom"/>
          </w:tcPr>
          <w:p>
            <w:pPr>
              <w:jc w:val="center"/>
              <w:ind w:right="1032"/>
              <w:spacing w:after="0" w:line="197" w:lineRule="exact"/>
              <w:rPr>
                <w:sz w:val="20"/>
                <w:szCs w:val="20"/>
                <w:color w:val="auto"/>
              </w:rPr>
            </w:pPr>
            <w:r>
              <w:rPr>
                <w:rFonts w:ascii="Arial" w:cs="Arial" w:eastAsia="Arial" w:hAnsi="Arial"/>
                <w:sz w:val="18"/>
                <w:szCs w:val="18"/>
                <w:color w:val="auto"/>
                <w:w w:val="93"/>
              </w:rPr>
              <w:t>7/30/20</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08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Amended and Restated 2007 Equity Incentive Plan. *</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10.10</w:t>
            </w:r>
          </w:p>
        </w:tc>
        <w:tc>
          <w:tcPr>
            <w:tcW w:w="5240" w:type="dxa"/>
            <w:vAlign w:val="bottom"/>
            <w:gridSpan w:val="28"/>
          </w:tcPr>
          <w:p>
            <w:pPr>
              <w:spacing w:after="0"/>
              <w:rPr>
                <w:rFonts w:ascii="Arial" w:cs="Arial" w:eastAsia="Arial" w:hAnsi="Arial"/>
                <w:sz w:val="18"/>
                <w:szCs w:val="18"/>
                <w:color w:val="0000FF"/>
                <w:w w:val="94"/>
              </w:rPr>
            </w:pPr>
            <w:hyperlink r:id="rId126">
              <w:r>
                <w:rPr>
                  <w:rFonts w:ascii="Arial" w:cs="Arial" w:eastAsia="Arial" w:hAnsi="Arial"/>
                  <w:sz w:val="18"/>
                  <w:szCs w:val="18"/>
                  <w:color w:val="0000FF"/>
                  <w:w w:val="94"/>
                </w:rPr>
                <w:t>Form of Global Restricted Stock Award Agreement under the Second</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6/30/20</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10.2</w:t>
            </w:r>
          </w:p>
        </w:tc>
        <w:tc>
          <w:tcPr>
            <w:tcW w:w="2040" w:type="dxa"/>
            <w:vAlign w:val="bottom"/>
          </w:tcPr>
          <w:p>
            <w:pPr>
              <w:jc w:val="center"/>
              <w:ind w:right="1032"/>
              <w:spacing w:after="0"/>
              <w:rPr>
                <w:sz w:val="20"/>
                <w:szCs w:val="20"/>
                <w:color w:val="auto"/>
              </w:rPr>
            </w:pPr>
            <w:r>
              <w:rPr>
                <w:rFonts w:ascii="Arial" w:cs="Arial" w:eastAsia="Arial" w:hAnsi="Arial"/>
                <w:sz w:val="18"/>
                <w:szCs w:val="18"/>
                <w:color w:val="auto"/>
                <w:w w:val="93"/>
              </w:rPr>
              <w:t>7/30/20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0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Amended and Restated 2007 Equity Incentive Plan. *</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10.11</w:t>
            </w:r>
          </w:p>
        </w:tc>
        <w:tc>
          <w:tcPr>
            <w:tcW w:w="5240" w:type="dxa"/>
            <w:vAlign w:val="bottom"/>
            <w:gridSpan w:val="28"/>
          </w:tcPr>
          <w:p>
            <w:pPr>
              <w:spacing w:after="0"/>
              <w:rPr>
                <w:rFonts w:ascii="Arial" w:cs="Arial" w:eastAsia="Arial" w:hAnsi="Arial"/>
                <w:sz w:val="18"/>
                <w:szCs w:val="18"/>
                <w:color w:val="0000FF"/>
                <w:w w:val="99"/>
              </w:rPr>
            </w:pPr>
            <w:hyperlink r:id="rId127">
              <w:r>
                <w:rPr>
                  <w:rFonts w:ascii="Arial" w:cs="Arial" w:eastAsia="Arial" w:hAnsi="Arial"/>
                  <w:sz w:val="18"/>
                  <w:szCs w:val="18"/>
                  <w:color w:val="0000FF"/>
                  <w:w w:val="99"/>
                </w:rPr>
                <w:t>Form of Global Outside Director Nonstatutory Stock Option Award</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9/30/20</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2040" w:type="dxa"/>
            <w:vAlign w:val="bottom"/>
          </w:tcPr>
          <w:p>
            <w:pPr>
              <w:jc w:val="center"/>
              <w:ind w:right="1032"/>
              <w:spacing w:after="0"/>
              <w:rPr>
                <w:sz w:val="20"/>
                <w:szCs w:val="20"/>
                <w:color w:val="auto"/>
              </w:rPr>
            </w:pPr>
            <w:r>
              <w:rPr>
                <w:rFonts w:ascii="Arial" w:cs="Arial" w:eastAsia="Arial" w:hAnsi="Arial"/>
                <w:sz w:val="18"/>
                <w:szCs w:val="18"/>
                <w:color w:val="auto"/>
                <w:w w:val="91"/>
              </w:rPr>
              <w:t>10/30/20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88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Agreement under the Second Amended and Restated 2007 Equity</w:t>
              </w:r>
            </w:hyperlink>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127">
              <w:r>
                <w:rPr>
                  <w:rFonts w:ascii="Arial" w:cs="Arial" w:eastAsia="Arial" w:hAnsi="Arial"/>
                  <w:sz w:val="18"/>
                  <w:szCs w:val="18"/>
                  <w:color w:val="0000FF"/>
                  <w:w w:val="92"/>
                </w:rPr>
                <w:t>Incentive Plan.*</w:t>
              </w:r>
            </w:hyperlink>
          </w:p>
        </w:tc>
        <w:tc>
          <w:tcPr>
            <w:tcW w:w="35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10.12</w:t>
            </w:r>
          </w:p>
        </w:tc>
        <w:tc>
          <w:tcPr>
            <w:tcW w:w="5240" w:type="dxa"/>
            <w:vAlign w:val="bottom"/>
            <w:gridSpan w:val="28"/>
          </w:tcPr>
          <w:p>
            <w:pPr>
              <w:spacing w:after="0"/>
              <w:rPr>
                <w:rFonts w:ascii="Arial" w:cs="Arial" w:eastAsia="Arial" w:hAnsi="Arial"/>
                <w:sz w:val="18"/>
                <w:szCs w:val="18"/>
                <w:color w:val="0000FF"/>
                <w:w w:val="96"/>
              </w:rPr>
            </w:pPr>
            <w:hyperlink r:id="rId128">
              <w:r>
                <w:rPr>
                  <w:rFonts w:ascii="Arial" w:cs="Arial" w:eastAsia="Arial" w:hAnsi="Arial"/>
                  <w:sz w:val="18"/>
                  <w:szCs w:val="18"/>
                  <w:color w:val="0000FF"/>
                  <w:w w:val="96"/>
                </w:rPr>
                <w:t>Form of Global Outside Director Restricted Stock Award Agreement</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9/30/20</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10.2</w:t>
            </w:r>
          </w:p>
        </w:tc>
        <w:tc>
          <w:tcPr>
            <w:tcW w:w="2040" w:type="dxa"/>
            <w:vAlign w:val="bottom"/>
          </w:tcPr>
          <w:p>
            <w:pPr>
              <w:jc w:val="center"/>
              <w:ind w:right="1032"/>
              <w:spacing w:after="0"/>
              <w:rPr>
                <w:sz w:val="20"/>
                <w:szCs w:val="20"/>
                <w:color w:val="auto"/>
              </w:rPr>
            </w:pPr>
            <w:r>
              <w:rPr>
                <w:rFonts w:ascii="Arial" w:cs="Arial" w:eastAsia="Arial" w:hAnsi="Arial"/>
                <w:sz w:val="18"/>
                <w:szCs w:val="18"/>
                <w:color w:val="auto"/>
                <w:w w:val="91"/>
              </w:rPr>
              <w:t>10/30/20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960" w:type="dxa"/>
            <w:vAlign w:val="bottom"/>
            <w:tcBorders>
              <w:top w:val="single" w:sz="8" w:color="0000FF"/>
            </w:tcBorders>
            <w:gridSpan w:val="16"/>
          </w:tcPr>
          <w:p>
            <w:pPr>
              <w:spacing w:after="0" w:line="156" w:lineRule="exact"/>
              <w:rPr>
                <w:rFonts w:ascii="Arial" w:cs="Arial" w:eastAsia="Arial" w:hAnsi="Arial"/>
                <w:sz w:val="18"/>
                <w:szCs w:val="18"/>
                <w:color w:val="0000FF"/>
                <w:w w:val="96"/>
              </w:rPr>
            </w:pPr>
            <w:hyperlink r:id="rId128">
              <w:r>
                <w:rPr>
                  <w:rFonts w:ascii="Arial" w:cs="Arial" w:eastAsia="Arial" w:hAnsi="Arial"/>
                  <w:sz w:val="18"/>
                  <w:szCs w:val="18"/>
                  <w:color w:val="0000FF"/>
                  <w:w w:val="96"/>
                </w:rPr>
                <w:t>under the Second Amended and Restated 2007 Equity Incentive</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vMerge w:val="restart"/>
          </w:tcPr>
          <w:p>
            <w:pPr>
              <w:jc w:val="right"/>
              <w:ind w:right="112"/>
              <w:spacing w:after="0"/>
              <w:rPr>
                <w:sz w:val="20"/>
                <w:szCs w:val="20"/>
                <w:color w:val="auto"/>
              </w:rPr>
            </w:pPr>
            <w:r>
              <w:rPr>
                <w:rFonts w:ascii="Arial" w:cs="Arial" w:eastAsia="Arial" w:hAnsi="Arial"/>
                <w:sz w:val="18"/>
                <w:szCs w:val="18"/>
                <w:color w:val="auto"/>
              </w:rPr>
              <w:t>10.13</w:t>
            </w:r>
          </w:p>
        </w:tc>
        <w:tc>
          <w:tcPr>
            <w:tcW w:w="46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Plan.*</w:t>
              </w:r>
            </w:hyperlink>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3"/>
                <w:szCs w:val="13"/>
                <w:color w:val="auto"/>
              </w:rPr>
            </w:pPr>
          </w:p>
        </w:tc>
        <w:tc>
          <w:tcPr>
            <w:tcW w:w="940" w:type="dxa"/>
            <w:vAlign w:val="bottom"/>
            <w:vMerge w:val="restart"/>
          </w:tcPr>
          <w:p>
            <w:pPr>
              <w:jc w:val="center"/>
              <w:ind w:right="51"/>
              <w:spacing w:after="0"/>
              <w:rPr>
                <w:sz w:val="20"/>
                <w:szCs w:val="20"/>
                <w:color w:val="auto"/>
              </w:rPr>
            </w:pPr>
            <w:r>
              <w:rPr>
                <w:rFonts w:ascii="Arial" w:cs="Arial" w:eastAsia="Arial" w:hAnsi="Arial"/>
                <w:sz w:val="18"/>
                <w:szCs w:val="18"/>
                <w:color w:val="auto"/>
                <w:w w:val="91"/>
              </w:rPr>
              <w:t>10.1</w:t>
            </w:r>
          </w:p>
        </w:tc>
        <w:tc>
          <w:tcPr>
            <w:tcW w:w="2040" w:type="dxa"/>
            <w:vAlign w:val="bottom"/>
            <w:vMerge w:val="restart"/>
          </w:tcPr>
          <w:p>
            <w:pPr>
              <w:jc w:val="center"/>
              <w:ind w:right="1012"/>
              <w:spacing w:after="0"/>
              <w:rPr>
                <w:sz w:val="20"/>
                <w:szCs w:val="20"/>
                <w:color w:val="auto"/>
              </w:rPr>
            </w:pPr>
            <w:r>
              <w:rPr>
                <w:rFonts w:ascii="Arial" w:cs="Arial" w:eastAsia="Arial" w:hAnsi="Arial"/>
                <w:sz w:val="18"/>
                <w:szCs w:val="18"/>
                <w:color w:val="auto"/>
                <w:w w:val="91"/>
              </w:rPr>
              <w:t>2/5/21</w:t>
            </w: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2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5240" w:type="dxa"/>
            <w:vAlign w:val="bottom"/>
            <w:gridSpan w:val="28"/>
          </w:tcPr>
          <w:p>
            <w:pPr>
              <w:spacing w:after="0"/>
              <w:rPr>
                <w:rFonts w:ascii="Arial" w:cs="Arial" w:eastAsia="Arial" w:hAnsi="Arial"/>
                <w:sz w:val="18"/>
                <w:szCs w:val="18"/>
                <w:color w:val="0000FF"/>
              </w:rPr>
            </w:pPr>
            <w:hyperlink r:id="rId129">
              <w:r>
                <w:rPr>
                  <w:rFonts w:ascii="Arial" w:cs="Arial" w:eastAsia="Arial" w:hAnsi="Arial"/>
                  <w:sz w:val="18"/>
                  <w:szCs w:val="18"/>
                  <w:color w:val="0000FF"/>
                </w:rPr>
                <w:t>Form of Global Performance-Vested Restricted Stock Unit Award</w:t>
              </w:r>
            </w:hyperlink>
          </w:p>
        </w:tc>
        <w:tc>
          <w:tcPr>
            <w:tcW w:w="62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740" w:type="dxa"/>
            <w:vAlign w:val="bottom"/>
            <w:tcBorders>
              <w:top w:val="single" w:sz="8" w:color="0000FF"/>
            </w:tcBorders>
            <w:gridSpan w:val="11"/>
          </w:tcPr>
          <w:p>
            <w:pPr>
              <w:spacing w:after="0" w:line="182" w:lineRule="exact"/>
              <w:rPr>
                <w:rFonts w:ascii="Arial" w:cs="Arial" w:eastAsia="Arial" w:hAnsi="Arial"/>
                <w:sz w:val="18"/>
                <w:szCs w:val="18"/>
                <w:color w:val="0000FF"/>
                <w:w w:val="89"/>
              </w:rPr>
            </w:pPr>
            <w:hyperlink r:id="rId129">
              <w:r>
                <w:rPr>
                  <w:rFonts w:ascii="Arial" w:cs="Arial" w:eastAsia="Arial" w:hAnsi="Arial"/>
                  <w:sz w:val="18"/>
                  <w:szCs w:val="18"/>
                  <w:color w:val="0000FF"/>
                  <w:w w:val="89"/>
                </w:rPr>
                <w:t>Agreement under the Second Amended and Restated 2007 Equity</w:t>
              </w:r>
            </w:hyperlink>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76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129">
              <w:r>
                <w:rPr>
                  <w:rFonts w:ascii="Arial" w:cs="Arial" w:eastAsia="Arial" w:hAnsi="Arial"/>
                  <w:sz w:val="18"/>
                  <w:szCs w:val="18"/>
                  <w:color w:val="0000FF"/>
                </w:rPr>
                <w:t>Incentive Plan. *</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jc w:val="right"/>
              <w:ind w:right="112"/>
              <w:spacing w:after="0"/>
              <w:rPr>
                <w:sz w:val="20"/>
                <w:szCs w:val="20"/>
                <w:color w:val="auto"/>
              </w:rPr>
            </w:pPr>
            <w:r>
              <w:rPr>
                <w:rFonts w:ascii="Arial" w:cs="Arial" w:eastAsia="Arial" w:hAnsi="Arial"/>
                <w:sz w:val="18"/>
                <w:szCs w:val="18"/>
                <w:color w:val="auto"/>
              </w:rPr>
              <w:t>10.14</w:t>
            </w:r>
          </w:p>
        </w:tc>
        <w:tc>
          <w:tcPr>
            <w:tcW w:w="12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line="20" w:lineRule="exact"/>
              <w:rPr>
                <w:sz w:val="1"/>
                <w:szCs w:val="1"/>
                <w:color w:val="auto"/>
              </w:rPr>
            </w:pPr>
          </w:p>
        </w:tc>
        <w:tc>
          <w:tcPr>
            <w:tcW w:w="940" w:type="dxa"/>
            <w:vAlign w:val="bottom"/>
            <w:vMerge w:val="restart"/>
          </w:tcPr>
          <w:p>
            <w:pPr>
              <w:jc w:val="center"/>
              <w:ind w:right="51"/>
              <w:spacing w:after="0"/>
              <w:rPr>
                <w:sz w:val="20"/>
                <w:szCs w:val="20"/>
                <w:color w:val="auto"/>
              </w:rPr>
            </w:pPr>
            <w:r>
              <w:rPr>
                <w:rFonts w:ascii="Arial" w:cs="Arial" w:eastAsia="Arial" w:hAnsi="Arial"/>
                <w:sz w:val="18"/>
                <w:szCs w:val="18"/>
                <w:color w:val="auto"/>
                <w:w w:val="91"/>
              </w:rPr>
              <w:t>10.2</w:t>
            </w:r>
          </w:p>
        </w:tc>
        <w:tc>
          <w:tcPr>
            <w:tcW w:w="2040" w:type="dxa"/>
            <w:vAlign w:val="bottom"/>
            <w:vMerge w:val="restart"/>
          </w:tcPr>
          <w:p>
            <w:pPr>
              <w:jc w:val="center"/>
              <w:ind w:right="1012"/>
              <w:spacing w:after="0"/>
              <w:rPr>
                <w:sz w:val="20"/>
                <w:szCs w:val="20"/>
                <w:color w:val="auto"/>
              </w:rPr>
            </w:pPr>
            <w:r>
              <w:rPr>
                <w:rFonts w:ascii="Arial" w:cs="Arial" w:eastAsia="Arial" w:hAnsi="Arial"/>
                <w:sz w:val="18"/>
                <w:szCs w:val="18"/>
                <w:color w:val="auto"/>
                <w:w w:val="91"/>
              </w:rPr>
              <w:t>2/5/21</w:t>
            </w:r>
          </w:p>
        </w:tc>
        <w:tc>
          <w:tcPr>
            <w:tcW w:w="0" w:type="dxa"/>
            <w:vAlign w:val="bottom"/>
          </w:tcPr>
          <w:p>
            <w:pPr>
              <w:spacing w:after="0" w:line="20" w:lineRule="exact"/>
              <w:rPr>
                <w:sz w:val="1"/>
                <w:szCs w:val="1"/>
                <w:color w:val="auto"/>
              </w:rPr>
            </w:pPr>
          </w:p>
        </w:tc>
      </w:tr>
      <w:tr>
        <w:trPr>
          <w:trHeight w:val="237"/>
        </w:trPr>
        <w:tc>
          <w:tcPr>
            <w:tcW w:w="1120" w:type="dxa"/>
            <w:vAlign w:val="bottom"/>
            <w:vMerge w:val="continue"/>
          </w:tcPr>
          <w:p>
            <w:pPr>
              <w:spacing w:after="0"/>
              <w:rPr>
                <w:sz w:val="20"/>
                <w:szCs w:val="20"/>
                <w:color w:val="auto"/>
              </w:rPr>
            </w:pPr>
          </w:p>
        </w:tc>
        <w:tc>
          <w:tcPr>
            <w:tcW w:w="5240" w:type="dxa"/>
            <w:vAlign w:val="bottom"/>
            <w:gridSpan w:val="28"/>
          </w:tcPr>
          <w:p>
            <w:pPr>
              <w:spacing w:after="0"/>
              <w:rPr>
                <w:rFonts w:ascii="Arial" w:cs="Arial" w:eastAsia="Arial" w:hAnsi="Arial"/>
                <w:sz w:val="18"/>
                <w:szCs w:val="18"/>
                <w:color w:val="0000FF"/>
              </w:rPr>
            </w:pPr>
            <w:hyperlink r:id="rId130">
              <w:r>
                <w:rPr>
                  <w:rFonts w:ascii="Arial" w:cs="Arial" w:eastAsia="Arial" w:hAnsi="Arial"/>
                  <w:sz w:val="18"/>
                  <w:szCs w:val="18"/>
                  <w:color w:val="0000FF"/>
                </w:rPr>
                <w:t>Form of Global Time-Vested Restricted Stock Unit Award</w:t>
              </w:r>
            </w:hyperlink>
          </w:p>
        </w:tc>
        <w:tc>
          <w:tcPr>
            <w:tcW w:w="62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00" w:type="dxa"/>
            <w:vAlign w:val="bottom"/>
            <w:tcBorders>
              <w:top w:val="single" w:sz="8" w:color="0000FF"/>
            </w:tcBorders>
            <w:gridSpan w:val="9"/>
          </w:tcPr>
          <w:p>
            <w:pPr>
              <w:spacing w:after="0" w:line="182" w:lineRule="exact"/>
              <w:rPr>
                <w:rFonts w:ascii="Arial" w:cs="Arial" w:eastAsia="Arial" w:hAnsi="Arial"/>
                <w:sz w:val="18"/>
                <w:szCs w:val="18"/>
                <w:color w:val="0000FF"/>
                <w:w w:val="88"/>
              </w:rPr>
            </w:pPr>
            <w:hyperlink r:id="rId130">
              <w:r>
                <w:rPr>
                  <w:rFonts w:ascii="Arial" w:cs="Arial" w:eastAsia="Arial" w:hAnsi="Arial"/>
                  <w:sz w:val="18"/>
                  <w:szCs w:val="18"/>
                  <w:color w:val="0000FF"/>
                  <w:w w:val="88"/>
                </w:rPr>
                <w:t>Agreement under the Second Amended and Restated 2007</w:t>
              </w:r>
            </w:hyperlink>
          </w:p>
        </w:tc>
        <w:tc>
          <w:tcPr>
            <w:tcW w:w="1040" w:type="dxa"/>
            <w:vAlign w:val="bottom"/>
            <w:gridSpan w:val="19"/>
          </w:tcPr>
          <w:p>
            <w:pPr>
              <w:ind w:left="60"/>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Equity</w:t>
              </w:r>
            </w:hyperlink>
          </w:p>
        </w:tc>
        <w:tc>
          <w:tcPr>
            <w:tcW w:w="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76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Incentive Plan. *</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10.15</w:t>
            </w:r>
          </w:p>
        </w:tc>
        <w:tc>
          <w:tcPr>
            <w:tcW w:w="5240" w:type="dxa"/>
            <w:vAlign w:val="bottom"/>
            <w:gridSpan w:val="28"/>
          </w:tcPr>
          <w:p>
            <w:pPr>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Amended and Restated Executive Incentive Bonus Plan*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2"/>
                <w:szCs w:val="22"/>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10.2</w:t>
            </w:r>
          </w:p>
        </w:tc>
        <w:tc>
          <w:tcPr>
            <w:tcW w:w="2040" w:type="dxa"/>
            <w:vAlign w:val="bottom"/>
          </w:tcPr>
          <w:p>
            <w:pPr>
              <w:jc w:val="center"/>
              <w:ind w:right="1012"/>
              <w:spacing w:after="0"/>
              <w:rPr>
                <w:sz w:val="20"/>
                <w:szCs w:val="20"/>
                <w:color w:val="auto"/>
              </w:rPr>
            </w:pPr>
            <w:r>
              <w:rPr>
                <w:rFonts w:ascii="Arial" w:cs="Arial" w:eastAsia="Arial" w:hAnsi="Arial"/>
                <w:sz w:val="18"/>
                <w:szCs w:val="18"/>
                <w:color w:val="auto"/>
                <w:w w:val="91"/>
              </w:rPr>
              <w:t>5/5/17</w:t>
            </w:r>
          </w:p>
        </w:tc>
        <w:tc>
          <w:tcPr>
            <w:tcW w:w="0" w:type="dxa"/>
            <w:vAlign w:val="bottom"/>
          </w:tcPr>
          <w:p>
            <w:pPr>
              <w:spacing w:after="0"/>
              <w:rPr>
                <w:sz w:val="1"/>
                <w:szCs w:val="1"/>
                <w:color w:val="auto"/>
              </w:rPr>
            </w:pPr>
          </w:p>
        </w:tc>
      </w:tr>
      <w:tr>
        <w:trPr>
          <w:trHeight w:val="190"/>
        </w:trPr>
        <w:tc>
          <w:tcPr>
            <w:tcW w:w="1120" w:type="dxa"/>
            <w:vAlign w:val="bottom"/>
          </w:tcPr>
          <w:p>
            <w:pPr>
              <w:jc w:val="right"/>
              <w:ind w:right="112"/>
              <w:spacing w:after="0" w:line="190" w:lineRule="exact"/>
              <w:rPr>
                <w:sz w:val="20"/>
                <w:szCs w:val="20"/>
                <w:color w:val="auto"/>
              </w:rPr>
            </w:pPr>
            <w:r>
              <w:rPr>
                <w:rFonts w:ascii="Arial" w:cs="Arial" w:eastAsia="Arial" w:hAnsi="Arial"/>
                <w:sz w:val="18"/>
                <w:szCs w:val="18"/>
                <w:color w:val="auto"/>
              </w:rPr>
              <w:t>10.16</w:t>
            </w:r>
          </w:p>
        </w:tc>
        <w:tc>
          <w:tcPr>
            <w:tcW w:w="5240" w:type="dxa"/>
            <w:vAlign w:val="bottom"/>
            <w:gridSpan w:val="28"/>
          </w:tcPr>
          <w:p>
            <w:pPr>
              <w:spacing w:after="0" w:line="190" w:lineRule="exact"/>
              <w:rPr>
                <w:rFonts w:ascii="Arial" w:cs="Arial" w:eastAsia="Arial" w:hAnsi="Arial"/>
                <w:sz w:val="18"/>
                <w:szCs w:val="18"/>
                <w:color w:val="0000FF"/>
                <w:w w:val="97"/>
              </w:rPr>
            </w:pPr>
            <w:hyperlink r:id="rId132">
              <w:r>
                <w:rPr>
                  <w:rFonts w:ascii="Arial" w:cs="Arial" w:eastAsia="Arial" w:hAnsi="Arial"/>
                  <w:sz w:val="18"/>
                  <w:szCs w:val="18"/>
                  <w:color w:val="0000FF"/>
                  <w:w w:val="97"/>
                </w:rPr>
                <w:t>Retirement and Release Agreement, dated May 15, 2019, between</w:t>
              </w:r>
            </w:hyperlink>
          </w:p>
        </w:tc>
        <w:tc>
          <w:tcPr>
            <w:tcW w:w="620" w:type="dxa"/>
            <w:vAlign w:val="bottom"/>
          </w:tcPr>
          <w:p>
            <w:pPr>
              <w:jc w:val="center"/>
              <w:spacing w:after="0" w:line="190" w:lineRule="exact"/>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line="190" w:lineRule="exact"/>
              <w:rPr>
                <w:sz w:val="20"/>
                <w:szCs w:val="20"/>
                <w:color w:val="auto"/>
              </w:rPr>
            </w:pPr>
            <w:r>
              <w:rPr>
                <w:rFonts w:ascii="Arial" w:cs="Arial" w:eastAsia="Arial" w:hAnsi="Arial"/>
                <w:sz w:val="18"/>
                <w:szCs w:val="18"/>
                <w:color w:val="auto"/>
                <w:w w:val="89"/>
              </w:rPr>
              <w:t>6/30/19</w:t>
            </w:r>
          </w:p>
        </w:tc>
        <w:tc>
          <w:tcPr>
            <w:tcW w:w="940" w:type="dxa"/>
            <w:vAlign w:val="bottom"/>
          </w:tcPr>
          <w:p>
            <w:pPr>
              <w:jc w:val="center"/>
              <w:ind w:right="51"/>
              <w:spacing w:after="0" w:line="190" w:lineRule="exact"/>
              <w:rPr>
                <w:sz w:val="20"/>
                <w:szCs w:val="20"/>
                <w:color w:val="auto"/>
              </w:rPr>
            </w:pPr>
            <w:r>
              <w:rPr>
                <w:rFonts w:ascii="Arial" w:cs="Arial" w:eastAsia="Arial" w:hAnsi="Arial"/>
                <w:sz w:val="18"/>
                <w:szCs w:val="18"/>
                <w:color w:val="auto"/>
                <w:w w:val="91"/>
              </w:rPr>
              <w:t>10.1</w:t>
            </w:r>
          </w:p>
        </w:tc>
        <w:tc>
          <w:tcPr>
            <w:tcW w:w="2040" w:type="dxa"/>
            <w:vAlign w:val="bottom"/>
          </w:tcPr>
          <w:p>
            <w:pPr>
              <w:jc w:val="center"/>
              <w:ind w:right="1012"/>
              <w:spacing w:after="0" w:line="190" w:lineRule="exact"/>
              <w:rPr>
                <w:sz w:val="20"/>
                <w:szCs w:val="20"/>
                <w:color w:val="auto"/>
              </w:rPr>
            </w:pPr>
            <w:r>
              <w:rPr>
                <w:rFonts w:ascii="Arial" w:cs="Arial" w:eastAsia="Arial" w:hAnsi="Arial"/>
                <w:sz w:val="18"/>
                <w:szCs w:val="18"/>
                <w:color w:val="auto"/>
                <w:w w:val="91"/>
              </w:rPr>
              <w:t>8/1/19</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29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4"/>
              </w:rPr>
            </w:pPr>
            <w:hyperlink r:id="rId132">
              <w:r>
                <w:rPr>
                  <w:rFonts w:ascii="Arial" w:cs="Arial" w:eastAsia="Arial" w:hAnsi="Arial"/>
                  <w:sz w:val="18"/>
                  <w:szCs w:val="18"/>
                  <w:color w:val="0000FF"/>
                  <w:w w:val="94"/>
                </w:rPr>
                <w:t>Amkor Technology, Inc. and Gil C. Tily*</w:t>
              </w:r>
            </w:hyperlink>
          </w:p>
        </w:tc>
        <w:tc>
          <w:tcPr>
            <w:tcW w:w="1800" w:type="dxa"/>
            <w:vAlign w:val="bottom"/>
            <w:tcBorders>
              <w:top w:val="single" w:sz="8" w:color="0000FF"/>
            </w:tcBorders>
            <w:gridSpan w:val="8"/>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10.17</w:t>
            </w:r>
          </w:p>
        </w:tc>
        <w:tc>
          <w:tcPr>
            <w:tcW w:w="5240" w:type="dxa"/>
            <w:vAlign w:val="bottom"/>
            <w:gridSpan w:val="28"/>
          </w:tcPr>
          <w:p>
            <w:pPr>
              <w:spacing w:after="0"/>
              <w:rPr>
                <w:rFonts w:ascii="Arial" w:cs="Arial" w:eastAsia="Arial" w:hAnsi="Arial"/>
                <w:sz w:val="18"/>
                <w:szCs w:val="18"/>
                <w:color w:val="0000FF"/>
                <w:w w:val="94"/>
              </w:rPr>
            </w:pPr>
            <w:hyperlink r:id="rId133">
              <w:r>
                <w:rPr>
                  <w:rFonts w:ascii="Arial" w:cs="Arial" w:eastAsia="Arial" w:hAnsi="Arial"/>
                  <w:sz w:val="18"/>
                  <w:szCs w:val="18"/>
                  <w:color w:val="0000FF"/>
                  <w:w w:val="94"/>
                </w:rPr>
                <w:t>Employment Letter Agreement, dated June 24, 2020, between Amkor</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6/30/20</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10.3</w:t>
            </w:r>
          </w:p>
        </w:tc>
        <w:tc>
          <w:tcPr>
            <w:tcW w:w="2040" w:type="dxa"/>
            <w:vAlign w:val="bottom"/>
          </w:tcPr>
          <w:p>
            <w:pPr>
              <w:jc w:val="center"/>
              <w:ind w:right="1032"/>
              <w:spacing w:after="0"/>
              <w:rPr>
                <w:sz w:val="20"/>
                <w:szCs w:val="20"/>
                <w:color w:val="auto"/>
              </w:rPr>
            </w:pPr>
            <w:r>
              <w:rPr>
                <w:rFonts w:ascii="Arial" w:cs="Arial" w:eastAsia="Arial" w:hAnsi="Arial"/>
                <w:sz w:val="18"/>
                <w:szCs w:val="18"/>
                <w:color w:val="auto"/>
                <w:w w:val="91"/>
              </w:rPr>
              <w:t>10/30/20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Technology, Inc. and Guillaume Marie Jean Rutten.*</w:t>
              </w:r>
            </w:hyperlink>
          </w:p>
        </w:tc>
        <w:tc>
          <w:tcPr>
            <w:tcW w:w="13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10.18</w:t>
            </w:r>
          </w:p>
        </w:tc>
        <w:tc>
          <w:tcPr>
            <w:tcW w:w="5240" w:type="dxa"/>
            <w:vAlign w:val="bottom"/>
            <w:gridSpan w:val="28"/>
          </w:tcPr>
          <w:p>
            <w:pPr>
              <w:spacing w:after="0"/>
              <w:rPr>
                <w:rFonts w:ascii="Arial" w:cs="Arial" w:eastAsia="Arial" w:hAnsi="Arial"/>
                <w:sz w:val="18"/>
                <w:szCs w:val="18"/>
                <w:color w:val="0000FF"/>
                <w:w w:val="96"/>
              </w:rPr>
            </w:pPr>
            <w:hyperlink r:id="rId134">
              <w:r>
                <w:rPr>
                  <w:rFonts w:ascii="Arial" w:cs="Arial" w:eastAsia="Arial" w:hAnsi="Arial"/>
                  <w:sz w:val="18"/>
                  <w:szCs w:val="18"/>
                  <w:color w:val="0000FF"/>
                  <w:w w:val="96"/>
                </w:rPr>
                <w:t>Separation Agreement and Release, effective July 4, 2020, between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6/30/20</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10.4</w:t>
            </w:r>
          </w:p>
        </w:tc>
        <w:tc>
          <w:tcPr>
            <w:tcW w:w="2040" w:type="dxa"/>
            <w:vAlign w:val="bottom"/>
          </w:tcPr>
          <w:p>
            <w:pPr>
              <w:jc w:val="center"/>
              <w:ind w:right="1032"/>
              <w:spacing w:after="0"/>
              <w:rPr>
                <w:sz w:val="20"/>
                <w:szCs w:val="20"/>
                <w:color w:val="auto"/>
              </w:rPr>
            </w:pPr>
            <w:r>
              <w:rPr>
                <w:rFonts w:ascii="Arial" w:cs="Arial" w:eastAsia="Arial" w:hAnsi="Arial"/>
                <w:sz w:val="18"/>
                <w:szCs w:val="18"/>
                <w:color w:val="auto"/>
                <w:w w:val="91"/>
              </w:rPr>
              <w:t>10/30/20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Amkor Technology, Inc. and Stephen D. Kelley.*</w:t>
              </w:r>
            </w:hyperlink>
          </w:p>
        </w:tc>
        <w:tc>
          <w:tcPr>
            <w:tcW w:w="1300" w:type="dxa"/>
            <w:vAlign w:val="bottom"/>
            <w:tcBorders>
              <w:top w:val="single" w:sz="8" w:color="0000FF"/>
            </w:tcBorders>
            <w:gridSpan w:val="7"/>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10.19</w:t>
            </w:r>
          </w:p>
        </w:tc>
        <w:tc>
          <w:tcPr>
            <w:tcW w:w="5240" w:type="dxa"/>
            <w:vAlign w:val="bottom"/>
            <w:gridSpan w:val="28"/>
          </w:tcPr>
          <w:p>
            <w:pPr>
              <w:spacing w:after="0"/>
              <w:rPr>
                <w:rFonts w:ascii="Arial" w:cs="Arial" w:eastAsia="Arial" w:hAnsi="Arial"/>
                <w:sz w:val="18"/>
                <w:szCs w:val="18"/>
                <w:color w:val="0000FF"/>
              </w:rPr>
            </w:pPr>
            <w:hyperlink r:id="rId135">
              <w:r>
                <w:rPr>
                  <w:rFonts w:ascii="Arial" w:cs="Arial" w:eastAsia="Arial" w:hAnsi="Arial"/>
                  <w:sz w:val="18"/>
                  <w:szCs w:val="18"/>
                  <w:color w:val="0000FF"/>
                </w:rPr>
                <w:t>Syndicated  Loan  Agreement  among  J-Devices  Corporation,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8"/>
                <w:szCs w:val="18"/>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2040" w:type="dxa"/>
            <w:vAlign w:val="bottom"/>
          </w:tcPr>
          <w:p>
            <w:pPr>
              <w:jc w:val="center"/>
              <w:ind w:right="1032"/>
              <w:spacing w:after="0"/>
              <w:rPr>
                <w:sz w:val="20"/>
                <w:szCs w:val="20"/>
                <w:color w:val="auto"/>
              </w:rPr>
            </w:pPr>
            <w:r>
              <w:rPr>
                <w:rFonts w:ascii="Arial" w:cs="Arial" w:eastAsia="Arial" w:hAnsi="Arial"/>
                <w:sz w:val="18"/>
                <w:szCs w:val="18"/>
                <w:color w:val="auto"/>
                <w:w w:val="93"/>
              </w:rPr>
              <w:t>7/19/18</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Sumitomo  Mitsui  Banking  Corporation  and  other  financial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5240" w:type="dxa"/>
            <w:vAlign w:val="bottom"/>
            <w:gridSpan w:val="28"/>
          </w:tcPr>
          <w:p>
            <w:pPr>
              <w:spacing w:after="0" w:line="195" w:lineRule="exact"/>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institutions, dated as of July 13, 2018 (English translation).</w:t>
              </w:r>
            </w:hyperlink>
          </w:p>
        </w:tc>
        <w:tc>
          <w:tcPr>
            <w:tcW w:w="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tcPr>
          <w:p>
            <w:pPr>
              <w:jc w:val="right"/>
              <w:ind w:right="112"/>
              <w:spacing w:after="0" w:line="190" w:lineRule="exact"/>
              <w:rPr>
                <w:sz w:val="20"/>
                <w:szCs w:val="20"/>
                <w:color w:val="auto"/>
              </w:rPr>
            </w:pPr>
            <w:r>
              <w:rPr>
                <w:rFonts w:ascii="Arial" w:cs="Arial" w:eastAsia="Arial" w:hAnsi="Arial"/>
                <w:sz w:val="18"/>
                <w:szCs w:val="18"/>
                <w:color w:val="auto"/>
              </w:rPr>
              <w:t>10.20</w:t>
            </w:r>
          </w:p>
        </w:tc>
        <w:tc>
          <w:tcPr>
            <w:tcW w:w="5240" w:type="dxa"/>
            <w:vAlign w:val="bottom"/>
            <w:gridSpan w:val="28"/>
          </w:tcPr>
          <w:p>
            <w:pPr>
              <w:spacing w:after="0" w:line="190" w:lineRule="exact"/>
              <w:rPr>
                <w:rFonts w:ascii="Arial" w:cs="Arial" w:eastAsia="Arial" w:hAnsi="Arial"/>
                <w:sz w:val="18"/>
                <w:szCs w:val="18"/>
                <w:color w:val="0000FF"/>
              </w:rPr>
            </w:pPr>
            <w:hyperlink r:id="rId136">
              <w:r>
                <w:rPr>
                  <w:rFonts w:ascii="Arial" w:cs="Arial" w:eastAsia="Arial" w:hAnsi="Arial"/>
                  <w:sz w:val="18"/>
                  <w:szCs w:val="18"/>
                  <w:color w:val="0000FF"/>
                </w:rPr>
                <w:t>Guaranty by Amkor Technology, Inc. in favor of Sumitomo Mitsui</w:t>
              </w:r>
            </w:hyperlink>
          </w:p>
        </w:tc>
        <w:tc>
          <w:tcPr>
            <w:tcW w:w="62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6"/>
                <w:szCs w:val="16"/>
                <w:color w:val="auto"/>
              </w:rPr>
            </w:pPr>
          </w:p>
        </w:tc>
        <w:tc>
          <w:tcPr>
            <w:tcW w:w="940" w:type="dxa"/>
            <w:vAlign w:val="bottom"/>
          </w:tcPr>
          <w:p>
            <w:pPr>
              <w:jc w:val="center"/>
              <w:ind w:right="51"/>
              <w:spacing w:after="0" w:line="190" w:lineRule="exact"/>
              <w:rPr>
                <w:sz w:val="20"/>
                <w:szCs w:val="20"/>
                <w:color w:val="auto"/>
              </w:rPr>
            </w:pPr>
            <w:r>
              <w:rPr>
                <w:rFonts w:ascii="Arial" w:cs="Arial" w:eastAsia="Arial" w:hAnsi="Arial"/>
                <w:sz w:val="18"/>
                <w:szCs w:val="18"/>
                <w:color w:val="auto"/>
                <w:w w:val="91"/>
              </w:rPr>
              <w:t>10.2</w:t>
            </w:r>
          </w:p>
        </w:tc>
        <w:tc>
          <w:tcPr>
            <w:tcW w:w="2040" w:type="dxa"/>
            <w:vAlign w:val="bottom"/>
          </w:tcPr>
          <w:p>
            <w:pPr>
              <w:jc w:val="center"/>
              <w:ind w:right="1032"/>
              <w:spacing w:after="0" w:line="190" w:lineRule="exact"/>
              <w:rPr>
                <w:sz w:val="20"/>
                <w:szCs w:val="20"/>
                <w:color w:val="auto"/>
              </w:rPr>
            </w:pPr>
            <w:r>
              <w:rPr>
                <w:rFonts w:ascii="Arial" w:cs="Arial" w:eastAsia="Arial" w:hAnsi="Arial"/>
                <w:sz w:val="18"/>
                <w:szCs w:val="18"/>
                <w:color w:val="auto"/>
                <w:w w:val="93"/>
              </w:rPr>
              <w:t>7/19/18</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20" w:type="dxa"/>
            <w:vAlign w:val="bottom"/>
            <w:tcBorders>
              <w:top w:val="single" w:sz="8" w:color="0000FF"/>
            </w:tcBorders>
            <w:gridSpan w:val="27"/>
          </w:tcPr>
          <w:p>
            <w:pPr>
              <w:spacing w:after="0" w:line="156" w:lineRule="exact"/>
              <w:rPr>
                <w:rFonts w:ascii="Arial" w:cs="Arial" w:eastAsia="Arial" w:hAnsi="Arial"/>
                <w:sz w:val="18"/>
                <w:szCs w:val="18"/>
                <w:color w:val="0000FF"/>
                <w:w w:val="95"/>
              </w:rPr>
            </w:pPr>
            <w:hyperlink r:id="rId136">
              <w:r>
                <w:rPr>
                  <w:rFonts w:ascii="Arial" w:cs="Arial" w:eastAsia="Arial" w:hAnsi="Arial"/>
                  <w:sz w:val="18"/>
                  <w:szCs w:val="18"/>
                  <w:color w:val="0000FF"/>
                  <w:w w:val="95"/>
                </w:rPr>
                <w:t>Banking Corporation and other financial institutions, dated as of July</w:t>
              </w:r>
            </w:hyperlink>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0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13, 2018 (English translation).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10.21</w:t>
            </w:r>
          </w:p>
        </w:tc>
        <w:tc>
          <w:tcPr>
            <w:tcW w:w="5240" w:type="dxa"/>
            <w:vAlign w:val="bottom"/>
            <w:gridSpan w:val="28"/>
          </w:tcPr>
          <w:p>
            <w:pPr>
              <w:spacing w:after="0"/>
              <w:rPr>
                <w:rFonts w:ascii="Arial" w:cs="Arial" w:eastAsia="Arial" w:hAnsi="Arial"/>
                <w:sz w:val="18"/>
                <w:szCs w:val="18"/>
                <w:color w:val="0000FF"/>
              </w:rPr>
            </w:pPr>
            <w:hyperlink r:id="rId137">
              <w:r>
                <w:rPr>
                  <w:rFonts w:ascii="Arial" w:cs="Arial" w:eastAsia="Arial" w:hAnsi="Arial"/>
                  <w:sz w:val="18"/>
                  <w:szCs w:val="18"/>
                  <w:color w:val="0000FF"/>
                </w:rPr>
                <w:t>Loan and Security Agreement, dated as of July 13, 2018, by and</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8"/>
                <w:szCs w:val="18"/>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10.3</w:t>
            </w:r>
          </w:p>
        </w:tc>
        <w:tc>
          <w:tcPr>
            <w:tcW w:w="2040" w:type="dxa"/>
            <w:vAlign w:val="bottom"/>
          </w:tcPr>
          <w:p>
            <w:pPr>
              <w:jc w:val="center"/>
              <w:ind w:right="1032"/>
              <w:spacing w:after="0"/>
              <w:rPr>
                <w:sz w:val="20"/>
                <w:szCs w:val="20"/>
                <w:color w:val="auto"/>
              </w:rPr>
            </w:pPr>
            <w:r>
              <w:rPr>
                <w:rFonts w:ascii="Arial" w:cs="Arial" w:eastAsia="Arial" w:hAnsi="Arial"/>
                <w:sz w:val="18"/>
                <w:szCs w:val="18"/>
                <w:color w:val="auto"/>
                <w:w w:val="93"/>
              </w:rPr>
              <w:t>7/19/18</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among Amkor Technology Singapore Holding Pte, Ltd., Bank of</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40" w:type="dxa"/>
            <w:vAlign w:val="bottom"/>
            <w:gridSpan w:val="23"/>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America, N.A. and other financial institutions.</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340" w:type="dxa"/>
            <w:vAlign w:val="bottom"/>
            <w:gridSpan w:val="6"/>
            <w:shd w:val="clear" w:color="auto" w:fill="0000FF"/>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10.22</w:t>
            </w:r>
          </w:p>
        </w:tc>
        <w:tc>
          <w:tcPr>
            <w:tcW w:w="5240" w:type="dxa"/>
            <w:vAlign w:val="bottom"/>
            <w:gridSpan w:val="28"/>
          </w:tcPr>
          <w:p>
            <w:pPr>
              <w:spacing w:after="0"/>
              <w:rPr>
                <w:rFonts w:ascii="Arial" w:cs="Arial" w:eastAsia="Arial" w:hAnsi="Arial"/>
                <w:sz w:val="18"/>
                <w:szCs w:val="18"/>
                <w:color w:val="0000FF"/>
              </w:rPr>
            </w:pPr>
            <w:hyperlink r:id="rId138">
              <w:r>
                <w:rPr>
                  <w:rFonts w:ascii="Arial" w:cs="Arial" w:eastAsia="Arial" w:hAnsi="Arial"/>
                  <w:sz w:val="18"/>
                  <w:szCs w:val="18"/>
                  <w:color w:val="0000FF"/>
                </w:rPr>
                <w:t>Amendment to Loan and Security Agreement, dated as of July 8,</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6/30/19</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10.2</w:t>
            </w:r>
          </w:p>
        </w:tc>
        <w:tc>
          <w:tcPr>
            <w:tcW w:w="2040" w:type="dxa"/>
            <w:vAlign w:val="bottom"/>
          </w:tcPr>
          <w:p>
            <w:pPr>
              <w:jc w:val="center"/>
              <w:ind w:right="1012"/>
              <w:spacing w:after="0"/>
              <w:rPr>
                <w:sz w:val="20"/>
                <w:szCs w:val="20"/>
                <w:color w:val="auto"/>
              </w:rPr>
            </w:pPr>
            <w:r>
              <w:rPr>
                <w:rFonts w:ascii="Arial" w:cs="Arial" w:eastAsia="Arial" w:hAnsi="Arial"/>
                <w:sz w:val="18"/>
                <w:szCs w:val="18"/>
                <w:color w:val="auto"/>
                <w:w w:val="91"/>
              </w:rPr>
              <w:t>8/1/19</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0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7"/>
              </w:rPr>
            </w:pPr>
            <w:hyperlink r:id="rId138">
              <w:r>
                <w:rPr>
                  <w:rFonts w:ascii="Arial" w:cs="Arial" w:eastAsia="Arial" w:hAnsi="Arial"/>
                  <w:sz w:val="18"/>
                  <w:szCs w:val="18"/>
                  <w:color w:val="0000FF"/>
                  <w:w w:val="97"/>
                </w:rPr>
                <w:t>2019, by and amount Amkor Technology Singapore Holding Pte,</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5120" w:type="dxa"/>
            <w:vAlign w:val="bottom"/>
            <w:gridSpan w:val="22"/>
          </w:tcPr>
          <w:p>
            <w:pPr>
              <w:spacing w:after="0" w:line="195" w:lineRule="exact"/>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Ltd., Bank of America, N.A. and other financial institutions.</w:t>
              </w:r>
            </w:hyperlink>
          </w:p>
        </w:tc>
        <w:tc>
          <w:tcPr>
            <w:tcW w:w="40" w:type="dxa"/>
            <w:vAlign w:val="bottom"/>
            <w:gridSpan w:val="2"/>
          </w:tcPr>
          <w:p>
            <w:pPr>
              <w:spacing w:after="0"/>
              <w:rPr>
                <w:sz w:val="16"/>
                <w:szCs w:val="16"/>
                <w:color w:val="auto"/>
              </w:rPr>
            </w:pPr>
          </w:p>
        </w:tc>
        <w:tc>
          <w:tcPr>
            <w:tcW w:w="80" w:type="dxa"/>
            <w:vAlign w:val="bottom"/>
            <w:gridSpan w:val="4"/>
          </w:tcPr>
          <w:p>
            <w:pPr>
              <w:spacing w:after="0"/>
              <w:rPr>
                <w:sz w:val="16"/>
                <w:szCs w:val="16"/>
                <w:color w:val="auto"/>
              </w:rPr>
            </w:pPr>
          </w:p>
        </w:tc>
        <w:tc>
          <w:tcPr>
            <w:tcW w:w="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tcPr>
          <w:p>
            <w:pPr>
              <w:jc w:val="right"/>
              <w:ind w:right="112"/>
              <w:spacing w:after="0" w:line="190" w:lineRule="exact"/>
              <w:rPr>
                <w:sz w:val="20"/>
                <w:szCs w:val="20"/>
                <w:color w:val="auto"/>
              </w:rPr>
            </w:pPr>
            <w:r>
              <w:rPr>
                <w:rFonts w:ascii="Arial" w:cs="Arial" w:eastAsia="Arial" w:hAnsi="Arial"/>
                <w:sz w:val="18"/>
                <w:szCs w:val="18"/>
                <w:color w:val="auto"/>
              </w:rPr>
              <w:t>10.23</w:t>
            </w:r>
          </w:p>
        </w:tc>
        <w:tc>
          <w:tcPr>
            <w:tcW w:w="5240" w:type="dxa"/>
            <w:vAlign w:val="bottom"/>
            <w:gridSpan w:val="28"/>
          </w:tcPr>
          <w:p>
            <w:pPr>
              <w:spacing w:after="0" w:line="190" w:lineRule="exact"/>
              <w:rPr>
                <w:rFonts w:ascii="Arial" w:cs="Arial" w:eastAsia="Arial" w:hAnsi="Arial"/>
                <w:sz w:val="18"/>
                <w:szCs w:val="18"/>
                <w:color w:val="0000FF"/>
                <w:w w:val="95"/>
              </w:rPr>
            </w:pPr>
            <w:hyperlink r:id="rId139">
              <w:r>
                <w:rPr>
                  <w:rFonts w:ascii="Arial" w:cs="Arial" w:eastAsia="Arial" w:hAnsi="Arial"/>
                  <w:sz w:val="18"/>
                  <w:szCs w:val="18"/>
                  <w:color w:val="0000FF"/>
                  <w:w w:val="95"/>
                </w:rPr>
                <w:t>Guaranty and Security Agreement, dated as of July 13, 2018, by and</w:t>
              </w:r>
            </w:hyperlink>
          </w:p>
        </w:tc>
        <w:tc>
          <w:tcPr>
            <w:tcW w:w="62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6"/>
                <w:szCs w:val="16"/>
                <w:color w:val="auto"/>
              </w:rPr>
            </w:pPr>
          </w:p>
        </w:tc>
        <w:tc>
          <w:tcPr>
            <w:tcW w:w="940" w:type="dxa"/>
            <w:vAlign w:val="bottom"/>
          </w:tcPr>
          <w:p>
            <w:pPr>
              <w:jc w:val="center"/>
              <w:ind w:right="51"/>
              <w:spacing w:after="0" w:line="190" w:lineRule="exact"/>
              <w:rPr>
                <w:sz w:val="20"/>
                <w:szCs w:val="20"/>
                <w:color w:val="auto"/>
              </w:rPr>
            </w:pPr>
            <w:r>
              <w:rPr>
                <w:rFonts w:ascii="Arial" w:cs="Arial" w:eastAsia="Arial" w:hAnsi="Arial"/>
                <w:sz w:val="18"/>
                <w:szCs w:val="18"/>
                <w:color w:val="auto"/>
                <w:w w:val="91"/>
              </w:rPr>
              <w:t>10.4</w:t>
            </w:r>
          </w:p>
        </w:tc>
        <w:tc>
          <w:tcPr>
            <w:tcW w:w="2040" w:type="dxa"/>
            <w:vAlign w:val="bottom"/>
          </w:tcPr>
          <w:p>
            <w:pPr>
              <w:jc w:val="center"/>
              <w:ind w:right="1032"/>
              <w:spacing w:after="0" w:line="190" w:lineRule="exact"/>
              <w:rPr>
                <w:sz w:val="20"/>
                <w:szCs w:val="20"/>
                <w:color w:val="auto"/>
              </w:rPr>
            </w:pPr>
            <w:r>
              <w:rPr>
                <w:rFonts w:ascii="Arial" w:cs="Arial" w:eastAsia="Arial" w:hAnsi="Arial"/>
                <w:sz w:val="18"/>
                <w:szCs w:val="18"/>
                <w:color w:val="auto"/>
                <w:w w:val="93"/>
              </w:rPr>
              <w:t>7/19/18</w:t>
            </w: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5160" w:type="dxa"/>
            <w:vAlign w:val="bottom"/>
            <w:tcBorders>
              <w:top w:val="single" w:sz="8" w:color="0000FF"/>
            </w:tcBorders>
            <w:gridSpan w:val="24"/>
          </w:tcPr>
          <w:p>
            <w:pPr>
              <w:spacing w:after="0" w:line="195" w:lineRule="exact"/>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among Amkor Technology, Inc., and Bank of America, N.A.</w:t>
              </w:r>
            </w:hyperlink>
          </w:p>
        </w:tc>
        <w:tc>
          <w:tcPr>
            <w:tcW w:w="80" w:type="dxa"/>
            <w:vAlign w:val="bottom"/>
            <w:gridSpan w:val="4"/>
          </w:tcPr>
          <w:p>
            <w:pPr>
              <w:spacing w:after="0"/>
              <w:rPr>
                <w:sz w:val="16"/>
                <w:szCs w:val="16"/>
                <w:color w:val="auto"/>
              </w:rPr>
            </w:pPr>
          </w:p>
        </w:tc>
        <w:tc>
          <w:tcPr>
            <w:tcW w:w="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tcPr>
          <w:p>
            <w:pPr>
              <w:jc w:val="right"/>
              <w:ind w:right="112"/>
              <w:spacing w:after="0" w:line="190" w:lineRule="exact"/>
              <w:rPr>
                <w:sz w:val="20"/>
                <w:szCs w:val="20"/>
                <w:color w:val="auto"/>
              </w:rPr>
            </w:pPr>
            <w:r>
              <w:rPr>
                <w:rFonts w:ascii="Arial" w:cs="Arial" w:eastAsia="Arial" w:hAnsi="Arial"/>
                <w:sz w:val="18"/>
                <w:szCs w:val="18"/>
                <w:color w:val="auto"/>
              </w:rPr>
              <w:t>10.24</w:t>
            </w:r>
          </w:p>
        </w:tc>
        <w:tc>
          <w:tcPr>
            <w:tcW w:w="5240" w:type="dxa"/>
            <w:vAlign w:val="bottom"/>
            <w:gridSpan w:val="28"/>
          </w:tcPr>
          <w:p>
            <w:pPr>
              <w:spacing w:after="0" w:line="190" w:lineRule="exact"/>
              <w:rPr>
                <w:rFonts w:ascii="Arial" w:cs="Arial" w:eastAsia="Arial" w:hAnsi="Arial"/>
                <w:sz w:val="18"/>
                <w:szCs w:val="18"/>
                <w:color w:val="0000FF"/>
              </w:rPr>
            </w:pPr>
            <w:hyperlink r:id="rId140">
              <w:r>
                <w:rPr>
                  <w:rFonts w:ascii="Arial" w:cs="Arial" w:eastAsia="Arial" w:hAnsi="Arial"/>
                  <w:sz w:val="18"/>
                  <w:szCs w:val="18"/>
                  <w:color w:val="0000FF"/>
                </w:rPr>
                <w:t>Syndicated  Loan  Agreement  among  J-Devices  Corporation,</w:t>
              </w:r>
            </w:hyperlink>
          </w:p>
        </w:tc>
        <w:tc>
          <w:tcPr>
            <w:tcW w:w="62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6"/>
                <w:szCs w:val="16"/>
                <w:color w:val="auto"/>
              </w:rPr>
            </w:pPr>
          </w:p>
        </w:tc>
        <w:tc>
          <w:tcPr>
            <w:tcW w:w="940" w:type="dxa"/>
            <w:vAlign w:val="bottom"/>
          </w:tcPr>
          <w:p>
            <w:pPr>
              <w:jc w:val="center"/>
              <w:ind w:right="51"/>
              <w:spacing w:after="0" w:line="190" w:lineRule="exact"/>
              <w:rPr>
                <w:sz w:val="20"/>
                <w:szCs w:val="20"/>
                <w:color w:val="auto"/>
              </w:rPr>
            </w:pPr>
            <w:r>
              <w:rPr>
                <w:rFonts w:ascii="Arial" w:cs="Arial" w:eastAsia="Arial" w:hAnsi="Arial"/>
                <w:sz w:val="18"/>
                <w:szCs w:val="18"/>
                <w:color w:val="auto"/>
                <w:w w:val="91"/>
              </w:rPr>
              <w:t>10.1</w:t>
            </w:r>
          </w:p>
        </w:tc>
        <w:tc>
          <w:tcPr>
            <w:tcW w:w="2040" w:type="dxa"/>
            <w:vAlign w:val="bottom"/>
          </w:tcPr>
          <w:p>
            <w:pPr>
              <w:jc w:val="center"/>
              <w:ind w:right="1032"/>
              <w:spacing w:after="0" w:line="190" w:lineRule="exact"/>
              <w:rPr>
                <w:sz w:val="20"/>
                <w:szCs w:val="20"/>
                <w:color w:val="auto"/>
              </w:rPr>
            </w:pPr>
            <w:r>
              <w:rPr>
                <w:rFonts w:ascii="Arial" w:cs="Arial" w:eastAsia="Arial" w:hAnsi="Arial"/>
                <w:sz w:val="18"/>
                <w:szCs w:val="18"/>
                <w:color w:val="auto"/>
                <w:w w:val="91"/>
              </w:rPr>
              <w:t>12/26/19</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Sumitomo  Mitsui  Banking  Corporation  and  other  financial</w:t>
              </w:r>
            </w:hyperlink>
          </w:p>
        </w:tc>
        <w:tc>
          <w:tcPr>
            <w:tcW w:w="40" w:type="dxa"/>
            <w:vAlign w:val="bottom"/>
            <w:tcBorders>
              <w:bottom w:val="single" w:sz="8" w:color="0000FF"/>
            </w:tcBorders>
            <w:gridSpan w:val="2"/>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120" w:type="dxa"/>
            <w:vAlign w:val="bottom"/>
          </w:tcPr>
          <w:p>
            <w:pPr>
              <w:spacing w:after="0"/>
              <w:rPr>
                <w:sz w:val="19"/>
                <w:szCs w:val="19"/>
                <w:color w:val="auto"/>
              </w:rPr>
            </w:pPr>
          </w:p>
        </w:tc>
        <w:tc>
          <w:tcPr>
            <w:tcW w:w="5240" w:type="dxa"/>
            <w:vAlign w:val="bottom"/>
            <w:gridSpan w:val="28"/>
          </w:tcPr>
          <w:p>
            <w:pPr>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institutions, dated as of December 23, 2019 (English translation)</w:t>
              </w:r>
            </w:hyperlink>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w w:val="98"/>
              </w:rPr>
              <w:t>Incorporated by Reference</w:t>
            </w:r>
          </w:p>
        </w:tc>
        <w:tc>
          <w:tcPr>
            <w:tcW w:w="2040" w:type="dxa"/>
            <w:vAlign w:val="bottom"/>
            <w:tcBorders>
              <w:bottom w:val="single" w:sz="8" w:color="auto"/>
            </w:tcBorders>
          </w:tcPr>
          <w:p>
            <w:pPr>
              <w:jc w:val="center"/>
              <w:ind w:left="992"/>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121"/>
        </w:trPr>
        <w:tc>
          <w:tcPr>
            <w:tcW w:w="1120" w:type="dxa"/>
            <w:vAlign w:val="bottom"/>
          </w:tcPr>
          <w:p>
            <w:pPr>
              <w:jc w:val="right"/>
              <w:ind w:right="312"/>
              <w:spacing w:after="0" w:line="122" w:lineRule="exact"/>
              <w:rPr>
                <w:sz w:val="20"/>
                <w:szCs w:val="20"/>
                <w:color w:val="auto"/>
              </w:rPr>
            </w:pPr>
            <w:r>
              <w:rPr>
                <w:rFonts w:ascii="Arial" w:cs="Arial" w:eastAsia="Arial" w:hAnsi="Arial"/>
                <w:sz w:val="14"/>
                <w:szCs w:val="14"/>
                <w:b w:val="1"/>
                <w:bCs w:val="1"/>
                <w:color w:val="auto"/>
              </w:rPr>
              <w:t>Exhibit</w:t>
            </w:r>
          </w:p>
        </w:tc>
        <w:tc>
          <w:tcPr>
            <w:tcW w:w="5200" w:type="dxa"/>
            <w:vAlign w:val="bottom"/>
            <w:gridSpan w:val="13"/>
            <w:vMerge w:val="restart"/>
          </w:tcPr>
          <w:p>
            <w:pPr>
              <w:ind w:left="192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Period Ending</w:t>
            </w:r>
          </w:p>
        </w:tc>
        <w:tc>
          <w:tcPr>
            <w:tcW w:w="94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8"/>
              </w:rPr>
              <w:t>Exhibit</w:t>
            </w:r>
          </w:p>
        </w:tc>
        <w:tc>
          <w:tcPr>
            <w:tcW w:w="2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Number</w:t>
            </w:r>
          </w:p>
        </w:tc>
        <w:tc>
          <w:tcPr>
            <w:tcW w:w="5200" w:type="dxa"/>
            <w:vAlign w:val="bottom"/>
            <w:tcBorders>
              <w:bottom w:val="single" w:sz="8" w:color="auto"/>
            </w:tcBorders>
            <w:gridSpan w:val="13"/>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Pr>
          <w:p>
            <w:pPr>
              <w:jc w:val="right"/>
              <w:ind w:right="112"/>
              <w:spacing w:after="0" w:line="184" w:lineRule="exact"/>
              <w:rPr>
                <w:sz w:val="20"/>
                <w:szCs w:val="20"/>
                <w:color w:val="auto"/>
              </w:rPr>
            </w:pPr>
            <w:r>
              <w:rPr>
                <w:rFonts w:ascii="Arial" w:cs="Arial" w:eastAsia="Arial" w:hAnsi="Arial"/>
                <w:sz w:val="18"/>
                <w:szCs w:val="18"/>
                <w:color w:val="auto"/>
              </w:rPr>
              <w:t>10.25</w:t>
            </w:r>
          </w:p>
        </w:tc>
        <w:tc>
          <w:tcPr>
            <w:tcW w:w="5200" w:type="dxa"/>
            <w:vAlign w:val="bottom"/>
            <w:gridSpan w:val="13"/>
          </w:tcPr>
          <w:p>
            <w:pPr>
              <w:spacing w:after="0" w:line="184" w:lineRule="exact"/>
              <w:rPr>
                <w:rFonts w:ascii="Arial" w:cs="Arial" w:eastAsia="Arial" w:hAnsi="Arial"/>
                <w:sz w:val="18"/>
                <w:szCs w:val="18"/>
                <w:color w:val="0000FF"/>
              </w:rPr>
            </w:pPr>
            <w:hyperlink r:id="rId142">
              <w:r>
                <w:rPr>
                  <w:rFonts w:ascii="Arial" w:cs="Arial" w:eastAsia="Arial" w:hAnsi="Arial"/>
                  <w:sz w:val="18"/>
                  <w:szCs w:val="18"/>
                  <w:color w:val="0000FF"/>
                </w:rPr>
                <w:t>Guaranty by Amkor Technology, Inc. in favor of Sumitomo Mitsui</w:t>
              </w:r>
            </w:hyperlink>
          </w:p>
        </w:tc>
        <w:tc>
          <w:tcPr>
            <w:tcW w:w="680" w:type="dxa"/>
            <w:vAlign w:val="bottom"/>
          </w:tcPr>
          <w:p>
            <w:pPr>
              <w:jc w:val="center"/>
              <w:spacing w:after="0" w:line="184" w:lineRule="exact"/>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15"/>
                <w:szCs w:val="15"/>
                <w:color w:val="auto"/>
              </w:rPr>
            </w:pPr>
          </w:p>
        </w:tc>
        <w:tc>
          <w:tcPr>
            <w:tcW w:w="940" w:type="dxa"/>
            <w:vAlign w:val="bottom"/>
          </w:tcPr>
          <w:p>
            <w:pPr>
              <w:jc w:val="center"/>
              <w:ind w:right="56"/>
              <w:spacing w:after="0" w:line="184" w:lineRule="exact"/>
              <w:rPr>
                <w:sz w:val="20"/>
                <w:szCs w:val="20"/>
                <w:color w:val="auto"/>
              </w:rPr>
            </w:pPr>
            <w:r>
              <w:rPr>
                <w:rFonts w:ascii="Arial" w:cs="Arial" w:eastAsia="Arial" w:hAnsi="Arial"/>
                <w:sz w:val="18"/>
                <w:szCs w:val="18"/>
                <w:color w:val="auto"/>
                <w:w w:val="91"/>
              </w:rPr>
              <w:t>10.2</w:t>
            </w:r>
          </w:p>
        </w:tc>
        <w:tc>
          <w:tcPr>
            <w:tcW w:w="2040" w:type="dxa"/>
            <w:vAlign w:val="bottom"/>
          </w:tcPr>
          <w:p>
            <w:pPr>
              <w:ind w:left="140"/>
              <w:spacing w:after="0" w:line="184" w:lineRule="exact"/>
              <w:rPr>
                <w:sz w:val="20"/>
                <w:szCs w:val="20"/>
                <w:color w:val="auto"/>
              </w:rPr>
            </w:pPr>
            <w:r>
              <w:rPr>
                <w:rFonts w:ascii="Arial" w:cs="Arial" w:eastAsia="Arial" w:hAnsi="Arial"/>
                <w:sz w:val="18"/>
                <w:szCs w:val="18"/>
                <w:color w:val="auto"/>
              </w:rPr>
              <w:t>12/26/19</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Banking Corporation and other financial institutions, dated as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42">
              <w:r>
                <w:rPr>
                  <w:rFonts w:ascii="Arial" w:cs="Arial" w:eastAsia="Arial" w:hAnsi="Arial"/>
                  <w:sz w:val="18"/>
                  <w:szCs w:val="18"/>
                  <w:color w:val="0000FF"/>
                  <w:w w:val="90"/>
                </w:rPr>
                <w:t>December 23, 2019 (English translation)</w:t>
              </w:r>
            </w:hyperlink>
          </w:p>
        </w:tc>
        <w:tc>
          <w:tcPr>
            <w:tcW w:w="220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10.26</w:t>
            </w:r>
          </w:p>
        </w:tc>
        <w:tc>
          <w:tcPr>
            <w:tcW w:w="5200" w:type="dxa"/>
            <w:vAlign w:val="bottom"/>
            <w:gridSpan w:val="13"/>
          </w:tcPr>
          <w:p>
            <w:pPr>
              <w:spacing w:after="0"/>
              <w:rPr>
                <w:rFonts w:ascii="Arial" w:cs="Arial" w:eastAsia="Arial" w:hAnsi="Arial"/>
                <w:sz w:val="18"/>
                <w:szCs w:val="18"/>
                <w:color w:val="0000FF"/>
                <w:w w:val="94"/>
              </w:rPr>
            </w:pPr>
            <w:hyperlink r:id="rId143">
              <w:r>
                <w:rPr>
                  <w:rFonts w:ascii="Arial" w:cs="Arial" w:eastAsia="Arial" w:hAnsi="Arial"/>
                  <w:sz w:val="18"/>
                  <w:szCs w:val="18"/>
                  <w:color w:val="0000FF"/>
                  <w:w w:val="94"/>
                </w:rPr>
                <w:t>Deed of Guaranty by Amkor Technology Singapore Holding Pte. Ltd.</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18"/>
                <w:szCs w:val="18"/>
                <w:color w:val="auto"/>
              </w:rPr>
            </w:pPr>
          </w:p>
        </w:tc>
        <w:tc>
          <w:tcPr>
            <w:tcW w:w="940" w:type="dxa"/>
            <w:vAlign w:val="bottom"/>
          </w:tcPr>
          <w:p>
            <w:pPr>
              <w:jc w:val="center"/>
              <w:ind w:right="56"/>
              <w:spacing w:after="0"/>
              <w:rPr>
                <w:sz w:val="20"/>
                <w:szCs w:val="20"/>
                <w:color w:val="auto"/>
              </w:rPr>
            </w:pPr>
            <w:r>
              <w:rPr>
                <w:rFonts w:ascii="Arial" w:cs="Arial" w:eastAsia="Arial" w:hAnsi="Arial"/>
                <w:sz w:val="18"/>
                <w:szCs w:val="18"/>
                <w:color w:val="auto"/>
                <w:w w:val="91"/>
              </w:rPr>
              <w:t>10.3</w:t>
            </w:r>
          </w:p>
        </w:tc>
        <w:tc>
          <w:tcPr>
            <w:tcW w:w="2040" w:type="dxa"/>
            <w:vAlign w:val="bottom"/>
          </w:tcPr>
          <w:p>
            <w:pPr>
              <w:ind w:left="140"/>
              <w:spacing w:after="0"/>
              <w:rPr>
                <w:sz w:val="20"/>
                <w:szCs w:val="20"/>
                <w:color w:val="auto"/>
              </w:rPr>
            </w:pPr>
            <w:r>
              <w:rPr>
                <w:rFonts w:ascii="Arial" w:cs="Arial" w:eastAsia="Arial" w:hAnsi="Arial"/>
                <w:sz w:val="18"/>
                <w:szCs w:val="18"/>
                <w:color w:val="auto"/>
              </w:rPr>
              <w:t>12/26/19</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0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3"/>
              </w:rPr>
            </w:pPr>
            <w:hyperlink r:id="rId143">
              <w:r>
                <w:rPr>
                  <w:rFonts w:ascii="Arial" w:cs="Arial" w:eastAsia="Arial" w:hAnsi="Arial"/>
                  <w:sz w:val="18"/>
                  <w:szCs w:val="18"/>
                  <w:color w:val="0000FF"/>
                  <w:w w:val="93"/>
                </w:rPr>
                <w:t>in favor of Sumitomo Mitsui Banking Corporation and other financial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5100" w:type="dxa"/>
            <w:vAlign w:val="bottom"/>
            <w:gridSpan w:val="8"/>
          </w:tcPr>
          <w:p>
            <w:pPr>
              <w:spacing w:after="0" w:line="195" w:lineRule="exact"/>
              <w:rPr>
                <w:rFonts w:ascii="Arial" w:cs="Arial" w:eastAsia="Arial" w:hAnsi="Arial"/>
                <w:sz w:val="18"/>
                <w:szCs w:val="18"/>
                <w:u w:val="single" w:color="auto"/>
                <w:color w:val="0000FF"/>
                <w:w w:val="99"/>
              </w:rPr>
            </w:pPr>
            <w:hyperlink r:id="rId143">
              <w:r>
                <w:rPr>
                  <w:rFonts w:ascii="Arial" w:cs="Arial" w:eastAsia="Arial" w:hAnsi="Arial"/>
                  <w:sz w:val="18"/>
                  <w:szCs w:val="18"/>
                  <w:u w:val="single" w:color="auto"/>
                  <w:color w:val="0000FF"/>
                  <w:w w:val="99"/>
                </w:rPr>
                <w:t>institutions, dated as of December 23, 2019 (English translation)</w:t>
              </w:r>
            </w:hyperlink>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21.1</w:t>
            </w:r>
          </w:p>
        </w:tc>
        <w:tc>
          <w:tcPr>
            <w:tcW w:w="5200" w:type="dxa"/>
            <w:vAlign w:val="bottom"/>
            <w:gridSpan w:val="13"/>
          </w:tcPr>
          <w:p>
            <w:pPr>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List of subsidiaries of the Registrant.</w:t>
              </w:r>
            </w:hyperlink>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tcPr>
          <w:p>
            <w:pPr>
              <w:jc w:val="center"/>
              <w:ind w:left="10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23.1</w:t>
            </w:r>
          </w:p>
        </w:tc>
        <w:tc>
          <w:tcPr>
            <w:tcW w:w="5200" w:type="dxa"/>
            <w:vAlign w:val="bottom"/>
            <w:gridSpan w:val="13"/>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Consent of PricewaterhouseCoopers LLP.</w:t>
              </w:r>
            </w:hyperlink>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tcPr>
          <w:p>
            <w:pPr>
              <w:jc w:val="center"/>
              <w:ind w:left="10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0"/>
        </w:trPr>
        <w:tc>
          <w:tcPr>
            <w:tcW w:w="1120" w:type="dxa"/>
            <w:vAlign w:val="bottom"/>
          </w:tcPr>
          <w:p>
            <w:pPr>
              <w:jc w:val="right"/>
              <w:ind w:right="112"/>
              <w:spacing w:after="0" w:line="190" w:lineRule="exact"/>
              <w:rPr>
                <w:sz w:val="20"/>
                <w:szCs w:val="20"/>
                <w:color w:val="auto"/>
              </w:rPr>
            </w:pPr>
            <w:r>
              <w:rPr>
                <w:rFonts w:ascii="Arial" w:cs="Arial" w:eastAsia="Arial" w:hAnsi="Arial"/>
                <w:sz w:val="18"/>
                <w:szCs w:val="18"/>
                <w:color w:val="auto"/>
              </w:rPr>
              <w:t>31.1</w:t>
            </w:r>
          </w:p>
        </w:tc>
        <w:tc>
          <w:tcPr>
            <w:tcW w:w="5200" w:type="dxa"/>
            <w:vAlign w:val="bottom"/>
            <w:tcBorders>
              <w:bottom w:val="single" w:sz="8" w:color="0000FF"/>
            </w:tcBorders>
            <w:gridSpan w:val="13"/>
          </w:tcPr>
          <w:p>
            <w:pPr>
              <w:spacing w:after="0" w:line="190" w:lineRule="exact"/>
              <w:rPr>
                <w:rFonts w:ascii="Arial" w:cs="Arial" w:eastAsia="Arial" w:hAnsi="Arial"/>
                <w:sz w:val="18"/>
                <w:szCs w:val="18"/>
                <w:color w:val="0000FF"/>
              </w:rPr>
            </w:pPr>
            <w:hyperlink w:anchor="page101">
              <w:r>
                <w:rPr>
                  <w:rFonts w:ascii="Arial" w:cs="Arial" w:eastAsia="Arial" w:hAnsi="Arial"/>
                  <w:sz w:val="18"/>
                  <w:szCs w:val="18"/>
                  <w:color w:val="0000FF"/>
                </w:rPr>
                <w:t>Certification of Guillaume  Marie  Jean  Rutten,  Chief  Executive</w:t>
              </w:r>
            </w:hyperlink>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40" w:type="dxa"/>
            <w:vAlign w:val="bottom"/>
          </w:tcPr>
          <w:p>
            <w:pPr>
              <w:jc w:val="center"/>
              <w:ind w:left="1012"/>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00" w:type="dxa"/>
            <w:vAlign w:val="bottom"/>
            <w:gridSpan w:val="13"/>
          </w:tcPr>
          <w:p>
            <w:pPr>
              <w:spacing w:after="0" w:line="156" w:lineRule="exact"/>
              <w:rPr>
                <w:rFonts w:ascii="Arial" w:cs="Arial" w:eastAsia="Arial" w:hAnsi="Arial"/>
                <w:sz w:val="18"/>
                <w:szCs w:val="18"/>
                <w:color w:val="0000FF"/>
                <w:w w:val="94"/>
              </w:rPr>
            </w:pPr>
            <w:hyperlink w:anchor="page101">
              <w:r>
                <w:rPr>
                  <w:rFonts w:ascii="Arial" w:cs="Arial" w:eastAsia="Arial" w:hAnsi="Arial"/>
                  <w:sz w:val="18"/>
                  <w:szCs w:val="18"/>
                  <w:color w:val="0000FF"/>
                  <w:w w:val="94"/>
                </w:rPr>
                <w:t>Officer of Amkor Technology, Inc., Pursuant to Rule 13a-14(a) under</w:t>
              </w:r>
            </w:hyperlink>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w:anchor="page101">
              <w:r>
                <w:rPr>
                  <w:rFonts w:ascii="Arial" w:cs="Arial" w:eastAsia="Arial" w:hAnsi="Arial"/>
                  <w:sz w:val="18"/>
                  <w:szCs w:val="18"/>
                  <w:color w:val="0000FF"/>
                  <w:w w:val="89"/>
                </w:rPr>
                <w:t>the Securities Exchange Act of 1934, as amended.</w:t>
              </w:r>
            </w:hyperlink>
          </w:p>
        </w:tc>
        <w:tc>
          <w:tcPr>
            <w:tcW w:w="15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31.2</w:t>
            </w:r>
          </w:p>
        </w:tc>
        <w:tc>
          <w:tcPr>
            <w:tcW w:w="5200" w:type="dxa"/>
            <w:vAlign w:val="bottom"/>
            <w:gridSpan w:val="13"/>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Certification of Megan Faust, Chief Financial Officer of Amkor</w:t>
              </w:r>
            </w:hyperlink>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40" w:type="dxa"/>
            <w:vAlign w:val="bottom"/>
          </w:tcPr>
          <w:p>
            <w:pPr>
              <w:jc w:val="center"/>
              <w:ind w:left="10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6"/>
              </w:rPr>
            </w:pPr>
            <w:hyperlink w:anchor="page102">
              <w:r>
                <w:rPr>
                  <w:rFonts w:ascii="Arial" w:cs="Arial" w:eastAsia="Arial" w:hAnsi="Arial"/>
                  <w:sz w:val="18"/>
                  <w:szCs w:val="18"/>
                  <w:color w:val="0000FF"/>
                  <w:w w:val="96"/>
                </w:rPr>
                <w:t>Technology, Inc., Pursuant to Rule 13a-14(a) under the Securities</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2600" w:type="dxa"/>
            <w:vAlign w:val="bottom"/>
            <w:tcBorders>
              <w:bottom w:val="single" w:sz="8" w:color="0000FF"/>
            </w:tcBorders>
          </w:tcPr>
          <w:p>
            <w:pPr>
              <w:spacing w:after="0" w:line="156" w:lineRule="exact"/>
              <w:rPr>
                <w:rFonts w:ascii="Arial" w:cs="Arial" w:eastAsia="Arial" w:hAnsi="Arial"/>
                <w:sz w:val="18"/>
                <w:szCs w:val="18"/>
                <w:color w:val="0000FF"/>
                <w:w w:val="88"/>
              </w:rPr>
            </w:pPr>
            <w:hyperlink w:anchor="page102">
              <w:r>
                <w:rPr>
                  <w:rFonts w:ascii="Arial" w:cs="Arial" w:eastAsia="Arial" w:hAnsi="Arial"/>
                  <w:sz w:val="18"/>
                  <w:szCs w:val="18"/>
                  <w:color w:val="0000FF"/>
                  <w:w w:val="88"/>
                </w:rPr>
                <w:t>Exchange Act of 1934, as amended.</w:t>
              </w:r>
            </w:hyperlink>
          </w:p>
        </w:tc>
        <w:tc>
          <w:tcPr>
            <w:tcW w:w="248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32.1</w:t>
            </w:r>
          </w:p>
        </w:tc>
        <w:tc>
          <w:tcPr>
            <w:tcW w:w="5200" w:type="dxa"/>
            <w:vAlign w:val="bottom"/>
            <w:gridSpan w:val="13"/>
          </w:tcPr>
          <w:p>
            <w:pPr>
              <w:spacing w:after="0"/>
              <w:rPr>
                <w:rFonts w:ascii="Arial" w:cs="Arial" w:eastAsia="Arial" w:hAnsi="Arial"/>
                <w:sz w:val="18"/>
                <w:szCs w:val="18"/>
                <w:color w:val="0000FF"/>
                <w:w w:val="99"/>
              </w:rPr>
            </w:pPr>
            <w:hyperlink w:anchor="page103">
              <w:r>
                <w:rPr>
                  <w:rFonts w:ascii="Arial" w:cs="Arial" w:eastAsia="Arial" w:hAnsi="Arial"/>
                  <w:sz w:val="18"/>
                  <w:szCs w:val="18"/>
                  <w:color w:val="0000FF"/>
                  <w:w w:val="99"/>
                </w:rPr>
                <w:t>Certification of Chief Executive Officer and Chief Financial Officer</w:t>
              </w:r>
            </w:hyperlink>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40" w:type="dxa"/>
            <w:vAlign w:val="bottom"/>
          </w:tcPr>
          <w:p>
            <w:pPr>
              <w:jc w:val="center"/>
              <w:ind w:left="10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20" w:type="dxa"/>
            <w:vAlign w:val="bottom"/>
            <w:tcBorders>
              <w:top w:val="single" w:sz="8" w:color="0000FF"/>
            </w:tcBorders>
            <w:gridSpan w:val="9"/>
          </w:tcPr>
          <w:p>
            <w:pPr>
              <w:spacing w:after="0" w:line="156" w:lineRule="exact"/>
              <w:rPr>
                <w:rFonts w:ascii="Arial" w:cs="Arial" w:eastAsia="Arial" w:hAnsi="Arial"/>
                <w:sz w:val="18"/>
                <w:szCs w:val="18"/>
                <w:color w:val="0000FF"/>
                <w:w w:val="93"/>
              </w:rPr>
            </w:pPr>
            <w:hyperlink w:anchor="page103">
              <w:r>
                <w:rPr>
                  <w:rFonts w:ascii="Arial" w:cs="Arial" w:eastAsia="Arial" w:hAnsi="Arial"/>
                  <w:sz w:val="18"/>
                  <w:szCs w:val="18"/>
                  <w:color w:val="0000FF"/>
                  <w:w w:val="93"/>
                </w:rPr>
                <w:t>Pursuant to 18 U.S.C. Section 1350, as Adopted Pursuant to Section</w:t>
              </w:r>
            </w:hyperlink>
          </w:p>
        </w:tc>
        <w:tc>
          <w:tcPr>
            <w:tcW w:w="8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103">
              <w:r>
                <w:rPr>
                  <w:rFonts w:ascii="Arial" w:cs="Arial" w:eastAsia="Arial" w:hAnsi="Arial"/>
                  <w:sz w:val="18"/>
                  <w:szCs w:val="18"/>
                  <w:color w:val="0000FF"/>
                  <w:w w:val="90"/>
                </w:rPr>
                <w:t>906 of the Sarbanes-Oxley Act of 2002.</w:t>
              </w:r>
            </w:hyperlink>
          </w:p>
        </w:tc>
        <w:tc>
          <w:tcPr>
            <w:tcW w:w="2160" w:type="dxa"/>
            <w:vAlign w:val="bottom"/>
            <w:tcBorders>
              <w:top w:val="single" w:sz="8" w:color="0000FF"/>
            </w:tcBorders>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101.INS</w:t>
            </w:r>
          </w:p>
        </w:tc>
        <w:tc>
          <w:tcPr>
            <w:tcW w:w="5200" w:type="dxa"/>
            <w:vAlign w:val="bottom"/>
            <w:gridSpan w:val="13"/>
          </w:tcPr>
          <w:p>
            <w:pPr>
              <w:spacing w:after="0" w:line="196" w:lineRule="exact"/>
              <w:rPr>
                <w:sz w:val="20"/>
                <w:szCs w:val="20"/>
                <w:color w:val="auto"/>
              </w:rPr>
            </w:pPr>
            <w:r>
              <w:rPr>
                <w:rFonts w:ascii="Arial" w:cs="Arial" w:eastAsia="Arial" w:hAnsi="Arial"/>
                <w:sz w:val="18"/>
                <w:szCs w:val="18"/>
                <w:color w:val="auto"/>
                <w:w w:val="98"/>
              </w:rPr>
              <w:t>Inline XBRL Instance Document - the instance document does not</w:t>
            </w: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40" w:type="dxa"/>
            <w:vAlign w:val="bottom"/>
          </w:tcPr>
          <w:p>
            <w:pPr>
              <w:jc w:val="center"/>
              <w:ind w:left="1012"/>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5200" w:type="dxa"/>
            <w:vAlign w:val="bottom"/>
            <w:gridSpan w:val="13"/>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5200" w:type="dxa"/>
            <w:vAlign w:val="bottom"/>
            <w:gridSpan w:val="13"/>
          </w:tcPr>
          <w:p>
            <w:pPr>
              <w:spacing w:after="0"/>
              <w:rPr>
                <w:sz w:val="20"/>
                <w:szCs w:val="20"/>
                <w:color w:val="auto"/>
              </w:rPr>
            </w:pPr>
            <w:r>
              <w:rPr>
                <w:rFonts w:ascii="Arial" w:cs="Arial" w:eastAsia="Arial" w:hAnsi="Arial"/>
                <w:sz w:val="18"/>
                <w:szCs w:val="18"/>
                <w:color w:val="auto"/>
              </w:rPr>
              <w:t>embedded within the Inline XBRL document.</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101.SCH</w:t>
            </w:r>
          </w:p>
        </w:tc>
        <w:tc>
          <w:tcPr>
            <w:tcW w:w="520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tcPr>
          <w:p>
            <w:pPr>
              <w:jc w:val="center"/>
              <w:ind w:left="10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101.CAL</w:t>
            </w:r>
          </w:p>
        </w:tc>
        <w:tc>
          <w:tcPr>
            <w:tcW w:w="5200" w:type="dxa"/>
            <w:vAlign w:val="bottom"/>
            <w:gridSpan w:val="13"/>
          </w:tcPr>
          <w:p>
            <w:pPr>
              <w:spacing w:after="0"/>
              <w:rPr>
                <w:sz w:val="20"/>
                <w:szCs w:val="20"/>
                <w:color w:val="auto"/>
              </w:rPr>
            </w:pPr>
            <w:r>
              <w:rPr>
                <w:rFonts w:ascii="Arial" w:cs="Arial" w:eastAsia="Arial" w:hAnsi="Arial"/>
                <w:sz w:val="18"/>
                <w:szCs w:val="18"/>
                <w:color w:val="auto"/>
                <w:w w:val="98"/>
              </w:rPr>
              <w:t>Inline XBRL Taxonomy Extension Calculation Linkbase Document</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tcPr>
          <w:p>
            <w:pPr>
              <w:jc w:val="center"/>
              <w:ind w:left="10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101.LAB</w:t>
            </w:r>
          </w:p>
        </w:tc>
        <w:tc>
          <w:tcPr>
            <w:tcW w:w="520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tcPr>
          <w:p>
            <w:pPr>
              <w:jc w:val="center"/>
              <w:ind w:left="10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101.PRE</w:t>
            </w:r>
          </w:p>
        </w:tc>
        <w:tc>
          <w:tcPr>
            <w:tcW w:w="5200" w:type="dxa"/>
            <w:vAlign w:val="bottom"/>
            <w:gridSpan w:val="13"/>
          </w:tcPr>
          <w:p>
            <w:pPr>
              <w:spacing w:after="0"/>
              <w:rPr>
                <w:sz w:val="20"/>
                <w:szCs w:val="20"/>
                <w:color w:val="auto"/>
              </w:rPr>
            </w:pPr>
            <w:r>
              <w:rPr>
                <w:rFonts w:ascii="Arial" w:cs="Arial" w:eastAsia="Arial" w:hAnsi="Arial"/>
                <w:sz w:val="18"/>
                <w:szCs w:val="18"/>
                <w:color w:val="auto"/>
                <w:w w:val="96"/>
              </w:rPr>
              <w:t>Inline XBRL Taxonomy Extension Presentation Linkbase Document</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tcPr>
          <w:p>
            <w:pPr>
              <w:jc w:val="center"/>
              <w:ind w:left="10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101.DEF</w:t>
            </w:r>
          </w:p>
        </w:tc>
        <w:tc>
          <w:tcPr>
            <w:tcW w:w="520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tcPr>
          <w:p>
            <w:pPr>
              <w:jc w:val="center"/>
              <w:ind w:left="10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1120" w:type="dxa"/>
            <w:vAlign w:val="bottom"/>
          </w:tcPr>
          <w:p>
            <w:pPr>
              <w:jc w:val="right"/>
              <w:ind w:right="112"/>
              <w:spacing w:after="0" w:line="176" w:lineRule="exact"/>
              <w:rPr>
                <w:sz w:val="20"/>
                <w:szCs w:val="20"/>
                <w:color w:val="auto"/>
              </w:rPr>
            </w:pPr>
            <w:r>
              <w:rPr>
                <w:rFonts w:ascii="Arial" w:cs="Arial" w:eastAsia="Arial" w:hAnsi="Arial"/>
                <w:sz w:val="18"/>
                <w:szCs w:val="18"/>
                <w:color w:val="auto"/>
              </w:rPr>
              <w:t>104</w:t>
            </w:r>
          </w:p>
        </w:tc>
        <w:tc>
          <w:tcPr>
            <w:tcW w:w="5200" w:type="dxa"/>
            <w:vAlign w:val="bottom"/>
            <w:gridSpan w:val="13"/>
          </w:tcPr>
          <w:p>
            <w:pPr>
              <w:spacing w:after="0" w:line="176" w:lineRule="exact"/>
              <w:rPr>
                <w:sz w:val="20"/>
                <w:szCs w:val="20"/>
                <w:color w:val="auto"/>
              </w:rPr>
            </w:pPr>
            <w:r>
              <w:rPr>
                <w:rFonts w:ascii="Arial" w:cs="Arial" w:eastAsia="Arial" w:hAnsi="Arial"/>
                <w:sz w:val="18"/>
                <w:szCs w:val="18"/>
                <w:color w:val="auto"/>
              </w:rPr>
              <w:t>Cover Page Interactive Data File (formatted as Inline XBRL and</w:t>
            </w:r>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40" w:type="dxa"/>
            <w:vAlign w:val="bottom"/>
          </w:tcPr>
          <w:p>
            <w:pPr>
              <w:jc w:val="center"/>
              <w:ind w:left="1012"/>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5200" w:type="dxa"/>
            <w:vAlign w:val="bottom"/>
            <w:gridSpan w:val="13"/>
          </w:tcPr>
          <w:p>
            <w:pPr>
              <w:spacing w:after="0"/>
              <w:rPr>
                <w:sz w:val="20"/>
                <w:szCs w:val="20"/>
                <w:color w:val="auto"/>
              </w:rPr>
            </w:pPr>
            <w:r>
              <w:rPr>
                <w:rFonts w:ascii="Arial" w:cs="Arial" w:eastAsia="Arial" w:hAnsi="Arial"/>
                <w:sz w:val="18"/>
                <w:szCs w:val="18"/>
                <w:color w:val="auto"/>
              </w:rPr>
              <w:t>contained in Exhibit 101)</w:t>
            </w: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compensatory plan, contract or arrangement.</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AMKOR TECHNOLOGY, INC.</w:t>
      </w:r>
    </w:p>
    <w:p>
      <w:pPr>
        <w:spacing w:after="0" w:line="1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14605</wp:posOffset>
            </wp:positionV>
            <wp:extent cx="19799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5">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Guillaume Marie Jean Rutten</w:t>
      </w:r>
    </w:p>
    <w:p>
      <w:pPr>
        <w:ind w:left="488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Date: February 19, 2021</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Guillaume Marie Jean Rutten and Megan Faust, and each of them, his attorneys-in-fact, and agents, each with the power of substitution, for him and in his name, place and stead, in any and all capacities, to sign any and all amendments to this Report on Form 10-K,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conforming all that said attorneys-in-fact and agents of any of them, or his or their substitute or substitutes, may lawfully do or cause to be done by virtue hereof.</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85"/>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Guillaume Marie Jean Rutten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President and Chief Executive Officer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0"/>
              </w:rPr>
              <w:t>Guillaume Marie Jean Rutten</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Megan Faust</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Executive Vice President and Chief Financial Officer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87"/>
              </w:rPr>
              <w:t>Megan Faust</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J. Kim</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Executive Chairman</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88"/>
              </w:rPr>
              <w:t>James J. Kim</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Susan Y. Kim</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Executive Vice Chairman</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1"/>
              </w:rPr>
              <w:t>Susan Y. Kim</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Douglas A. Alexander</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1"/>
              </w:rPr>
              <w:t>Douglas A. Alexander</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Roger A. Carolin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3"/>
              </w:rPr>
              <w:t>Roger A. Carolin</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86"/>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Winston J. Churchill</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3"/>
              </w:rPr>
              <w:t>Winston J. Churchill</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Daniel Liao</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3"/>
              </w:rPr>
              <w:t>Daniel Liao</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MaryFrances McCourt</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2"/>
              </w:rPr>
              <w:t>MaryFrances McCourt</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R. Morse</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0"/>
              </w:rPr>
              <w:t>Robert R. Morse</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Gil C. Tily</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9"/>
              </w:rPr>
              <w:t>Gil C. Tily</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N. Watson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1"/>
              </w:rPr>
              <w:t>David N. Watson</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121" w:right="3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Pr>
          <w:p>
            <w:pPr>
              <w:ind w:left="2000"/>
              <w:spacing w:after="0"/>
              <w:rPr>
                <w:sz w:val="20"/>
                <w:szCs w:val="20"/>
                <w:color w:val="auto"/>
              </w:rPr>
            </w:pPr>
            <w:r>
              <w:rPr>
                <w:rFonts w:ascii="Arial" w:cs="Arial" w:eastAsia="Arial" w:hAnsi="Arial"/>
                <w:sz w:val="18"/>
                <w:szCs w:val="18"/>
                <w:b w:val="1"/>
                <w:bCs w:val="1"/>
                <w:color w:val="auto"/>
                <w:w w:val="89"/>
              </w:rPr>
              <w:t>Exhibit 21.1</w:t>
            </w:r>
          </w:p>
        </w:tc>
      </w:tr>
      <w:tr>
        <w:trPr>
          <w:trHeight w:val="553"/>
        </w:trPr>
        <w:tc>
          <w:tcPr>
            <w:tcW w:w="8320" w:type="dxa"/>
            <w:vAlign w:val="bottom"/>
            <w:gridSpan w:val="2"/>
          </w:tcPr>
          <w:p>
            <w:pPr>
              <w:ind w:left="4360"/>
              <w:spacing w:after="0"/>
              <w:rPr>
                <w:sz w:val="20"/>
                <w:szCs w:val="20"/>
                <w:color w:val="auto"/>
              </w:rPr>
            </w:pPr>
            <w:r>
              <w:rPr>
                <w:rFonts w:ascii="Arial" w:cs="Arial" w:eastAsia="Arial" w:hAnsi="Arial"/>
                <w:sz w:val="18"/>
                <w:szCs w:val="18"/>
                <w:b w:val="1"/>
                <w:bCs w:val="1"/>
                <w:color w:val="auto"/>
              </w:rPr>
              <w:t>AMKOR TECHNOLOGY, INC.</w:t>
            </w:r>
          </w:p>
        </w:tc>
        <w:tc>
          <w:tcPr>
            <w:tcW w:w="2920" w:type="dxa"/>
            <w:vAlign w:val="bottom"/>
          </w:tcPr>
          <w:p>
            <w:pPr>
              <w:spacing w:after="0"/>
              <w:rPr>
                <w:sz w:val="24"/>
                <w:szCs w:val="24"/>
                <w:color w:val="auto"/>
              </w:rPr>
            </w:pPr>
          </w:p>
        </w:tc>
      </w:tr>
      <w:tr>
        <w:trPr>
          <w:trHeight w:val="351"/>
        </w:trPr>
        <w:tc>
          <w:tcPr>
            <w:tcW w:w="8320" w:type="dxa"/>
            <w:vAlign w:val="bottom"/>
            <w:gridSpan w:val="2"/>
          </w:tcPr>
          <w:p>
            <w:pPr>
              <w:ind w:left="4620"/>
              <w:spacing w:after="0"/>
              <w:rPr>
                <w:sz w:val="20"/>
                <w:szCs w:val="20"/>
                <w:color w:val="auto"/>
              </w:rPr>
            </w:pPr>
            <w:r>
              <w:rPr>
                <w:rFonts w:ascii="Arial" w:cs="Arial" w:eastAsia="Arial" w:hAnsi="Arial"/>
                <w:sz w:val="18"/>
                <w:szCs w:val="18"/>
                <w:b w:val="1"/>
                <w:bCs w:val="1"/>
                <w:color w:val="auto"/>
              </w:rPr>
              <w:t>LIST OF SUBSIDIARIES</w:t>
            </w:r>
          </w:p>
        </w:tc>
        <w:tc>
          <w:tcPr>
            <w:tcW w:w="2920" w:type="dxa"/>
            <w:vAlign w:val="bottom"/>
          </w:tcPr>
          <w:p>
            <w:pPr>
              <w:spacing w:after="0"/>
              <w:rPr>
                <w:sz w:val="24"/>
                <w:szCs w:val="24"/>
                <w:color w:val="auto"/>
              </w:rPr>
            </w:pPr>
          </w:p>
        </w:tc>
      </w:tr>
      <w:tr>
        <w:trPr>
          <w:trHeight w:val="291"/>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Subsidiary</w:t>
            </w:r>
          </w:p>
        </w:tc>
        <w:tc>
          <w:tcPr>
            <w:tcW w:w="260" w:type="dxa"/>
            <w:vAlign w:val="bottom"/>
          </w:tcPr>
          <w:p>
            <w:pPr>
              <w:spacing w:after="0"/>
              <w:rPr>
                <w:sz w:val="24"/>
                <w:szCs w:val="24"/>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30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Advanced Technology Taiwan, Inc.</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Taiwan</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Assembly &amp; Test (Shanghai) Co., Ltd.</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Euroservices, S.A.S.</w:t>
            </w:r>
          </w:p>
        </w:tc>
        <w:tc>
          <w:tcPr>
            <w:tcW w:w="292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Holding, B.V.</w:t>
            </w:r>
          </w:p>
        </w:tc>
        <w:tc>
          <w:tcPr>
            <w:tcW w:w="292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Holding, B.V., Germany (A Branch of a Netherlands Company)</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Germany</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Korea, Inc.</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Korea</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Limited</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Cayman Islands</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Malaysia Sdn. Bhd.</w:t>
            </w:r>
          </w:p>
        </w:tc>
        <w:tc>
          <w:tcPr>
            <w:tcW w:w="2920" w:type="dxa"/>
            <w:vAlign w:val="bottom"/>
          </w:tcPr>
          <w:p>
            <w:pPr>
              <w:jc w:val="center"/>
              <w:spacing w:after="0"/>
              <w:rPr>
                <w:sz w:val="20"/>
                <w:szCs w:val="20"/>
                <w:color w:val="auto"/>
              </w:rPr>
            </w:pPr>
            <w:r>
              <w:rPr>
                <w:rFonts w:ascii="Arial" w:cs="Arial" w:eastAsia="Arial" w:hAnsi="Arial"/>
                <w:sz w:val="18"/>
                <w:szCs w:val="18"/>
                <w:color w:val="auto"/>
                <w:w w:val="92"/>
              </w:rPr>
              <w:t>Malaysia</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Philippines, Inc. (A Branch of a Singapore Company)</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Philippines</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Singapore Investment Pte. Ltd.</w:t>
            </w:r>
          </w:p>
        </w:tc>
        <w:tc>
          <w:tcPr>
            <w:tcW w:w="292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Singapore Holding Pte. Ltd.</w:t>
            </w:r>
          </w:p>
        </w:tc>
        <w:tc>
          <w:tcPr>
            <w:tcW w:w="292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Taiwan Ltd.</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Taiwan</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Worldwide Services LLC</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ATEP - Amkor Technology Portugal, S.A.</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Portugal</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Guardian Assets, Inc.</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Japan, Inc.</w:t>
            </w:r>
          </w:p>
        </w:tc>
        <w:tc>
          <w:tcPr>
            <w:tcW w:w="2920" w:type="dxa"/>
            <w:vAlign w:val="bottom"/>
          </w:tcPr>
          <w:p>
            <w:pPr>
              <w:jc w:val="center"/>
              <w:spacing w:after="0"/>
              <w:rPr>
                <w:sz w:val="20"/>
                <w:szCs w:val="20"/>
                <w:color w:val="auto"/>
              </w:rPr>
            </w:pPr>
            <w:r>
              <w:rPr>
                <w:rFonts w:ascii="Arial" w:cs="Arial" w:eastAsia="Arial" w:hAnsi="Arial"/>
                <w:sz w:val="18"/>
                <w:szCs w:val="18"/>
                <w:color w:val="auto"/>
                <w:w w:val="81"/>
              </w:rPr>
              <w:t>Japan</w:t>
            </w:r>
          </w:p>
        </w:tc>
      </w:tr>
    </w:tbl>
    <w:p>
      <w:pPr>
        <w:sectPr>
          <w:pgSz w:w="11900" w:h="16838" w:orient="portrait"/>
          <w:cols w:equalWidth="0" w:num="1">
            <w:col w:w="11240"/>
          </w:cols>
          <w:pgMar w:left="320" w:top="1255"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5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 on Form S-8 (No. 333-149376) of Amkor Technology, Inc. of our report dated February 19, 2021, relating to the financial statements and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ectPr>
          <w:pgSz w:w="11900" w:h="16838" w:orient="portrait"/>
          <w:cols w:equalWidth="0" w:num="1">
            <w:col w:w="11240"/>
          </w:cols>
          <w:pgMar w:left="320" w:top="125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Guillaume Marie Jean Rutten, certify that:</w:t>
      </w:r>
    </w:p>
    <w:p>
      <w:pPr>
        <w:spacing w:after="0" w:line="198" w:lineRule="exact"/>
        <w:rPr>
          <w:sz w:val="20"/>
          <w:szCs w:val="20"/>
          <w:color w:val="auto"/>
        </w:rPr>
      </w:pPr>
    </w:p>
    <w:p>
      <w:pPr>
        <w:ind w:left="520" w:hanging="188"/>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Amkor Technology, Inc.;</w:t>
      </w:r>
    </w:p>
    <w:p>
      <w:pPr>
        <w:spacing w:after="0" w:line="211" w:lineRule="exact"/>
        <w:rPr>
          <w:rFonts w:ascii="Arial" w:cs="Arial" w:eastAsia="Arial" w:hAnsi="Arial"/>
          <w:sz w:val="18"/>
          <w:szCs w:val="18"/>
          <w:color w:val="auto"/>
        </w:rPr>
      </w:pPr>
    </w:p>
    <w:p>
      <w:pPr>
        <w:jc w:val="both"/>
        <w:ind w:left="500" w:hanging="168"/>
        <w:spacing w:after="0" w:line="263" w:lineRule="auto"/>
        <w:tabs>
          <w:tab w:leader="none" w:pos="527"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00" w:hanging="168"/>
        <w:spacing w:after="0" w:line="308" w:lineRule="auto"/>
        <w:tabs>
          <w:tab w:leader="none" w:pos="528"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500" w:hanging="168"/>
        <w:spacing w:after="0" w:line="263" w:lineRule="auto"/>
        <w:tabs>
          <w:tab w:leader="none" w:pos="53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660" w:hanging="166"/>
        <w:spacing w:after="0" w:line="263" w:lineRule="auto"/>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660" w:hanging="166"/>
        <w:spacing w:after="0" w:line="263" w:lineRule="auto"/>
        <w:tabs>
          <w:tab w:leader="none" w:pos="729"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660" w:hanging="166"/>
        <w:spacing w:after="0" w:line="308" w:lineRule="auto"/>
        <w:tabs>
          <w:tab w:leader="none" w:pos="729"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660" w:hanging="166"/>
        <w:spacing w:after="0" w:line="263" w:lineRule="auto"/>
        <w:tabs>
          <w:tab w:leader="none" w:pos="71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hanging="168"/>
        <w:spacing w:after="0" w:line="308" w:lineRule="auto"/>
        <w:tabs>
          <w:tab w:leader="none" w:pos="522"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hanging="166"/>
        <w:spacing w:after="0" w:line="277" w:lineRule="auto"/>
        <w:tabs>
          <w:tab w:leader="none" w:pos="686"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hanging="166"/>
        <w:spacing w:after="0" w:line="277" w:lineRule="auto"/>
        <w:tabs>
          <w:tab w:leader="none" w:pos="693"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660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p>
      <w:pPr>
        <w:spacing w:after="0" w:line="63"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Guillaume Marie Jean Rutten</w:t>
      </w:r>
    </w:p>
    <w:p>
      <w:pPr>
        <w:spacing w:after="0" w:line="86" w:lineRule="exact"/>
        <w:rPr>
          <w:sz w:val="20"/>
          <w:szCs w:val="20"/>
          <w:color w:val="auto"/>
        </w:rPr>
      </w:pPr>
    </w:p>
    <w:p>
      <w:pPr>
        <w:sectPr>
          <w:pgSz w:w="11900" w:h="16838" w:orient="portrait"/>
          <w:cols w:equalWidth="0" w:num="2">
            <w:col w:w="6840" w:space="520"/>
            <w:col w:w="3880"/>
          </w:cols>
          <w:pgMar w:left="320" w:top="1255" w:right="339" w:bottom="1440" w:gutter="0" w:footer="0" w:header="0"/>
          <w:type w:val="continuous"/>
        </w:sectPr>
      </w:pPr>
    </w:p>
    <w:p>
      <w:pPr>
        <w:ind w:left="6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85" w:lineRule="exact"/>
        <w:rPr>
          <w:sz w:val="20"/>
          <w:szCs w:val="20"/>
          <w:color w:val="auto"/>
        </w:rPr>
      </w:pPr>
    </w:p>
    <w:p>
      <w:pPr>
        <w:sectPr>
          <w:pgSz w:w="11900" w:h="16838" w:orient="portrait"/>
          <w:cols w:equalWidth="0" w:num="2">
            <w:col w:w="6980" w:space="380"/>
            <w:col w:w="3880"/>
          </w:cols>
          <w:pgMar w:left="320" w:top="1255" w:right="339" w:bottom="1440" w:gutter="0" w:footer="0" w:header="0"/>
          <w:type w:val="continuous"/>
        </w:sectPr>
      </w:pPr>
    </w:p>
    <w:p>
      <w:pPr>
        <w:ind w:left="658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19, 2021</w:t>
      </w:r>
    </w:p>
    <w:p>
      <w:pPr>
        <w:sectPr>
          <w:pgSz w:w="11900" w:h="16838" w:orient="portrait"/>
          <w:cols w:equalWidth="0" w:num="2">
            <w:col w:w="6980" w:space="380"/>
            <w:col w:w="3880"/>
          </w:cols>
          <w:pgMar w:left="320" w:top="1255" w:right="33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198" w:lineRule="exact"/>
        <w:rPr>
          <w:sz w:val="20"/>
          <w:szCs w:val="20"/>
          <w:color w:val="auto"/>
        </w:rPr>
      </w:pPr>
    </w:p>
    <w:p>
      <w:pPr>
        <w:ind w:left="520" w:hanging="188"/>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Amkor Technology, Inc.;</w:t>
      </w:r>
    </w:p>
    <w:p>
      <w:pPr>
        <w:spacing w:after="0" w:line="211" w:lineRule="exact"/>
        <w:rPr>
          <w:rFonts w:ascii="Arial" w:cs="Arial" w:eastAsia="Arial" w:hAnsi="Arial"/>
          <w:sz w:val="18"/>
          <w:szCs w:val="18"/>
          <w:color w:val="auto"/>
        </w:rPr>
      </w:pPr>
    </w:p>
    <w:p>
      <w:pPr>
        <w:jc w:val="both"/>
        <w:ind w:left="500" w:hanging="168"/>
        <w:spacing w:after="0" w:line="263" w:lineRule="auto"/>
        <w:tabs>
          <w:tab w:leader="none" w:pos="527"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00" w:hanging="168"/>
        <w:spacing w:after="0" w:line="308" w:lineRule="auto"/>
        <w:tabs>
          <w:tab w:leader="none" w:pos="528"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500" w:hanging="168"/>
        <w:spacing w:after="0" w:line="263" w:lineRule="auto"/>
        <w:tabs>
          <w:tab w:leader="none" w:pos="53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660" w:hanging="166"/>
        <w:spacing w:after="0" w:line="263" w:lineRule="auto"/>
        <w:tabs>
          <w:tab w:leader="none" w:pos="7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660" w:hanging="166"/>
        <w:spacing w:after="0" w:line="263" w:lineRule="auto"/>
        <w:tabs>
          <w:tab w:leader="none" w:pos="72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660" w:hanging="166"/>
        <w:spacing w:after="0" w:line="308" w:lineRule="auto"/>
        <w:tabs>
          <w:tab w:leader="none" w:pos="729"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660" w:hanging="166"/>
        <w:spacing w:after="0" w:line="263" w:lineRule="auto"/>
        <w:tabs>
          <w:tab w:leader="none" w:pos="71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hanging="168"/>
        <w:spacing w:after="0" w:line="308" w:lineRule="auto"/>
        <w:tabs>
          <w:tab w:leader="none" w:pos="52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hanging="166"/>
        <w:spacing w:after="0" w:line="277" w:lineRule="auto"/>
        <w:tabs>
          <w:tab w:leader="none" w:pos="686"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hanging="166"/>
        <w:spacing w:after="0" w:line="277" w:lineRule="auto"/>
        <w:tabs>
          <w:tab w:leader="none" w:pos="69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660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p>
      <w:pPr>
        <w:spacing w:after="0" w:line="131"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Megan Faust</w:t>
      </w:r>
    </w:p>
    <w:p>
      <w:pPr>
        <w:spacing w:after="0" w:line="86" w:lineRule="exact"/>
        <w:rPr>
          <w:sz w:val="20"/>
          <w:szCs w:val="20"/>
          <w:color w:val="auto"/>
        </w:rPr>
      </w:pPr>
    </w:p>
    <w:p>
      <w:pPr>
        <w:sectPr>
          <w:pgSz w:w="11900" w:h="16838" w:orient="portrait"/>
          <w:cols w:equalWidth="0" w:num="2">
            <w:col w:w="6840" w:space="520"/>
            <w:col w:w="3880"/>
          </w:cols>
          <w:pgMar w:left="320" w:top="1255" w:right="339" w:bottom="1440" w:gutter="0" w:footer="0" w:header="0"/>
          <w:type w:val="continuous"/>
        </w:sectPr>
      </w:pPr>
    </w:p>
    <w:p>
      <w:pPr>
        <w:ind w:left="6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85" w:lineRule="exact"/>
        <w:rPr>
          <w:sz w:val="20"/>
          <w:szCs w:val="20"/>
          <w:color w:val="auto"/>
        </w:rPr>
      </w:pPr>
    </w:p>
    <w:p>
      <w:pPr>
        <w:sectPr>
          <w:pgSz w:w="11900" w:h="16838" w:orient="portrait"/>
          <w:cols w:equalWidth="0" w:num="2">
            <w:col w:w="6980" w:space="380"/>
            <w:col w:w="3880"/>
          </w:cols>
          <w:pgMar w:left="320" w:top="1255" w:right="339" w:bottom="1440" w:gutter="0" w:footer="0" w:header="0"/>
          <w:type w:val="continuous"/>
        </w:sectPr>
      </w:pPr>
    </w:p>
    <w:p>
      <w:pPr>
        <w:ind w:left="658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19, 2021</w:t>
      </w:r>
    </w:p>
    <w:p>
      <w:pPr>
        <w:sectPr>
          <w:pgSz w:w="11900" w:h="16838" w:orient="portrait"/>
          <w:cols w:equalWidth="0" w:num="2">
            <w:col w:w="6980" w:space="380"/>
            <w:col w:w="3880"/>
          </w:cols>
          <w:pgMar w:left="320" w:top="1255" w:right="339" w:bottom="1440" w:gutter="0" w:footer="0" w:header="0"/>
          <w:type w:val="continuous"/>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left="340" w:right="1960"/>
        <w:spacing w:after="0" w:line="263"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30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 Guillaume Marie Jean Rutten, certify, pursuant to 18 U.S.C. Section 1350, as adopted pursuant to Section 906 of the Sarbanes-Oxley Act of 2002, that the Annual Report of Amkor Technology, Inc. on Form 10-K for the year ended December 31, 2020 fully complies with the requirements of Section 13(a) or 15(d) of the Securities Exchange Act of 1934 and that information contained in such Form 10-K fairly presents in all material respects the financial condition and results of operations of Amkor Technology, Inc.</w:t>
      </w:r>
    </w:p>
    <w:p>
      <w:pPr>
        <w:spacing w:after="0" w:line="38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660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p>
      <w:pPr>
        <w:spacing w:after="0" w:line="63"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Guillaume Marie Jean Rutten</w:t>
      </w:r>
    </w:p>
    <w:p>
      <w:pPr>
        <w:spacing w:after="0" w:line="86" w:lineRule="exact"/>
        <w:rPr>
          <w:sz w:val="20"/>
          <w:szCs w:val="20"/>
          <w:color w:val="auto"/>
        </w:rPr>
      </w:pPr>
    </w:p>
    <w:p>
      <w:pPr>
        <w:sectPr>
          <w:pgSz w:w="11900" w:h="16838" w:orient="portrait"/>
          <w:cols w:equalWidth="0" w:num="2">
            <w:col w:w="6840" w:space="520"/>
            <w:col w:w="3880"/>
          </w:cols>
          <w:pgMar w:left="320" w:top="1255" w:right="339" w:bottom="1440" w:gutter="0" w:footer="0" w:header="0"/>
          <w:type w:val="continuous"/>
        </w:sectPr>
      </w:pPr>
    </w:p>
    <w:p>
      <w:pPr>
        <w:ind w:left="6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85" w:lineRule="exact"/>
        <w:rPr>
          <w:sz w:val="20"/>
          <w:szCs w:val="20"/>
          <w:color w:val="auto"/>
        </w:rPr>
      </w:pPr>
    </w:p>
    <w:p>
      <w:pPr>
        <w:sectPr>
          <w:pgSz w:w="11900" w:h="16838" w:orient="portrait"/>
          <w:cols w:equalWidth="0" w:num="2">
            <w:col w:w="6980" w:space="380"/>
            <w:col w:w="3880"/>
          </w:cols>
          <w:pgMar w:left="320" w:top="1255" w:right="339" w:bottom="1440" w:gutter="0" w:footer="0" w:header="0"/>
          <w:type w:val="continuous"/>
        </w:sectPr>
      </w:pPr>
    </w:p>
    <w:p>
      <w:pPr>
        <w:ind w:left="658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19, 2021</w:t>
      </w:r>
    </w:p>
    <w:p>
      <w:pPr>
        <w:spacing w:after="0" w:line="200" w:lineRule="exact"/>
        <w:rPr>
          <w:sz w:val="20"/>
          <w:szCs w:val="20"/>
          <w:color w:val="auto"/>
        </w:rPr>
      </w:pPr>
    </w:p>
    <w:p>
      <w:pPr>
        <w:sectPr>
          <w:pgSz w:w="11900" w:h="16838" w:orient="portrait"/>
          <w:cols w:equalWidth="0" w:num="2">
            <w:col w:w="6980" w:space="380"/>
            <w:col w:w="3880"/>
          </w:cols>
          <w:pgMar w:left="320" w:top="1255" w:right="339" w:bottom="1440" w:gutter="0" w:footer="0" w:header="0"/>
          <w:type w:val="continuous"/>
        </w:sectPr>
      </w:pPr>
    </w:p>
    <w:p>
      <w:pPr>
        <w:spacing w:after="0" w:line="1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 Megan Faust, certify, pursuant to 18 U.S.C. Section 1350, as adopted pursuant to Section 906 of the Sarbanes-Oxley Act of 2002, that the Annual Report of Amkor Technology, Inc. on Form 10-K for the year ended December 31, 2020 fully complies with the requirements of Section 13(a) or 15(d) of the Securities Exchange Act of 1934 and that information contained in such Form 10-K fairly presents in all material respects the financial condition and results of operations of Amkor Technology, Inc.</w:t>
      </w:r>
    </w:p>
    <w:p>
      <w:pPr>
        <w:spacing w:after="0" w:line="200" w:lineRule="exact"/>
        <w:rPr>
          <w:sz w:val="20"/>
          <w:szCs w:val="20"/>
          <w:color w:val="auto"/>
        </w:rPr>
      </w:pPr>
    </w:p>
    <w:p>
      <w:pPr>
        <w:spacing w:after="0" w:line="24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23495</wp:posOffset>
            </wp:positionV>
            <wp:extent cx="29660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p>
      <w:pPr>
        <w:spacing w:after="0" w:line="144"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Megan Faust</w:t>
      </w:r>
    </w:p>
    <w:p>
      <w:pPr>
        <w:spacing w:after="0" w:line="99" w:lineRule="exact"/>
        <w:rPr>
          <w:sz w:val="20"/>
          <w:szCs w:val="20"/>
          <w:color w:val="auto"/>
        </w:rPr>
      </w:pPr>
    </w:p>
    <w:p>
      <w:pPr>
        <w:sectPr>
          <w:pgSz w:w="11900" w:h="16838" w:orient="portrait"/>
          <w:cols w:equalWidth="0" w:num="2">
            <w:col w:w="6840" w:space="520"/>
            <w:col w:w="3880"/>
          </w:cols>
          <w:pgMar w:left="320" w:top="1255" w:right="339" w:bottom="1440" w:gutter="0" w:footer="0" w:header="0"/>
          <w:type w:val="continuous"/>
        </w:sectPr>
      </w:pPr>
    </w:p>
    <w:p>
      <w:pPr>
        <w:ind w:left="6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85" w:lineRule="exact"/>
        <w:rPr>
          <w:sz w:val="20"/>
          <w:szCs w:val="20"/>
          <w:color w:val="auto"/>
        </w:rPr>
      </w:pPr>
    </w:p>
    <w:p>
      <w:pPr>
        <w:sectPr>
          <w:pgSz w:w="11900" w:h="16838" w:orient="portrait"/>
          <w:cols w:equalWidth="0" w:num="2">
            <w:col w:w="6980" w:space="380"/>
            <w:col w:w="3880"/>
          </w:cols>
          <w:pgMar w:left="320" w:top="1255" w:right="339" w:bottom="1440" w:gutter="0" w:footer="0" w:header="0"/>
          <w:type w:val="continuous"/>
        </w:sectPr>
      </w:pPr>
    </w:p>
    <w:p>
      <w:pPr>
        <w:ind w:left="658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19, 2021</w:t>
      </w:r>
    </w:p>
    <w:sectPr>
      <w:pgSz w:w="11900" w:h="16838" w:orient="portrait"/>
      <w:cols w:equalWidth="0" w:num="2">
        <w:col w:w="6980" w:space="380"/>
        <w:col w:w="3880"/>
      </w:cols>
      <w:pgMar w:left="320" w:top="125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5"/>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decimal"/>
      <w:start w:val="4"/>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lowerRoman"/>
      <w:start w:val="5"/>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lvl w:ilvl="1">
      <w:lvlJc w:val="left"/>
      <w:lvlText w:val="(%2)"/>
      <w:numFmt w:val="decimal"/>
      <w:start w:val="1"/>
    </w:lvl>
  </w:abstractNum>
  <w:abstractNum w:abstractNumId="40">
    <w:nsid w:val="57E4CCAF"/>
    <w:multiLevelType w:val="hybridMultilevel"/>
    <w:lvl w:ilvl="0">
      <w:lvlJc w:val="left"/>
      <w:lvlText w:val="%1."/>
      <w:numFmt w:val="decimal"/>
      <w:start w:val="15"/>
    </w:lvl>
    <w:lvl w:ilvl="1">
      <w:lvlJc w:val="left"/>
      <w:lvlText w:val="%2"/>
      <w:numFmt w:val="decimal"/>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4" Type="http://schemas.openxmlformats.org/officeDocument/2006/relationships/image" Target="media/image103.png"/><Relationship Id="rId141" Type="http://schemas.openxmlformats.org/officeDocument/2006/relationships/image" Target="media/image104.png"/><Relationship Id="rId144" Type="http://schemas.openxmlformats.org/officeDocument/2006/relationships/image" Target="media/image105.png"/><Relationship Id="rId145" Type="http://schemas.openxmlformats.org/officeDocument/2006/relationships/image" Target="media/image106.png"/><Relationship Id="rId146" Type="http://schemas.openxmlformats.org/officeDocument/2006/relationships/image" Target="media/image107.png"/><Relationship Id="rId147" Type="http://schemas.openxmlformats.org/officeDocument/2006/relationships/image" Target="media/image108.png"/><Relationship Id="rId148" Type="http://schemas.openxmlformats.org/officeDocument/2006/relationships/image" Target="media/image109.png"/><Relationship Id="rId149" Type="http://schemas.openxmlformats.org/officeDocument/2006/relationships/image" Target="media/image110.png"/><Relationship Id="rId150" Type="http://schemas.openxmlformats.org/officeDocument/2006/relationships/image" Target="media/image111.png"/><Relationship Id="rId110" Type="http://schemas.openxmlformats.org/officeDocument/2006/relationships/hyperlink" Target="http://www.sec.gov/Archives/edgar/data/1047127/000089322004001612/w99531exv2w3.txt" TargetMode="External"/><Relationship Id="rId111" Type="http://schemas.openxmlformats.org/officeDocument/2006/relationships/hyperlink" Target="http://www.sec.gov/Archives/edgar/data/1047127/0000891618-97-004025.txt" TargetMode="External"/><Relationship Id="rId112" Type="http://schemas.openxmlformats.org/officeDocument/2006/relationships/hyperlink" Target="http://www.sec.gov/Archives/edgar/data/1047127/0000891618-98-001602.txt" TargetMode="External"/><Relationship Id="rId113" Type="http://schemas.openxmlformats.org/officeDocument/2006/relationships/hyperlink" Target="http://www.sec.gov/Archives/edgar/data/1047127/000104712714000006/amkr123113ex33.htm" TargetMode="External"/><Relationship Id="rId114" Type="http://schemas.openxmlformats.org/officeDocument/2006/relationships/hyperlink" Target="http://www.sec.gov/Archives/edgar/data/1047127/0000891618-98-001449.txt" TargetMode="External"/><Relationship Id="rId115" Type="http://schemas.openxmlformats.org/officeDocument/2006/relationships/hyperlink" Target="http://www.sec.gov/Archives/edgar/data/1047127/000119312519076193/d712238dex41.htm" TargetMode="External"/><Relationship Id="rId116" Type="http://schemas.openxmlformats.org/officeDocument/2006/relationships/hyperlink" Target="http://www.sec.gov/Archives/edgar/data/1047127/000104712720000006/amkr123119ex43.htm" TargetMode="External"/><Relationship Id="rId117" Type="http://schemas.openxmlformats.org/officeDocument/2006/relationships/hyperlink" Target="http://www.sec.gov/Archives/edgar/data/1047127/000095015309000248/p14626exv10w1.htm" TargetMode="External"/><Relationship Id="rId118" Type="http://schemas.openxmlformats.org/officeDocument/2006/relationships/hyperlink" Target="http://www.sec.gov/Archives/edgar/data/1047127/000104712717000013/ex101ceoagreement.htm" TargetMode="External"/><Relationship Id="rId119" Type="http://schemas.openxmlformats.org/officeDocument/2006/relationships/hyperlink" Target="http://www.sec.gov/Archives/edgar/data/1047127/000104712717000023/amkr33117ex102.htm" TargetMode="External"/><Relationship Id="rId120" Type="http://schemas.openxmlformats.org/officeDocument/2006/relationships/hyperlink" Target="http://www.sec.gov/Archives/edgar/data/1047127/000104712717000023/amkr33117ex103.htm" TargetMode="External"/><Relationship Id="rId121" Type="http://schemas.openxmlformats.org/officeDocument/2006/relationships/hyperlink" Target="http://www.sec.gov/Archives/edgar/data/1047127/000104712717000023/amkr33117ex104.htm" TargetMode="External"/><Relationship Id="rId122" Type="http://schemas.openxmlformats.org/officeDocument/2006/relationships/hyperlink" Target="http://www.sec.gov/Archives/edgar/data/1047127/000104712717000025/amkorarequityplanexhibit10.htm" TargetMode="External"/><Relationship Id="rId123" Type="http://schemas.openxmlformats.org/officeDocument/2006/relationships/hyperlink" Target="http://www.sec.gov/Archives/edgar/data/1047127/000104712719000036/amkr63019ex103.htm" TargetMode="External"/><Relationship Id="rId125" Type="http://schemas.openxmlformats.org/officeDocument/2006/relationships/hyperlink" Target="http://www.sec.gov/Archives/edgar/data/1047127/000104712720000037/a101-amkorglobalformof.htm" TargetMode="External"/><Relationship Id="rId126" Type="http://schemas.openxmlformats.org/officeDocument/2006/relationships/hyperlink" Target="http://www.sec.gov/Archives/edgar/data/1047127/000104712720000037/a102-exhibitamkorxglob.htm" TargetMode="External"/><Relationship Id="rId127" Type="http://schemas.openxmlformats.org/officeDocument/2006/relationships/hyperlink" Target="http://www.sec.gov/Archives/edgar/data/1047127/000104712720000057/a101globalformofstocko.htm" TargetMode="External"/><Relationship Id="rId128" Type="http://schemas.openxmlformats.org/officeDocument/2006/relationships/hyperlink" Target="http://www.sec.gov/Archives/edgar/data/1047127/000104712720000057/a102globalformofrestri.htm" TargetMode="External"/><Relationship Id="rId129" Type="http://schemas.openxmlformats.org/officeDocument/2006/relationships/hyperlink" Target="http://www.sec.gov/Archives/edgar/data/1047127/000104712721000003/exhibit101-formofperforman.htm" TargetMode="External"/><Relationship Id="rId130" Type="http://schemas.openxmlformats.org/officeDocument/2006/relationships/hyperlink" Target="http://www.sec.gov/Archives/edgar/data/1047127/000104712721000003/exhibit102-formofrestricte.htm" TargetMode="External"/><Relationship Id="rId131" Type="http://schemas.openxmlformats.org/officeDocument/2006/relationships/hyperlink" Target="http://www.sec.gov/Archives/edgar/data/1047127/000104712717000025/amkorarexecutiveincentiveb.htm" TargetMode="External"/><Relationship Id="rId132" Type="http://schemas.openxmlformats.org/officeDocument/2006/relationships/hyperlink" Target="http://www.sec.gov/Archives/edgar/data/1047127/000104712719000036/amkr63019ex101.htm" TargetMode="External"/><Relationship Id="rId133" Type="http://schemas.openxmlformats.org/officeDocument/2006/relationships/hyperlink" Target="http://www.sec.gov/Archives/edgar/data/1047127/000104712720000037/a103-exhibitamkorrutte.htm" TargetMode="External"/><Relationship Id="rId134" Type="http://schemas.openxmlformats.org/officeDocument/2006/relationships/hyperlink" Target="http://www.sec.gov/Archives/edgar/data/1047127/000104712720000037/a104-exhibitamkorsteph.htm" TargetMode="External"/><Relationship Id="rId135" Type="http://schemas.openxmlformats.org/officeDocument/2006/relationships/hyperlink" Target="http://www.sec.gov/Archives/edgar/data/1047127/000119312518220776/d551484dex101.htm" TargetMode="External"/><Relationship Id="rId136" Type="http://schemas.openxmlformats.org/officeDocument/2006/relationships/hyperlink" Target="http://www.sec.gov/Archives/edgar/data/1047127/000119312518220776/d551484dex102.htm" TargetMode="External"/><Relationship Id="rId137" Type="http://schemas.openxmlformats.org/officeDocument/2006/relationships/hyperlink" Target="http://www.sec.gov/Archives/edgar/data/1047127/000119312518220776/d551484dex103.htm" TargetMode="External"/><Relationship Id="rId138" Type="http://schemas.openxmlformats.org/officeDocument/2006/relationships/hyperlink" Target="http://www.sec.gov/Archives/edgar/data/1047127/000104712719000036/amkr63019ex102.htm" TargetMode="External"/><Relationship Id="rId139" Type="http://schemas.openxmlformats.org/officeDocument/2006/relationships/hyperlink" Target="http://www.sec.gov/Archives/edgar/data/1047127/000119312518220776/d551484dex104.htm" TargetMode="External"/><Relationship Id="rId140" Type="http://schemas.openxmlformats.org/officeDocument/2006/relationships/hyperlink" Target="http://www.sec.gov/Archives/edgar/data/1047127/000119312519323503/d841984dex101.htm" TargetMode="External"/><Relationship Id="rId142" Type="http://schemas.openxmlformats.org/officeDocument/2006/relationships/hyperlink" Target="http://www.sec.gov/Archives/edgar/data/1047127/000119312519323503/d841984dex102.htm" TargetMode="External"/><Relationship Id="rId143" Type="http://schemas.openxmlformats.org/officeDocument/2006/relationships/hyperlink" Target="http://www.sec.gov/Archives/edgar/data/1047127/000119312519323503/d84198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2021-02-19T14:05:47Z</dcterms:created>
  <dcterms:modified xsi:type="dcterms:W3CDTF">2021-02-19T14:05:47Z</dcterms:modified>
</cp:coreProperties>
</file>