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337820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4" w:lineRule="exact"/>
        <w:rPr>
          <w:sz w:val="24"/>
          <w:szCs w:val="24"/>
          <w:color w:val="auto"/>
        </w:rPr>
      </w:pPr>
    </w:p>
    <w:p>
      <w:pPr>
        <w:ind w:left="1800" w:right="1120" w:hanging="759"/>
        <w:spacing w:after="0" w:line="256" w:lineRule="auto"/>
        <w:tabs>
          <w:tab w:leader="none" w:pos="18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00" w:right="1100" w:hanging="759"/>
        <w:spacing w:after="0" w:line="256" w:lineRule="auto"/>
        <w:tabs>
          <w:tab w:leader="none" w:pos="18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819" w:right="339" w:bottom="1440" w:gutter="0" w:footer="0" w:header="0"/>
        </w:sectPr>
      </w:pPr>
    </w:p>
    <w:p>
      <w:pPr>
        <w:spacing w:after="0" w:line="9"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to</w:t>
      </w:r>
    </w:p>
    <w:p>
      <w:pPr>
        <w:spacing w:after="0" w:line="201" w:lineRule="exact"/>
        <w:rPr>
          <w:sz w:val="24"/>
          <w:szCs w:val="24"/>
          <w:color w:val="auto"/>
        </w:rPr>
      </w:pPr>
    </w:p>
    <w:p>
      <w:pPr>
        <w:sectPr>
          <w:pgSz w:w="11900" w:h="16838" w:orient="portrait"/>
          <w:cols w:equalWidth="0" w:num="2">
            <w:col w:w="4120" w:space="460"/>
            <w:col w:w="6660"/>
          </w:cols>
          <w:pgMar w:left="320" w:top="81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000-29472</w:t>
      </w:r>
    </w:p>
    <w:p>
      <w:pPr>
        <w:sectPr>
          <w:pgSz w:w="11900" w:h="16838" w:orient="portrait"/>
          <w:cols w:equalWidth="0" w:num="1">
            <w:col w:w="11240"/>
          </w:cols>
          <w:pgMar w:left="320" w:top="819" w:right="339" w:bottom="1440" w:gutter="0" w:footer="0" w:header="0"/>
          <w:type w:val="continuous"/>
        </w:sectPr>
      </w:pP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524"/>
        </w:trPr>
        <w:tc>
          <w:tcPr>
            <w:tcW w:w="11240" w:type="dxa"/>
            <w:vAlign w:val="bottom"/>
            <w:gridSpan w:val="3"/>
          </w:tcPr>
          <w:p>
            <w:pPr>
              <w:jc w:val="center"/>
              <w:spacing w:after="0"/>
              <w:rPr>
                <w:sz w:val="20"/>
                <w:szCs w:val="20"/>
                <w:color w:val="auto"/>
              </w:rPr>
            </w:pPr>
            <w:r>
              <w:rPr>
                <w:rFonts w:ascii="Arial" w:cs="Arial" w:eastAsia="Arial" w:hAnsi="Arial"/>
                <w:sz w:val="43"/>
                <w:szCs w:val="43"/>
                <w:b w:val="1"/>
                <w:bCs w:val="1"/>
                <w:color w:val="auto"/>
              </w:rPr>
              <w:t>AMKOR TECHNOLOGY, INC.</w:t>
            </w: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77"/>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spacing w:after="0"/>
              <w:rPr>
                <w:sz w:val="24"/>
                <w:szCs w:val="24"/>
                <w:color w:val="auto"/>
              </w:rPr>
            </w:pPr>
          </w:p>
        </w:tc>
        <w:tc>
          <w:tcPr>
            <w:tcW w:w="4440" w:type="dxa"/>
            <w:vAlign w:val="bottom"/>
          </w:tcPr>
          <w:p>
            <w:pPr>
              <w:jc w:val="center"/>
              <w:ind w:left="897"/>
              <w:spacing w:after="0"/>
              <w:rPr>
                <w:sz w:val="20"/>
                <w:szCs w:val="20"/>
                <w:color w:val="auto"/>
              </w:rPr>
            </w:pPr>
            <w:r>
              <w:rPr>
                <w:rFonts w:ascii="Arial" w:cs="Arial" w:eastAsia="Arial" w:hAnsi="Arial"/>
                <w:sz w:val="18"/>
                <w:szCs w:val="18"/>
                <w:b w:val="1"/>
                <w:bCs w:val="1"/>
                <w:color w:val="auto"/>
                <w:w w:val="89"/>
              </w:rPr>
              <w:t>23-1722724</w:t>
            </w:r>
          </w:p>
        </w:tc>
        <w:tc>
          <w:tcPr>
            <w:tcW w:w="0" w:type="dxa"/>
            <w:vAlign w:val="bottom"/>
          </w:tcPr>
          <w:p>
            <w:pPr>
              <w:spacing w:after="0"/>
              <w:rPr>
                <w:sz w:val="1"/>
                <w:szCs w:val="1"/>
                <w:color w:val="auto"/>
              </w:rPr>
            </w:pPr>
          </w:p>
        </w:tc>
      </w:tr>
      <w:tr>
        <w:trPr>
          <w:trHeight w:val="184"/>
        </w:trPr>
        <w:tc>
          <w:tcPr>
            <w:tcW w:w="3520" w:type="dxa"/>
            <w:vAlign w:val="bottom"/>
          </w:tcPr>
          <w:p>
            <w:pPr>
              <w:jc w:val="center"/>
              <w:spacing w:after="0"/>
              <w:rPr>
                <w:sz w:val="20"/>
                <w:szCs w:val="20"/>
                <w:color w:val="auto"/>
              </w:rPr>
            </w:pPr>
            <w:r>
              <w:rPr>
                <w:rFonts w:ascii="Arial" w:cs="Arial" w:eastAsia="Arial" w:hAnsi="Arial"/>
                <w:sz w:val="14"/>
                <w:szCs w:val="14"/>
                <w:i w:val="1"/>
                <w:iCs w:val="1"/>
                <w:color w:val="auto"/>
                <w:w w:val="96"/>
              </w:rPr>
              <w:t>(State of incorporation)</w:t>
            </w:r>
          </w:p>
        </w:tc>
        <w:tc>
          <w:tcPr>
            <w:tcW w:w="3280" w:type="dxa"/>
            <w:vAlign w:val="bottom"/>
          </w:tcPr>
          <w:p>
            <w:pPr>
              <w:spacing w:after="0"/>
              <w:rPr>
                <w:sz w:val="15"/>
                <w:szCs w:val="15"/>
                <w:color w:val="auto"/>
              </w:rPr>
            </w:pPr>
          </w:p>
        </w:tc>
        <w:tc>
          <w:tcPr>
            <w:tcW w:w="4440" w:type="dxa"/>
            <w:vAlign w:val="bottom"/>
          </w:tcPr>
          <w:p>
            <w:pPr>
              <w:jc w:val="center"/>
              <w:ind w:left="877"/>
              <w:spacing w:after="0"/>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3280" w:type="dxa"/>
            <w:vAlign w:val="bottom"/>
            <w:vMerge w:val="restart"/>
          </w:tcPr>
          <w:p>
            <w:pPr>
              <w:jc w:val="center"/>
              <w:ind w:left="858"/>
              <w:spacing w:after="0"/>
              <w:rPr>
                <w:sz w:val="20"/>
                <w:szCs w:val="20"/>
                <w:color w:val="auto"/>
              </w:rPr>
            </w:pPr>
            <w:r>
              <w:rPr>
                <w:rFonts w:ascii="Arial" w:cs="Arial" w:eastAsia="Arial" w:hAnsi="Arial"/>
                <w:sz w:val="18"/>
                <w:szCs w:val="18"/>
                <w:b w:val="1"/>
                <w:bCs w:val="1"/>
                <w:color w:val="auto"/>
                <w:w w:val="91"/>
              </w:rPr>
              <w:t>2045 East Innovation Circle</w:t>
            </w:r>
          </w:p>
        </w:tc>
        <w:tc>
          <w:tcPr>
            <w:tcW w:w="4440" w:type="dxa"/>
            <w:vAlign w:val="bottom"/>
          </w:tcPr>
          <w:p>
            <w:pPr>
              <w:jc w:val="center"/>
              <w:ind w:left="877"/>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328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328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Tempe, AZ 85284</w:t>
            </w: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c>
          <w:tcPr>
            <w:tcW w:w="0" w:type="dxa"/>
            <w:vAlign w:val="bottom"/>
          </w:tcPr>
          <w:p>
            <w:pPr>
              <w:spacing w:after="0"/>
              <w:rPr>
                <w:sz w:val="1"/>
                <w:szCs w:val="1"/>
                <w:color w:val="auto"/>
              </w:rPr>
            </w:pPr>
          </w:p>
        </w:tc>
      </w:tr>
      <w:tr>
        <w:trPr>
          <w:trHeight w:val="323"/>
        </w:trPr>
        <w:tc>
          <w:tcPr>
            <w:tcW w:w="3520" w:type="dxa"/>
            <w:vAlign w:val="bottom"/>
          </w:tcPr>
          <w:p>
            <w:pPr>
              <w:spacing w:after="0"/>
              <w:rPr>
                <w:sz w:val="24"/>
                <w:szCs w:val="24"/>
                <w:color w:val="auto"/>
              </w:rPr>
            </w:pPr>
          </w:p>
        </w:tc>
        <w:tc>
          <w:tcPr>
            <w:tcW w:w="3280" w:type="dxa"/>
            <w:vAlign w:val="bottom"/>
          </w:tcPr>
          <w:p>
            <w:pPr>
              <w:jc w:val="center"/>
              <w:ind w:left="838"/>
              <w:spacing w:after="0"/>
              <w:rPr>
                <w:sz w:val="20"/>
                <w:szCs w:val="20"/>
                <w:color w:val="auto"/>
              </w:rPr>
            </w:pPr>
            <w:r>
              <w:rPr>
                <w:rFonts w:ascii="Arial" w:cs="Arial" w:eastAsia="Arial" w:hAnsi="Arial"/>
                <w:sz w:val="18"/>
                <w:szCs w:val="18"/>
                <w:b w:val="1"/>
                <w:bCs w:val="1"/>
                <w:color w:val="auto"/>
                <w:w w:val="90"/>
              </w:rPr>
              <w:t>(480) 821-5000</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20" w:type="dxa"/>
            <w:vAlign w:val="bottom"/>
          </w:tcPr>
          <w:p>
            <w:pPr>
              <w:spacing w:after="0"/>
              <w:rPr>
                <w:sz w:val="18"/>
                <w:szCs w:val="18"/>
                <w:color w:val="auto"/>
              </w:rPr>
            </w:pPr>
          </w:p>
        </w:tc>
        <w:tc>
          <w:tcPr>
            <w:tcW w:w="772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430"/>
        </w:trPr>
        <w:tc>
          <w:tcPr>
            <w:tcW w:w="3520" w:type="dxa"/>
            <w:vAlign w:val="bottom"/>
          </w:tcPr>
          <w:p>
            <w:pPr>
              <w:jc w:val="center"/>
              <w:ind w:left="328"/>
              <w:spacing w:after="0"/>
              <w:rPr>
                <w:sz w:val="20"/>
                <w:szCs w:val="20"/>
                <w:color w:val="auto"/>
              </w:rPr>
            </w:pPr>
            <w:r>
              <w:rPr>
                <w:rFonts w:ascii="Arial" w:cs="Arial" w:eastAsia="Arial" w:hAnsi="Arial"/>
                <w:sz w:val="18"/>
                <w:szCs w:val="18"/>
                <w:b w:val="1"/>
                <w:bCs w:val="1"/>
                <w:color w:val="auto"/>
                <w:w w:val="89"/>
              </w:rPr>
              <w:t>Title of Each Class</w:t>
            </w:r>
          </w:p>
        </w:tc>
        <w:tc>
          <w:tcPr>
            <w:tcW w:w="3280" w:type="dxa"/>
            <w:vAlign w:val="bottom"/>
          </w:tcPr>
          <w:p>
            <w:pPr>
              <w:jc w:val="center"/>
              <w:ind w:right="198"/>
              <w:spacing w:after="0"/>
              <w:rPr>
                <w:sz w:val="20"/>
                <w:szCs w:val="20"/>
                <w:color w:val="auto"/>
              </w:rPr>
            </w:pPr>
            <w:r>
              <w:rPr>
                <w:rFonts w:ascii="Arial" w:cs="Arial" w:eastAsia="Arial" w:hAnsi="Arial"/>
                <w:sz w:val="18"/>
                <w:szCs w:val="18"/>
                <w:b w:val="1"/>
                <w:bCs w:val="1"/>
                <w:color w:val="auto"/>
                <w:w w:val="91"/>
              </w:rPr>
              <w:t>Trading Symbol</w:t>
            </w:r>
          </w:p>
        </w:tc>
        <w:tc>
          <w:tcPr>
            <w:tcW w:w="4440" w:type="dxa"/>
            <w:vAlign w:val="bottom"/>
          </w:tcPr>
          <w:p>
            <w:pPr>
              <w:jc w:val="center"/>
              <w:ind w:right="637"/>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jc w:val="center"/>
              <w:ind w:left="308"/>
              <w:spacing w:after="0"/>
              <w:rPr>
                <w:sz w:val="20"/>
                <w:szCs w:val="20"/>
                <w:color w:val="auto"/>
              </w:rPr>
            </w:pPr>
            <w:r>
              <w:rPr>
                <w:rFonts w:ascii="Arial" w:cs="Arial" w:eastAsia="Arial" w:hAnsi="Arial"/>
                <w:sz w:val="18"/>
                <w:szCs w:val="18"/>
                <w:color w:val="auto"/>
                <w:w w:val="90"/>
              </w:rPr>
              <w:t>Common Stock, $0.001 par value</w:t>
            </w:r>
          </w:p>
        </w:tc>
        <w:tc>
          <w:tcPr>
            <w:tcW w:w="3280" w:type="dxa"/>
            <w:vAlign w:val="bottom"/>
          </w:tcPr>
          <w:p>
            <w:pPr>
              <w:jc w:val="center"/>
              <w:ind w:right="218"/>
              <w:spacing w:after="0"/>
              <w:rPr>
                <w:sz w:val="20"/>
                <w:szCs w:val="20"/>
                <w:color w:val="auto"/>
              </w:rPr>
            </w:pPr>
            <w:r>
              <w:rPr>
                <w:rFonts w:ascii="Arial" w:cs="Arial" w:eastAsia="Arial" w:hAnsi="Arial"/>
                <w:sz w:val="18"/>
                <w:szCs w:val="18"/>
                <w:color w:val="auto"/>
              </w:rPr>
              <w:t>AMKR</w:t>
            </w:r>
          </w:p>
        </w:tc>
        <w:tc>
          <w:tcPr>
            <w:tcW w:w="4440" w:type="dxa"/>
            <w:vAlign w:val="bottom"/>
          </w:tcPr>
          <w:p>
            <w:pPr>
              <w:jc w:val="center"/>
              <w:ind w:right="617"/>
              <w:spacing w:after="0"/>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819" w:right="339" w:bottom="1440" w:gutter="0" w:footer="0" w:header="0"/>
          <w:type w:val="continuous"/>
        </w:sectPr>
      </w:pPr>
    </w:p>
    <w:p>
      <w:pPr>
        <w:spacing w:after="0" w:line="97" w:lineRule="exact"/>
        <w:rPr>
          <w:sz w:val="24"/>
          <w:szCs w:val="24"/>
          <w:color w:val="auto"/>
        </w:rPr>
      </w:pPr>
    </w:p>
    <w:p>
      <w:pPr>
        <w:ind w:left="19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3000" w:space="720"/>
            <w:col w:w="1420" w:space="720"/>
            <w:col w:w="1860" w:space="720"/>
            <w:col w:w="1840" w:space="720"/>
            <w:col w:w="240"/>
          </w:cols>
          <w:pgMar w:left="320" w:top="819" w:right="33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4" w:lineRule="exact"/>
        <w:rPr>
          <w:sz w:val="24"/>
          <w:szCs w:val="24"/>
          <w:color w:val="auto"/>
        </w:rPr>
      </w:pPr>
    </w:p>
    <w:p>
      <w:pPr>
        <w:sectPr>
          <w:pgSz w:w="11900" w:h="16838" w:orient="portrait"/>
          <w:cols w:equalWidth="0" w:num="5">
            <w:col w:w="1720" w:space="560"/>
            <w:col w:w="1220" w:space="580"/>
            <w:col w:w="1520" w:space="620"/>
            <w:col w:w="1980" w:space="620"/>
            <w:col w:w="2420"/>
          </w:cols>
          <w:pgMar w:left="320" w:top="819"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98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April 24, 2020 was 241,149,312.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172085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9"/>
        </w:trPr>
        <w:tc>
          <w:tcPr>
            <w:tcW w:w="700" w:type="dxa"/>
            <w:vAlign w:val="bottom"/>
          </w:tcPr>
          <w:p>
            <w:pPr>
              <w:spacing w:after="0"/>
              <w:rPr>
                <w:sz w:val="19"/>
                <w:szCs w:val="19"/>
                <w:color w:val="auto"/>
              </w:rPr>
            </w:pPr>
          </w:p>
        </w:tc>
        <w:tc>
          <w:tcPr>
            <w:tcW w:w="7600" w:type="dxa"/>
            <w:vAlign w:val="bottom"/>
          </w:tcPr>
          <w:p>
            <w:pPr>
              <w:ind w:left="246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c>
          <w:tcPr>
            <w:tcW w:w="420" w:type="dxa"/>
            <w:vAlign w:val="bottom"/>
          </w:tcPr>
          <w:p>
            <w:pPr>
              <w:spacing w:after="0"/>
              <w:rPr>
                <w:sz w:val="19"/>
                <w:szCs w:val="19"/>
                <w:color w:val="auto"/>
              </w:rPr>
            </w:pPr>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(unaudited)</w:t>
              </w:r>
            </w:hyperlink>
          </w:p>
        </w:tc>
        <w:tc>
          <w:tcPr>
            <w:tcW w:w="4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70"/>
        </w:trPr>
        <w:tc>
          <w:tcPr>
            <w:tcW w:w="700" w:type="dxa"/>
            <w:vAlign w:val="bottom"/>
          </w:tcPr>
          <w:p>
            <w:pPr>
              <w:spacing w:after="0"/>
              <w:rPr>
                <w:sz w:val="23"/>
                <w:szCs w:val="23"/>
                <w:color w:val="auto"/>
              </w:rPr>
            </w:pPr>
          </w:p>
        </w:tc>
        <w:tc>
          <w:tcPr>
            <w:tcW w:w="760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Income - Three Months Ended March 31, 2020 and 2019</w:t>
              </w:r>
            </w:hyperlink>
          </w:p>
        </w:tc>
        <w:tc>
          <w:tcPr>
            <w:tcW w:w="4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70"/>
        </w:trPr>
        <w:tc>
          <w:tcPr>
            <w:tcW w:w="700" w:type="dxa"/>
            <w:vAlign w:val="bottom"/>
          </w:tcPr>
          <w:p>
            <w:pPr>
              <w:spacing w:after="0"/>
              <w:rPr>
                <w:sz w:val="23"/>
                <w:szCs w:val="23"/>
                <w:color w:val="auto"/>
              </w:rPr>
            </w:pPr>
          </w:p>
        </w:tc>
        <w:tc>
          <w:tcPr>
            <w:tcW w:w="7600" w:type="dxa"/>
            <w:vAlign w:val="bottom"/>
          </w:tcPr>
          <w:p>
            <w:pPr>
              <w:ind w:left="60"/>
              <w:spacing w:after="0"/>
              <w:rPr>
                <w:rFonts w:ascii="Arial" w:cs="Arial" w:eastAsia="Arial" w:hAnsi="Arial"/>
                <w:sz w:val="18"/>
                <w:szCs w:val="18"/>
                <w:u w:val="single" w:color="auto"/>
                <w:color w:val="0000EE"/>
                <w:w w:val="92"/>
              </w:rPr>
            </w:pPr>
            <w:hyperlink w:anchor="page4">
              <w:r>
                <w:rPr>
                  <w:rFonts w:ascii="Arial" w:cs="Arial" w:eastAsia="Arial" w:hAnsi="Arial"/>
                  <w:sz w:val="18"/>
                  <w:szCs w:val="18"/>
                  <w:u w:val="single" w:color="auto"/>
                  <w:color w:val="0000EE"/>
                  <w:w w:val="92"/>
                </w:rPr>
                <w:t>Consolidated Statements of Comprehensive Income - Three Months Ended March 31, 2020 and 2019</w:t>
              </w:r>
            </w:hyperlink>
          </w:p>
        </w:tc>
        <w:tc>
          <w:tcPr>
            <w:tcW w:w="4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70"/>
        </w:trPr>
        <w:tc>
          <w:tcPr>
            <w:tcW w:w="700" w:type="dxa"/>
            <w:vAlign w:val="bottom"/>
          </w:tcPr>
          <w:p>
            <w:pPr>
              <w:spacing w:after="0"/>
              <w:rPr>
                <w:sz w:val="23"/>
                <w:szCs w:val="23"/>
                <w:color w:val="auto"/>
              </w:rPr>
            </w:pPr>
          </w:p>
        </w:tc>
        <w:tc>
          <w:tcPr>
            <w:tcW w:w="760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 March 31, 2020 and December 31, 2019</w:t>
              </w:r>
            </w:hyperlink>
          </w:p>
        </w:tc>
        <w:tc>
          <w:tcPr>
            <w:tcW w:w="4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70"/>
        </w:trPr>
        <w:tc>
          <w:tcPr>
            <w:tcW w:w="700" w:type="dxa"/>
            <w:vAlign w:val="bottom"/>
          </w:tcPr>
          <w:p>
            <w:pPr>
              <w:spacing w:after="0"/>
              <w:rPr>
                <w:sz w:val="23"/>
                <w:szCs w:val="23"/>
                <w:color w:val="auto"/>
              </w:rPr>
            </w:pPr>
          </w:p>
        </w:tc>
        <w:tc>
          <w:tcPr>
            <w:tcW w:w="7600" w:type="dxa"/>
            <w:vAlign w:val="bottom"/>
          </w:tcPr>
          <w:p>
            <w:pPr>
              <w:ind w:left="6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Consolidated Statements of Stockholders’ Equity — Three Months Ended March 31, 2020 and 2019</w:t>
              </w:r>
            </w:hyperlink>
          </w:p>
        </w:tc>
        <w:tc>
          <w:tcPr>
            <w:tcW w:w="4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70"/>
        </w:trPr>
        <w:tc>
          <w:tcPr>
            <w:tcW w:w="700" w:type="dxa"/>
            <w:vAlign w:val="bottom"/>
          </w:tcPr>
          <w:p>
            <w:pPr>
              <w:spacing w:after="0"/>
              <w:rPr>
                <w:sz w:val="23"/>
                <w:szCs w:val="23"/>
                <w:color w:val="auto"/>
              </w:rPr>
            </w:pPr>
          </w:p>
        </w:tc>
        <w:tc>
          <w:tcPr>
            <w:tcW w:w="7600" w:type="dxa"/>
            <w:vAlign w:val="bottom"/>
          </w:tcPr>
          <w:p>
            <w:pPr>
              <w:ind w:left="60"/>
              <w:spacing w:after="0"/>
              <w:rPr>
                <w:rFonts w:ascii="Arial" w:cs="Arial" w:eastAsia="Arial" w:hAnsi="Arial"/>
                <w:sz w:val="18"/>
                <w:szCs w:val="18"/>
                <w:u w:val="single" w:color="auto"/>
                <w:color w:val="0000EE"/>
                <w:w w:val="92"/>
              </w:rPr>
            </w:pPr>
            <w:hyperlink w:anchor="page7">
              <w:r>
                <w:rPr>
                  <w:rFonts w:ascii="Arial" w:cs="Arial" w:eastAsia="Arial" w:hAnsi="Arial"/>
                  <w:sz w:val="18"/>
                  <w:szCs w:val="18"/>
                  <w:u w:val="single" w:color="auto"/>
                  <w:color w:val="0000EE"/>
                  <w:w w:val="92"/>
                </w:rPr>
                <w:t>Condensed Consolidated Statements of Cash Flows - Three Months Ended March 31, 2020 and 2019</w:t>
              </w:r>
            </w:hyperlink>
          </w:p>
        </w:tc>
        <w:tc>
          <w:tcPr>
            <w:tcW w:w="4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70"/>
        </w:trPr>
        <w:tc>
          <w:tcPr>
            <w:tcW w:w="700" w:type="dxa"/>
            <w:vAlign w:val="bottom"/>
          </w:tcPr>
          <w:p>
            <w:pPr>
              <w:spacing w:after="0"/>
              <w:rPr>
                <w:sz w:val="23"/>
                <w:szCs w:val="23"/>
                <w:color w:val="auto"/>
              </w:rPr>
            </w:pPr>
          </w:p>
        </w:tc>
        <w:tc>
          <w:tcPr>
            <w:tcW w:w="7600" w:type="dxa"/>
            <w:vAlign w:val="bottom"/>
          </w:tcPr>
          <w:p>
            <w:pPr>
              <w:ind w:left="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4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2.   Management’s Discussion and Analysis of Financial Condition and Results of Operations</w:t>
              </w:r>
            </w:hyperlink>
          </w:p>
        </w:tc>
        <w:tc>
          <w:tcPr>
            <w:tcW w:w="42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18</w:t>
              </w:r>
            </w:hyperlink>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3.   Quantitative and Qualitative Disclosures About Market Risk</w:t>
              </w:r>
            </w:hyperlink>
          </w:p>
        </w:tc>
        <w:tc>
          <w:tcPr>
            <w:tcW w:w="4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4.   Controls and Procedures</w:t>
              </w:r>
            </w:hyperlink>
          </w:p>
        </w:tc>
        <w:tc>
          <w:tcPr>
            <w:tcW w:w="42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tc>
      </w:tr>
      <w:tr>
        <w:trPr>
          <w:trHeight w:val="594"/>
        </w:trPr>
        <w:tc>
          <w:tcPr>
            <w:tcW w:w="700" w:type="dxa"/>
            <w:vAlign w:val="bottom"/>
          </w:tcPr>
          <w:p>
            <w:pPr>
              <w:spacing w:after="0"/>
              <w:rPr>
                <w:sz w:val="24"/>
                <w:szCs w:val="24"/>
                <w:color w:val="auto"/>
              </w:rPr>
            </w:pPr>
          </w:p>
        </w:tc>
        <w:tc>
          <w:tcPr>
            <w:tcW w:w="7600" w:type="dxa"/>
            <w:vAlign w:val="bottom"/>
          </w:tcPr>
          <w:p>
            <w:pPr>
              <w:ind w:left="2560"/>
              <w:spacing w:after="0"/>
              <w:rPr>
                <w:rFonts w:ascii="Arial" w:cs="Arial" w:eastAsia="Arial" w:hAnsi="Arial"/>
                <w:sz w:val="18"/>
                <w:szCs w:val="18"/>
                <w:b w:val="1"/>
                <w:bCs w:val="1"/>
                <w:u w:val="single" w:color="auto"/>
                <w:color w:val="0000FF"/>
              </w:rPr>
            </w:pPr>
            <w:hyperlink w:anchor="page29">
              <w:r>
                <w:rPr>
                  <w:rFonts w:ascii="Arial" w:cs="Arial" w:eastAsia="Arial" w:hAnsi="Arial"/>
                  <w:sz w:val="18"/>
                  <w:szCs w:val="18"/>
                  <w:b w:val="1"/>
                  <w:bCs w:val="1"/>
                  <w:u w:val="single" w:color="auto"/>
                  <w:color w:val="0000FF"/>
                </w:rPr>
                <w:t>PART II. Other Information</w:t>
              </w:r>
            </w:hyperlink>
          </w:p>
        </w:tc>
        <w:tc>
          <w:tcPr>
            <w:tcW w:w="420" w:type="dxa"/>
            <w:vAlign w:val="bottom"/>
          </w:tcPr>
          <w:p>
            <w:pPr>
              <w:spacing w:after="0"/>
              <w:rPr>
                <w:sz w:val="24"/>
                <w:szCs w:val="24"/>
                <w:color w:val="auto"/>
              </w:rPr>
            </w:pPr>
          </w:p>
        </w:tc>
      </w:tr>
      <w:tr>
        <w:trPr>
          <w:trHeight w:val="270"/>
        </w:trPr>
        <w:tc>
          <w:tcPr>
            <w:tcW w:w="70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w:t>
              </w:r>
            </w:hyperlink>
          </w:p>
        </w:tc>
        <w:tc>
          <w:tcPr>
            <w:tcW w:w="7600" w:type="dxa"/>
            <w:vAlign w:val="bottom"/>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Legal Proceedings</w:t>
              </w:r>
            </w:hyperlink>
          </w:p>
        </w:tc>
        <w:tc>
          <w:tcPr>
            <w:tcW w:w="4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tc>
      </w:tr>
      <w:tr>
        <w:trPr>
          <w:trHeight w:val="270"/>
        </w:trPr>
        <w:tc>
          <w:tcPr>
            <w:tcW w:w="700" w:type="dxa"/>
            <w:vAlign w:val="bottom"/>
          </w:tcPr>
          <w:p>
            <w:pPr>
              <w:spacing w:after="0"/>
              <w:rPr>
                <w:rFonts w:ascii="Arial" w:cs="Arial" w:eastAsia="Arial" w:hAnsi="Arial"/>
                <w:sz w:val="18"/>
                <w:szCs w:val="18"/>
                <w:color w:val="0000FF"/>
              </w:rPr>
            </w:pPr>
            <w:hyperlink w:anchor="page29">
              <w:r>
                <w:rPr>
                  <w:rFonts w:ascii="Arial" w:cs="Arial" w:eastAsia="Arial" w:hAnsi="Arial"/>
                  <w:sz w:val="18"/>
                  <w:szCs w:val="18"/>
                  <w:u w:val="single" w:color="auto"/>
                  <w:color w:val="0000FF"/>
                </w:rPr>
                <w:t>Item 1A</w:t>
              </w:r>
              <w:r>
                <w:rPr>
                  <w:rFonts w:ascii="Arial" w:cs="Arial" w:eastAsia="Arial" w:hAnsi="Arial"/>
                  <w:sz w:val="18"/>
                  <w:szCs w:val="18"/>
                  <w:color w:val="0000FF"/>
                </w:rPr>
                <w:t>.</w:t>
              </w:r>
            </w:hyperlink>
          </w:p>
        </w:tc>
        <w:tc>
          <w:tcPr>
            <w:tcW w:w="7600" w:type="dxa"/>
            <w:vAlign w:val="bottom"/>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Risk Factors</w:t>
              </w:r>
            </w:hyperlink>
          </w:p>
        </w:tc>
        <w:tc>
          <w:tcPr>
            <w:tcW w:w="4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2.   Unregistered Sales of Equity Securities and Use of Proceeds</w:t>
              </w:r>
            </w:hyperlink>
          </w:p>
        </w:tc>
        <w:tc>
          <w:tcPr>
            <w:tcW w:w="4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3.   Defaults Upon Senior Securities</w:t>
              </w:r>
            </w:hyperlink>
          </w:p>
        </w:tc>
        <w:tc>
          <w:tcPr>
            <w:tcW w:w="4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4.   Mine Safety Disclosures</w:t>
              </w:r>
            </w:hyperlink>
          </w:p>
        </w:tc>
        <w:tc>
          <w:tcPr>
            <w:tcW w:w="4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r>
      <w:tr>
        <w:trPr>
          <w:trHeight w:val="270"/>
        </w:trPr>
        <w:tc>
          <w:tcPr>
            <w:tcW w:w="70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5.</w:t>
              </w:r>
            </w:hyperlink>
          </w:p>
        </w:tc>
        <w:tc>
          <w:tcPr>
            <w:tcW w:w="7600" w:type="dxa"/>
            <w:vAlign w:val="bottom"/>
          </w:tcPr>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Other Information</w:t>
              </w:r>
            </w:hyperlink>
          </w:p>
        </w:tc>
        <w:tc>
          <w:tcPr>
            <w:tcW w:w="42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r>
      <w:tr>
        <w:trPr>
          <w:trHeight w:val="270"/>
        </w:trPr>
        <w:tc>
          <w:tcPr>
            <w:tcW w:w="70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6.</w:t>
              </w:r>
            </w:hyperlink>
          </w:p>
        </w:tc>
        <w:tc>
          <w:tcPr>
            <w:tcW w:w="7600" w:type="dxa"/>
            <w:vAlign w:val="bottom"/>
          </w:tcPr>
          <w:p>
            <w:pPr>
              <w:ind w:left="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Exhibits</w:t>
              </w:r>
            </w:hyperlink>
          </w:p>
        </w:tc>
        <w:tc>
          <w:tcPr>
            <w:tcW w:w="42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r>
      <w:tr>
        <w:trPr>
          <w:trHeight w:val="270"/>
        </w:trPr>
        <w:tc>
          <w:tcPr>
            <w:tcW w:w="8300" w:type="dxa"/>
            <w:vAlign w:val="bottom"/>
            <w:gridSpan w:val="2"/>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Signatures</w:t>
              </w:r>
            </w:hyperlink>
          </w:p>
        </w:tc>
        <w:tc>
          <w:tcPr>
            <w:tcW w:w="42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tc>
      </w:tr>
    </w:tbl>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2020 including expenditures in support of advanced packaging and test equipment, (2) our ability to fund our operating activities and financial requirements for the next twelve months, (3) the effect of changes in revenue levels and capacity utilization on our gross margin, (4) the impact of the novel coronavirus disease, or Covid-19, pandemic on our operations and financial results, (5) the focus of our research and development activities, (6) the anticipated impact of the Tax Cuts and Jobs Act (the “Tax Act”) and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our covenants, (12) expected contributions to foreign pension plans, (13) liability for unrecognized tax benefits and the potential impact of our unrecognized tax benefits on our effective tax rate, (14) expected timing of and charges related to restructuring activities, (15) the effect of foreign currency exchange rate exposure on our financial results, (16) the volatility of the trading price of our common stock, (17) changes to our internal controls related to integration of acquired operations and implementation of an enterprise resource planning system, (18) our efforts to enlarge our customer base in certain geographic areas and markets, (19) demand for advanced packages in mobile and automotive devices and our technology leadership and potential growth in this market, (20) projects to install and integrate new information technology systems or upgrade our existing systems and (21)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7360" w:type="dxa"/>
            <w:vAlign w:val="bottom"/>
          </w:tcPr>
          <w:p>
            <w:pPr>
              <w:jc w:val="center"/>
              <w:ind w:left="2070"/>
              <w:spacing w:after="0"/>
              <w:rPr>
                <w:sz w:val="20"/>
                <w:szCs w:val="20"/>
                <w:color w:val="auto"/>
              </w:rPr>
            </w:pPr>
            <w:r>
              <w:rPr>
                <w:rFonts w:ascii="Arial" w:cs="Arial" w:eastAsia="Arial" w:hAnsi="Arial"/>
                <w:sz w:val="18"/>
                <w:szCs w:val="18"/>
                <w:b w:val="1"/>
                <w:bCs w:val="1"/>
                <w:color w:val="auto"/>
              </w:rPr>
              <w:t>AMKOR TECHNOLOGY, INC.</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360" w:type="dxa"/>
            <w:vAlign w:val="bottom"/>
          </w:tcPr>
          <w:p>
            <w:pPr>
              <w:jc w:val="center"/>
              <w:ind w:left="2070"/>
              <w:spacing w:after="0"/>
              <w:rPr>
                <w:sz w:val="20"/>
                <w:szCs w:val="20"/>
                <w:color w:val="auto"/>
              </w:rPr>
            </w:pPr>
            <w:r>
              <w:rPr>
                <w:rFonts w:ascii="Arial" w:cs="Arial" w:eastAsia="Arial" w:hAnsi="Arial"/>
                <w:sz w:val="18"/>
                <w:szCs w:val="18"/>
                <w:b w:val="1"/>
                <w:bCs w:val="1"/>
                <w:color w:val="auto"/>
              </w:rPr>
              <w:t>CONSOLIDATED STATEMENTS OF INCOME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7360" w:type="dxa"/>
            <w:vAlign w:val="bottom"/>
          </w:tcPr>
          <w:p>
            <w:pPr>
              <w:jc w:val="center"/>
              <w:ind w:left="20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9"/>
        </w:trPr>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86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6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2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56"/>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1,152,616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894,964</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963,708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774,203</w:t>
            </w: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188,908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120,761</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72,582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71,587</w:t>
            </w:r>
          </w:p>
        </w:tc>
      </w:tr>
      <w:tr>
        <w:trPr>
          <w:trHeight w:val="27"/>
        </w:trPr>
        <w:tc>
          <w:tcPr>
            <w:tcW w:w="8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35,754</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104,835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107,341</w:t>
            </w: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13,420</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19,273</w:t>
            </w:r>
          </w:p>
        </w:tc>
      </w:tr>
      <w:tr>
        <w:trPr>
          <w:trHeight w:val="27"/>
        </w:trPr>
        <w:tc>
          <w:tcPr>
            <w:tcW w:w="8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r>
      <w:tr>
        <w:trPr>
          <w:trHeight w:val="237"/>
        </w:trPr>
        <w:tc>
          <w:tcPr>
            <w:tcW w:w="8220" w:type="dxa"/>
            <w:vAlign w:val="bottom"/>
            <w:gridSpan w:val="2"/>
          </w:tcPr>
          <w:p>
            <w:pPr>
              <w:ind w:left="28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14,708</w:t>
            </w: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(loss)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21,380</w:t>
            </w: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(22,668)</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63,889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w:t>
            </w:r>
          </w:p>
        </w:tc>
      </w:tr>
      <w:tr>
        <w:trPr>
          <w:trHeight w:val="20"/>
        </w:trPr>
        <w:tc>
          <w:tcPr>
            <w:tcW w:w="8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303"/>
        </w:trPr>
        <w:tc>
          <w:tcPr>
            <w:tcW w:w="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73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50"/>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Diluted</w:t>
            </w:r>
          </w:p>
        </w:tc>
        <w:tc>
          <w:tcPr>
            <w:tcW w:w="7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8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used in computing per common share amounts: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60" w:type="dxa"/>
            <w:vAlign w:val="bottom"/>
          </w:tcPr>
          <w:p>
            <w:pPr>
              <w:ind w:left="280"/>
              <w:spacing w:after="0"/>
              <w:rPr>
                <w:sz w:val="20"/>
                <w:szCs w:val="20"/>
                <w:color w:val="auto"/>
              </w:rPr>
            </w:pPr>
            <w:r>
              <w:rPr>
                <w:rFonts w:ascii="Arial" w:cs="Arial" w:eastAsia="Arial" w:hAnsi="Arial"/>
                <w:sz w:val="18"/>
                <w:szCs w:val="18"/>
                <w:color w:val="auto"/>
              </w:rPr>
              <w:t>Basic</w:t>
            </w:r>
          </w:p>
        </w:tc>
        <w:tc>
          <w:tcPr>
            <w:tcW w:w="7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240,919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239,414</w:t>
            </w:r>
          </w:p>
        </w:tc>
      </w:tr>
      <w:tr>
        <w:trPr>
          <w:trHeight w:val="27"/>
        </w:trPr>
        <w:tc>
          <w:tcPr>
            <w:tcW w:w="86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Diluted</w:t>
            </w:r>
          </w:p>
        </w:tc>
        <w:tc>
          <w:tcPr>
            <w:tcW w:w="7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241,333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239,414</w:t>
            </w:r>
          </w:p>
        </w:tc>
      </w:tr>
      <w:tr>
        <w:trPr>
          <w:trHeight w:val="27"/>
        </w:trPr>
        <w:tc>
          <w:tcPr>
            <w:tcW w:w="86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0" w:lineRule="exact"/>
        <w:rPr>
          <w:sz w:val="20"/>
          <w:szCs w:val="20"/>
          <w:color w:val="auto"/>
        </w:rPr>
      </w:pPr>
    </w:p>
    <w:p>
      <w:pPr>
        <w:jc w:val="center"/>
        <w:ind w:left="8900"/>
        <w:spacing w:after="0"/>
        <w:rPr>
          <w:sz w:val="20"/>
          <w:szCs w:val="20"/>
          <w:color w:val="auto"/>
        </w:rPr>
      </w:pPr>
      <w:r>
        <w:rPr>
          <w:rFonts w:ascii="Arial" w:cs="Arial" w:eastAsia="Arial" w:hAnsi="Arial"/>
          <w:sz w:val="13"/>
          <w:szCs w:val="13"/>
          <w:b w:val="1"/>
          <w:bCs w:val="1"/>
          <w:color w:val="auto"/>
        </w:rPr>
        <w:t>For the Three Months Ended March</w:t>
      </w:r>
    </w:p>
    <w:p>
      <w:pPr>
        <w:spacing w:after="0" w:line="15"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2019</w:t>
            </w:r>
          </w:p>
        </w:tc>
      </w:tr>
      <w:tr>
        <w:trPr>
          <w:trHeight w:val="250"/>
        </w:trPr>
        <w:tc>
          <w:tcPr>
            <w:tcW w:w="8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r>
      <w:tr>
        <w:trPr>
          <w:trHeight w:val="25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64,497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(22,668)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net unrealized gains (losses) on available-for-sale debt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237"/>
        </w:trPr>
        <w:tc>
          <w:tcPr>
            <w:tcW w:w="8900" w:type="dxa"/>
            <w:vAlign w:val="bottom"/>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w:t>
            </w: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(25,024)</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Amkor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64,483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(25,235)</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6"/>
              </w:rPr>
              <w:t>(In thousands, except per share data)</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894,948</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 (amortized cost of $58,139 in 2020)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880,629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850,753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220,602</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2,153,703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2,001,533</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2,367,746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2,404,850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148,549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25,976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112,701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111,733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4,811,637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4,695,615</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141,521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144,479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571,054</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Capital expenditures payable</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107,131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77,044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236,464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267,226</w:t>
            </w:r>
          </w:p>
        </w:tc>
        <w:tc>
          <w:tcPr>
            <w:tcW w:w="0" w:type="dxa"/>
            <w:vAlign w:val="bottom"/>
          </w:tcPr>
          <w:p>
            <w:pPr>
              <w:spacing w:after="0"/>
              <w:rPr>
                <w:sz w:val="1"/>
                <w:szCs w:val="1"/>
                <w:color w:val="auto"/>
              </w:rPr>
            </w:pP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1,047,749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1,059,803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1,371,501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1,305,755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Pension and severance obligations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178,084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176,971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91,107</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71,740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2,753,012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2,705,376</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Common stock, $0.001 par value, 500,000 shares authorized; 287,093 and 286,877 shares issued; and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241,016 and 240,805 shares outstanding in 2020 and 2019,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1,931,088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1,927,739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234,077</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46,077 and 46,072 shares, in 2020 and 2019,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(217,479)</w:t>
            </w:r>
          </w:p>
        </w:tc>
        <w:tc>
          <w:tcPr>
            <w:tcW w:w="0" w:type="dxa"/>
            <w:vAlign w:val="bottom"/>
          </w:tcPr>
          <w:p>
            <w:pPr>
              <w:spacing w:after="0"/>
              <w:rPr>
                <w:sz w:val="1"/>
                <w:szCs w:val="1"/>
                <w:color w:val="auto"/>
              </w:rPr>
            </w:pPr>
          </w:p>
        </w:tc>
      </w:tr>
      <w:tr>
        <w:trPr>
          <w:trHeight w:val="236"/>
        </w:trPr>
        <w:tc>
          <w:tcPr>
            <w:tcW w:w="8220" w:type="dxa"/>
            <w:vAlign w:val="bottom"/>
          </w:tcPr>
          <w:p>
            <w:pPr>
              <w:ind w:left="720"/>
              <w:spacing w:after="0"/>
              <w:rPr>
                <w:sz w:val="20"/>
                <w:szCs w:val="20"/>
                <w:color w:val="auto"/>
              </w:rPr>
            </w:pPr>
            <w:r>
              <w:rPr>
                <w:rFonts w:ascii="Arial" w:cs="Arial" w:eastAsia="Arial" w:hAnsi="Arial"/>
                <w:sz w:val="18"/>
                <w:szCs w:val="18"/>
                <w:color w:val="auto"/>
              </w:rPr>
              <w:t>Total Amkor stockholders’ equity</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2,031,517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1,963,739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36"/>
        </w:trPr>
        <w:tc>
          <w:tcPr>
            <w:tcW w:w="822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2,058,625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1,990,239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4,811,637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4,695,615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174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6"/>
              </w:rPr>
              <w:t>Accumulated</w:t>
            </w:r>
          </w:p>
        </w:tc>
        <w:tc>
          <w:tcPr>
            <w:tcW w:w="150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380"/>
              <w:spacing w:after="0" w:line="122" w:lineRule="exact"/>
              <w:rPr>
                <w:sz w:val="20"/>
                <w:szCs w:val="20"/>
                <w:color w:val="auto"/>
              </w:rPr>
            </w:pPr>
            <w:r>
              <w:rPr>
                <w:rFonts w:ascii="Arial" w:cs="Arial" w:eastAsia="Arial" w:hAnsi="Arial"/>
                <w:sz w:val="11"/>
                <w:szCs w:val="11"/>
                <w:b w:val="1"/>
                <w:bCs w:val="1"/>
                <w:color w:val="auto"/>
                <w:w w:val="95"/>
              </w:rPr>
              <w:t>Other</w:t>
            </w:r>
          </w:p>
        </w:tc>
        <w:tc>
          <w:tcPr>
            <w:tcW w:w="150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5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93"/>
              </w:rPr>
              <w:t>Additional Paid-</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Stockholders’</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1"/>
              </w:rPr>
              <w:t>Interest in</w:t>
            </w:r>
          </w:p>
        </w:tc>
        <w:tc>
          <w:tcPr>
            <w:tcW w:w="120" w:type="dxa"/>
            <w:vAlign w:val="bottom"/>
          </w:tcPr>
          <w:p>
            <w:pPr>
              <w:spacing w:after="0"/>
              <w:rPr>
                <w:sz w:val="8"/>
                <w:szCs w:val="8"/>
                <w:color w:val="auto"/>
              </w:rPr>
            </w:pPr>
          </w:p>
        </w:tc>
        <w:tc>
          <w:tcPr>
            <w:tcW w:w="640" w:type="dxa"/>
            <w:vAlign w:val="bottom"/>
          </w:tcPr>
          <w:p>
            <w:pPr>
              <w:jc w:val="right"/>
              <w:ind w:right="198"/>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 Capital</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Retained Earnings</w:t>
            </w:r>
          </w:p>
        </w:tc>
        <w:tc>
          <w:tcPr>
            <w:tcW w:w="120" w:type="dxa"/>
            <w:vAlign w:val="bottom"/>
          </w:tcPr>
          <w:p>
            <w:pPr>
              <w:spacing w:after="0"/>
              <w:rPr>
                <w:sz w:val="12"/>
                <w:szCs w:val="12"/>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5"/>
              </w:rPr>
              <w:t>Income (Loss)</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20" w:type="dxa"/>
            <w:vAlign w:val="bottom"/>
          </w:tcPr>
          <w:p>
            <w:pPr>
              <w:spacing w:after="0"/>
              <w:rPr>
                <w:sz w:val="12"/>
                <w:szCs w:val="12"/>
                <w:color w:val="auto"/>
              </w:rPr>
            </w:pPr>
          </w:p>
        </w:tc>
        <w:tc>
          <w:tcPr>
            <w:tcW w:w="640" w:type="dxa"/>
            <w:vAlign w:val="bottom"/>
          </w:tcPr>
          <w:p>
            <w:pPr>
              <w:jc w:val="right"/>
              <w:ind w:right="15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ind w:left="480"/>
              <w:spacing w:after="0"/>
              <w:rPr>
                <w:sz w:val="20"/>
                <w:szCs w:val="20"/>
                <w:color w:val="auto"/>
              </w:rPr>
            </w:pPr>
            <w:r>
              <w:rPr>
                <w:rFonts w:ascii="Arial" w:cs="Arial" w:eastAsia="Arial" w:hAnsi="Arial"/>
                <w:sz w:val="11"/>
                <w:szCs w:val="11"/>
                <w:b w:val="1"/>
                <w:bCs w:val="1"/>
                <w:color w:val="auto"/>
                <w:w w:val="84"/>
              </w:rPr>
              <w:t>(In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8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w w:val="99"/>
              </w:rPr>
              <w:t>Balance at 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2019</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286,877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1,927,739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234,077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19,115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(46,072)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(217,479)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1,963,739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26,500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9"/>
              </w:rPr>
              <w:t>1,990,239</w:t>
            </w:r>
          </w:p>
        </w:tc>
        <w:tc>
          <w:tcPr>
            <w:tcW w:w="0" w:type="dxa"/>
            <w:vAlign w:val="bottom"/>
          </w:tcPr>
          <w:p>
            <w:pPr>
              <w:spacing w:after="0"/>
              <w:rPr>
                <w:sz w:val="1"/>
                <w:szCs w:val="1"/>
                <w:color w:val="auto"/>
              </w:rPr>
            </w:pPr>
          </w:p>
        </w:tc>
      </w:tr>
      <w:tr>
        <w:trPr>
          <w:trHeight w:val="262"/>
        </w:trPr>
        <w:tc>
          <w:tcPr>
            <w:tcW w:w="158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63,889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63,889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608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64,497</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0"/>
              <w:spacing w:after="0" w:line="135" w:lineRule="exact"/>
              <w:rPr>
                <w:sz w:val="20"/>
                <w:szCs w:val="20"/>
                <w:color w:val="auto"/>
              </w:rPr>
            </w:pPr>
            <w:r>
              <w:rPr>
                <w:rFonts w:ascii="Arial" w:cs="Arial" w:eastAsia="Arial" w:hAnsi="Arial"/>
                <w:sz w:val="13"/>
                <w:szCs w:val="13"/>
                <w:color w:val="auto"/>
              </w:rPr>
              <w:t>through surrender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200"/>
              <w:spacing w:after="0"/>
              <w:rPr>
                <w:sz w:val="20"/>
                <w:szCs w:val="20"/>
                <w:color w:val="auto"/>
              </w:rPr>
            </w:pPr>
            <w:r>
              <w:rPr>
                <w:rFonts w:ascii="Arial" w:cs="Arial" w:eastAsia="Arial" w:hAnsi="Arial"/>
                <w:sz w:val="13"/>
                <w:szCs w:val="13"/>
                <w:color w:val="auto"/>
                <w:w w:val="92"/>
              </w:rPr>
              <w:t>shares for tax 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6"/>
              </w:rPr>
              <w:t>share-based compensation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1,519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1,519</w:t>
            </w:r>
          </w:p>
        </w:tc>
        <w:tc>
          <w:tcPr>
            <w:tcW w:w="0" w:type="dxa"/>
            <w:vAlign w:val="bottom"/>
          </w:tcPr>
          <w:p>
            <w:pPr>
              <w:spacing w:after="0"/>
              <w:rPr>
                <w:sz w:val="1"/>
                <w:szCs w:val="1"/>
                <w:color w:val="auto"/>
              </w:rPr>
            </w:pPr>
          </w:p>
        </w:tc>
      </w:tr>
      <w:tr>
        <w:trPr>
          <w:trHeight w:val="263"/>
        </w:trPr>
        <w:tc>
          <w:tcPr>
            <w:tcW w:w="1580" w:type="dxa"/>
            <w:vAlign w:val="bottom"/>
          </w:tcPr>
          <w:p>
            <w:pPr>
              <w:ind w:left="40"/>
              <w:spacing w:after="0"/>
              <w:rPr>
                <w:sz w:val="20"/>
                <w:szCs w:val="20"/>
                <w:color w:val="auto"/>
              </w:rPr>
            </w:pPr>
            <w:r>
              <w:rPr>
                <w:rFonts w:ascii="Arial" w:cs="Arial" w:eastAsia="Arial" w:hAnsi="Arial"/>
                <w:sz w:val="13"/>
                <w:szCs w:val="13"/>
                <w:color w:val="auto"/>
                <w:w w:val="95"/>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1,830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1,830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1,830</w:t>
            </w:r>
          </w:p>
        </w:tc>
        <w:tc>
          <w:tcPr>
            <w:tcW w:w="0" w:type="dxa"/>
            <w:vAlign w:val="bottom"/>
          </w:tcPr>
          <w:p>
            <w:pPr>
              <w:spacing w:after="0"/>
              <w:rPr>
                <w:sz w:val="1"/>
                <w:szCs w:val="1"/>
                <w:color w:val="auto"/>
              </w:rPr>
            </w:pPr>
          </w:p>
        </w:tc>
      </w:tr>
      <w:tr>
        <w:trPr>
          <w:trHeight w:val="242"/>
        </w:trPr>
        <w:tc>
          <w:tcPr>
            <w:tcW w:w="1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94"/>
              </w:rPr>
              <w:t>Balance at March 31, 2020</w:t>
            </w:r>
          </w:p>
        </w:tc>
        <w:tc>
          <w:tcPr>
            <w:tcW w:w="7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287,093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1,931,088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297,966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19,709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w w:val="86"/>
              </w:rPr>
              <w:t>(46,077)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(217,533)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2,031,517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27,108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89"/>
              </w:rPr>
              <w:t>2,058,625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58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w w:val="99"/>
              </w:rPr>
              <w:t>Balance at 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2018</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285,352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1,909,425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113,189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23,812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(45,967)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(216,171)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1,830,540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25,360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9"/>
              </w:rPr>
              <w:t>1,855,900</w:t>
            </w:r>
          </w:p>
        </w:tc>
        <w:tc>
          <w:tcPr>
            <w:tcW w:w="0" w:type="dxa"/>
            <w:vAlign w:val="bottom"/>
          </w:tcPr>
          <w:p>
            <w:pPr>
              <w:spacing w:after="0"/>
              <w:rPr>
                <w:sz w:val="1"/>
                <w:szCs w:val="1"/>
                <w:color w:val="auto"/>
              </w:rPr>
            </w:pPr>
          </w:p>
        </w:tc>
      </w:tr>
      <w:tr>
        <w:trPr>
          <w:trHeight w:val="262"/>
        </w:trPr>
        <w:tc>
          <w:tcPr>
            <w:tcW w:w="158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(22,879)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3"/>
                <w:szCs w:val="13"/>
                <w:color w:val="auto"/>
              </w:rPr>
              <w:t>(22,879)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(22,668)</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(2,356)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00"/>
              <w:spacing w:after="0" w:line="135" w:lineRule="exact"/>
              <w:rPr>
                <w:sz w:val="20"/>
                <w:szCs w:val="20"/>
                <w:color w:val="auto"/>
              </w:rPr>
            </w:pPr>
            <w:r>
              <w:rPr>
                <w:rFonts w:ascii="Arial" w:cs="Arial" w:eastAsia="Arial" w:hAnsi="Arial"/>
                <w:sz w:val="13"/>
                <w:szCs w:val="13"/>
                <w:color w:val="auto"/>
              </w:rPr>
              <w:t>through surrender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200"/>
              <w:spacing w:after="0"/>
              <w:rPr>
                <w:sz w:val="20"/>
                <w:szCs w:val="20"/>
                <w:color w:val="auto"/>
              </w:rPr>
            </w:pPr>
            <w:r>
              <w:rPr>
                <w:rFonts w:ascii="Arial" w:cs="Arial" w:eastAsia="Arial" w:hAnsi="Arial"/>
                <w:sz w:val="13"/>
                <w:szCs w:val="13"/>
                <w:color w:val="auto"/>
                <w:w w:val="92"/>
              </w:rPr>
              <w:t>shares for tax 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6"/>
              </w:rPr>
              <w:t>share-based compensation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263"/>
        </w:trPr>
        <w:tc>
          <w:tcPr>
            <w:tcW w:w="1580" w:type="dxa"/>
            <w:vAlign w:val="bottom"/>
          </w:tcPr>
          <w:p>
            <w:pPr>
              <w:ind w:left="40"/>
              <w:spacing w:after="0"/>
              <w:rPr>
                <w:sz w:val="20"/>
                <w:szCs w:val="20"/>
                <w:color w:val="auto"/>
              </w:rPr>
            </w:pPr>
            <w:r>
              <w:rPr>
                <w:rFonts w:ascii="Arial" w:cs="Arial" w:eastAsia="Arial" w:hAnsi="Arial"/>
                <w:sz w:val="13"/>
                <w:szCs w:val="13"/>
                <w:color w:val="auto"/>
                <w:w w:val="95"/>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242"/>
        </w:trPr>
        <w:tc>
          <w:tcPr>
            <w:tcW w:w="1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March 31, 2019</w:t>
            </w:r>
          </w:p>
        </w:tc>
        <w:tc>
          <w:tcPr>
            <w:tcW w:w="7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285,430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1,911,179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21,456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w w:val="86"/>
              </w:rPr>
              <w:t>(45,972)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(216,219)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1,807,011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25,571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89"/>
              </w:rPr>
              <w:t>1,832,582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3"/>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64,497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(22,668)</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123,657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135,835</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operating activities and non-cash items</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8,287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15,928</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(99,852)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(77,038)</w:t>
            </w:r>
          </w:p>
        </w:tc>
      </w:tr>
      <w:tr>
        <w:trPr>
          <w:trHeight w:val="237"/>
        </w:trPr>
        <w:tc>
          <w:tcPr>
            <w:tcW w:w="822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96,589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52,057</w:t>
            </w: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Payments for property, plant and equipment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(203,216)</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Proceeds from insurance recovery for property, plant and equipment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1,538</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(202,067)</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revolving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Proceeds from short-term debt</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29,781</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(10,588)</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572,375</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(63,636)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Payments of finance lease obligations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37"/>
        </w:trPr>
        <w:tc>
          <w:tcPr>
            <w:tcW w:w="822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55,095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523,708</w:t>
            </w: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46,792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372,869</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898,532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688,051</w:t>
            </w:r>
          </w:p>
        </w:tc>
      </w:tr>
      <w:tr>
        <w:trPr>
          <w:trHeight w:val="29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945,324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1,060,920</w:t>
            </w: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107,344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124,547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Consolidated Financial Statements and related disclosures as of March 31, 2020, and for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and 2019, are unaudited, pursuant to the rules and regulations of the United States Securities and Exchange Commission (“SEC”). The December 31, 2019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2019, filed on Form 10-K with the SEC on February 19, 2020. The results of operations for the three months ended March 31, 2020 are not necessarily indicative of the results to be expected for the full year. Unless the context otherwise requires, all references to “Amkor,” “we,” “us,” “our” or the “company” are to Amkor Technology, Inc. and our subsidiaries. Certain prior year amounts have been reclassified to conform to current year presentation.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Consolidated Financial Statements have been prepared in conformity with U.S. GAAP, using management’s best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including the impact of Covid-19 and any worsening of the global business and economic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Total unbilled receivables as of March 31, 2020 and December 31, 2019 were $131.3 million and $125.4 million, respectively.</w:t>
      </w:r>
    </w:p>
    <w:p>
      <w:pPr>
        <w:spacing w:after="0" w:line="2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Net Sales by Product Group and End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group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3"/>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705,158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422,446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Mainstream products (2)</w:t>
            </w:r>
          </w:p>
        </w:tc>
        <w:tc>
          <w:tcPr>
            <w:tcW w:w="20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447,458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472,518</w:t>
            </w: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1,152,616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894,964</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600" w:hanging="103"/>
        <w:spacing w:after="0"/>
        <w:tabs>
          <w:tab w:leader="none" w:pos="5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 (handheld devices, smartphones, tablets)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Consumer (connected home, set-top boxes, televisions, visual imaging, wearables)</w:t>
            </w:r>
          </w:p>
        </w:tc>
        <w:tc>
          <w:tcPr>
            <w:tcW w:w="20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industrial and other (driver assist, infotainment, performance, safety)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Computing (datacenter, infrastructure, PC/laptop, storage)</w:t>
            </w:r>
          </w:p>
        </w:tc>
        <w:tc>
          <w:tcPr>
            <w:tcW w:w="20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spacing w:after="0"/>
              <w:rPr>
                <w:sz w:val="22"/>
                <w:szCs w:val="22"/>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Other Income and Expense</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color w:val="auto"/>
              </w:rPr>
              <w:t>Other income and expense consists of the following:</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264"/>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2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retirement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of $4.8 million for the three months ended March 31, 2020 reflects income taxes, foreign withholding taxes and minimum taxes.</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ASC 740 generally requires we provide for income taxes during interim periods based on the estimated annual effective tax rate (“AETR”) for the full year. For the three months ended March 31, 2020, we have excluded a jurisdiction from the AETR calculation and used a discrete method to calculate the income tax provision for that jurisdiction. We believe inclusion of this jurisdiction in the AETR calculation is impractical at this time given that normal deviations in the projected pre-tax net income (loss) would result in a disproportionate and unreliable annual effective tax rate under the AETR method.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Gross unrecognized tax benefits decreased from $26.2 million at December 31, 2019 to $23.1 million as of March 31, 2020, primarily due to the lapse of statutes of limitations in foreign jurisdictions.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tax returns that are open to examination in various jurisdictions for tax years 2012-2019. The open years contain matters that could be subject to differing interpretations of applicable tax laws and regulations related to the amount and/or timing of income, deductions and tax credits. There can be no assurance that the outcome of the examinations will be favorable. </w:t>
      </w:r>
      <w:r>
        <w:rPr>
          <w:rFonts w:ascii="Arial" w:cs="Arial" w:eastAsia="Arial" w:hAnsi="Arial"/>
          <w:sz w:val="17"/>
          <w:szCs w:val="17"/>
          <w:color w:val="212529"/>
        </w:rPr>
        <w:t>In certain circumstances where we elect to appeal the results of an examination, we may</w:t>
      </w:r>
      <w:r>
        <w:rPr>
          <w:rFonts w:ascii="Arial" w:cs="Arial" w:eastAsia="Arial" w:hAnsi="Arial"/>
          <w:sz w:val="17"/>
          <w:szCs w:val="17"/>
          <w:color w:val="auto"/>
        </w:rPr>
        <w:t xml:space="preserve"> </w:t>
      </w:r>
      <w:r>
        <w:rPr>
          <w:rFonts w:ascii="Arial" w:cs="Arial" w:eastAsia="Arial" w:hAnsi="Arial"/>
          <w:sz w:val="17"/>
          <w:szCs w:val="17"/>
          <w:color w:val="212529"/>
        </w:rPr>
        <w:t>be required to make tax assessment payments to proceed with the administrative appeal process.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52"/>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3"/>
          </w:tcPr>
          <w:p>
            <w:pPr>
              <w:jc w:val="center"/>
              <w:ind w:left="697"/>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3"/>
                <w:szCs w:val="13"/>
                <w:color w:val="auto"/>
              </w:rPr>
            </w:pPr>
          </w:p>
        </w:tc>
      </w:tr>
      <w:tr>
        <w:trPr>
          <w:trHeight w:val="192"/>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1"/>
              </w:rPr>
              <w:t>except per share data)</w:t>
            </w: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63,889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common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240,919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239,414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number of common shares outstanding - diluted</w:t>
            </w: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241,333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239,414</w:t>
            </w: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8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5"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16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7"/>
                <w:szCs w:val="17"/>
                <w:color w:val="auto"/>
              </w:rPr>
            </w:pPr>
          </w:p>
        </w:tc>
      </w:tr>
      <w:tr>
        <w:trPr>
          <w:trHeight w:val="249"/>
        </w:trPr>
        <w:tc>
          <w:tcPr>
            <w:tcW w:w="9120" w:type="dxa"/>
            <w:vAlign w:val="bottom"/>
            <w:gridSpan w:val="2"/>
            <w:shd w:val="clear" w:color="auto" w:fill="CCEEFF"/>
          </w:tcPr>
          <w:p>
            <w:pPr>
              <w:jc w:val="right"/>
              <w:ind w:right="6100"/>
              <w:spacing w:after="0"/>
              <w:rPr>
                <w:sz w:val="20"/>
                <w:szCs w:val="20"/>
                <w:color w:val="auto"/>
              </w:rPr>
            </w:pPr>
            <w:r>
              <w:rPr>
                <w:rFonts w:ascii="Arial" w:cs="Arial" w:eastAsia="Arial" w:hAnsi="Arial"/>
                <w:sz w:val="18"/>
                <w:szCs w:val="18"/>
                <w:color w:val="auto"/>
                <w:w w:val="89"/>
              </w:rPr>
              <w:t>Stock options and restricted share awards</w:t>
            </w:r>
          </w:p>
        </w:tc>
        <w:tc>
          <w:tcPr>
            <w:tcW w:w="116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3"/>
              </w:rPr>
              <w:t>4,321</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7,123</w:t>
            </w:r>
          </w:p>
        </w:tc>
      </w:tr>
      <w:tr>
        <w:trPr>
          <w:trHeight w:val="27"/>
        </w:trPr>
        <w:tc>
          <w:tcPr>
            <w:tcW w:w="8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(Losses) on Available-</w:t>
            </w:r>
          </w:p>
        </w:tc>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4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4"/>
              </w:rPr>
              <w:t>for-Sale Debt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Pension (1)</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Accumulated other comprehensive income (loss) at December 31,</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23,935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560" w:type="dxa"/>
            <w:vAlign w:val="bottom"/>
          </w:tcPr>
          <w:p>
            <w:pPr>
              <w:jc w:val="right"/>
              <w:ind w:right="118"/>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Amounts reclassified from accumulated other comprehensive</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8"/>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Accumulated other comprehensive income (loss)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24,410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19,709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Defined Benefit</w:t>
            </w:r>
          </w:p>
        </w:tc>
        <w:tc>
          <w:tcPr>
            <w:tcW w:w="140" w:type="dxa"/>
            <w:vAlign w:val="bottom"/>
          </w:tcPr>
          <w:p>
            <w:pPr>
              <w:spacing w:after="0"/>
              <w:rPr>
                <w:sz w:val="23"/>
                <w:szCs w:val="2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3"/>
                <w:szCs w:val="23"/>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Pension (1)</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7"/>
        </w:trPr>
        <w:tc>
          <w:tcPr>
            <w:tcW w:w="66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Accumulated other comprehensive income (loss) at March 31, 2019</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18,929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21,456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classify our short-term investments in fixed income securities as available-for-sale debt investments, except for one foreign government security classified as held-to-maturity. The held-to-maturity debt security matured in the first quarter ended March 31, 2020. All of our available-for-sale debt investments as of March 31, 2020 will be available to fund current operations and are recorded at fair value (Note 13).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determining if and when a decline in value below the adjusted cost of our available-for-sale debt investments is an impairment, we evaluate on an ongoing basis the market conditions, trends of earnings, financial condition, credit ratings, any underlying collateral and other key measures for our short-term investments.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 the debt security is recognized in earnings. If an impairment is considered based on condition (iii), the amount representing credit losses will be recognized in earnings and as an allowance for credit losses, and the amount relating to all other factors will be recognized in other comprehensive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Gross Unrealized</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Fair Value</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9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0"/>
                <w:szCs w:val="10"/>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Losses (1)</w:t>
            </w:r>
          </w:p>
        </w:tc>
        <w:tc>
          <w:tcPr>
            <w:tcW w:w="13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2"/>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351,965</w:t>
            </w:r>
          </w:p>
        </w:tc>
        <w:tc>
          <w:tcPr>
            <w:tcW w:w="120" w:type="dxa"/>
            <w:vAlign w:val="bottom"/>
          </w:tcPr>
          <w:p>
            <w:pPr>
              <w:spacing w:after="0"/>
              <w:rPr>
                <w:sz w:val="22"/>
                <w:szCs w:val="22"/>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351,970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314,676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37,294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25,297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25,366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U.S. government agency bonds</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bonds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Variable rate demand notes</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(2) (3)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410,104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410,233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328,690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81,543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8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available-for-sale debt investments of $6.1 million with contractual maturities from 1 year to 5 years. Expected maturities can differ from contractual maturities because the issuers may have the right to call or prepay obligations without call or prepayment penalties, and we view our available-for-sale debt investments as available for current operations.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2020, we increased our available-for-sale debt investments by $130.0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investments as of December 31, 2019:</w:t>
      </w:r>
    </w:p>
    <w:p>
      <w:pPr>
        <w:spacing w:after="0" w:line="200" w:lineRule="exact"/>
        <w:rPr>
          <w:sz w:val="20"/>
          <w:szCs w:val="20"/>
          <w:color w:val="auto"/>
        </w:rPr>
      </w:pPr>
    </w:p>
    <w:p>
      <w:pPr>
        <w:spacing w:after="0" w:line="246"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8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1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 money market funds (Level 1)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384,474</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Short-term investment government bond (Level 2) (2)</w:t>
            </w:r>
          </w:p>
        </w:tc>
        <w:tc>
          <w:tcPr>
            <w:tcW w:w="18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6,348</w:t>
            </w:r>
          </w:p>
        </w:tc>
      </w:tr>
    </w:tbl>
    <w:p>
      <w:pPr>
        <w:spacing w:after="0" w:line="229" w:lineRule="exact"/>
        <w:rPr>
          <w:sz w:val="20"/>
          <w:szCs w:val="20"/>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cash equivalent money market funds (Level 1) at December 31, 2019 have been corrected to include $286.7 million of cash equivalents that were excluded in previously reported amounts. There was no change to total cash and cash equivalents reported on our consolidated balance sheet. We determined this was immaterial to the prior period but have presented the balance as revised for comparability.</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market value of the security is $6.3 million. The carrying value of the security represents the amortized cost.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60" w:hanging="105"/>
        <w:spacing w:after="0"/>
        <w:tabs>
          <w:tab w:leader="none" w:pos="5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Factoring of Accounts Receivable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months ended March 31, 2020 and 2019, we sold receivables totaling $170.5 million and $155.7 million, net of discounts and fees of $1.0 million and $1.2 million, respectively.</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220,076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219,785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1,575,352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1,571,653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5,335,424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5,303,729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Finance lease assets</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34,401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34,158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220,264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Furniture, fixtures and other equipment</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7,432,174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7,381,922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(5,064,428)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(4,977,072)</w:t>
            </w:r>
          </w:p>
        </w:tc>
        <w:tc>
          <w:tcPr>
            <w:tcW w:w="0" w:type="dxa"/>
            <w:vAlign w:val="bottom"/>
          </w:tcPr>
          <w:p>
            <w:pPr>
              <w:spacing w:after="0"/>
              <w:rPr>
                <w:sz w:val="1"/>
                <w:szCs w:val="1"/>
                <w:color w:val="auto"/>
              </w:rPr>
            </w:pPr>
          </w:p>
        </w:tc>
      </w:tr>
      <w:tr>
        <w:trPr>
          <w:trHeight w:val="257"/>
        </w:trPr>
        <w:tc>
          <w:tcPr>
            <w:tcW w:w="822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2,367,746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2,404,850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w:t>
      </w:r>
    </w:p>
    <w:p>
      <w:pPr>
        <w:spacing w:after="0" w:line="230"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4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440" w:val="left"/>
          <w:tab w:leader="none" w:pos="9060" w:val="left"/>
          <w:tab w:leader="none" w:pos="9900" w:val="left"/>
          <w:tab w:leader="none" w:pos="1052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123,501</w:t>
        <w:tab/>
        <w:t>$</w:t>
      </w:r>
      <w:r>
        <w:rPr>
          <w:sz w:val="20"/>
          <w:szCs w:val="20"/>
          <w:color w:val="auto"/>
        </w:rPr>
        <w:tab/>
      </w:r>
      <w:r>
        <w:rPr>
          <w:rFonts w:ascii="Arial" w:cs="Arial" w:eastAsia="Arial" w:hAnsi="Arial"/>
          <w:sz w:val="16"/>
          <w:szCs w:val="16"/>
          <w:color w:val="auto"/>
        </w:rPr>
        <w:t>135,493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90,561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115,693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Short-term operating lease liabilities</w:t>
            </w: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42,082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40,972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4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11,661</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Deferred revenue and customer advances</w:t>
            </w: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16,177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 plan obligations</w:t>
            </w:r>
          </w:p>
        </w:tc>
        <w:tc>
          <w:tcPr>
            <w:tcW w:w="4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13,408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Short-term finance lease liabilities</w:t>
            </w: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4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47,364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48,556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4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236,464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267,226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- 13-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2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6.625% Senior notes, due September 2027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525,000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Debt of subsidiaries: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Amkor Technology Korea, Inc. (8):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$30 million revolving credit facility, LIBOR plus the applicable bank rate (1)</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24,000</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Term loan, applicable bank rate plus 2.03%, due July 2022</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40,000</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applicable bank rate plus 2.03%, due September 2022 (3)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Term loan, LIBOR plus 2.56%, due December 2023 (4)</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200,000</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applicable bank rate plus 1.98%, due December 2028 (2)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66,000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Amkor Technology Japan, Inc.:</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term loans, variable rate (5)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7,071</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23,018</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5,064</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Term loan, fixed rate at 1.30%, due July 2023</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169,239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179,541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1.35%, due December 2024 (4)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262,407</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Amkor Assembly &amp; Test (Shanghai) Co., Ltd.: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1.60%, due March 2022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29,000</w:t>
            </w: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Term loan, LIBOR Plus 1.40%, due March 2022</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19,250</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220" w:type="dxa"/>
            <w:vAlign w:val="bottom"/>
          </w:tcPr>
          <w:p>
            <w:pPr>
              <w:ind w:left="500"/>
              <w:spacing w:after="0"/>
              <w:rPr>
                <w:sz w:val="20"/>
                <w:szCs w:val="20"/>
                <w:color w:val="auto"/>
              </w:rPr>
            </w:pPr>
            <w:r>
              <w:rPr>
                <w:rFonts w:ascii="Arial" w:cs="Arial" w:eastAsia="Arial" w:hAnsi="Arial"/>
                <w:sz w:val="18"/>
                <w:szCs w:val="18"/>
                <w:color w:val="auto"/>
              </w:rPr>
              <w:t>$250 million senior secured revolving credit facility, LIBOR plus 1.25%-1.75%, due July 2023</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20" w:type="dxa"/>
            <w:vAlign w:val="bottom"/>
          </w:tcPr>
          <w:p>
            <w:pPr>
              <w:ind w:left="740"/>
              <w:spacing w:after="0"/>
              <w:rPr>
                <w:sz w:val="20"/>
                <w:szCs w:val="20"/>
                <w:color w:val="auto"/>
              </w:rPr>
            </w:pPr>
            <w:r>
              <w:rPr>
                <w:rFonts w:ascii="Arial" w:cs="Arial" w:eastAsia="Arial" w:hAnsi="Arial"/>
                <w:sz w:val="18"/>
                <w:szCs w:val="18"/>
                <w:color w:val="auto"/>
              </w:rPr>
              <w:t>(Singapore) (6)</w:t>
            </w:r>
          </w:p>
        </w:tc>
        <w:tc>
          <w:tcPr>
            <w:tcW w:w="2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credit facility, TAIFX plus the applicable bank rate, due December 2024 (Taiwan) (7)</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r>
      <w:tr>
        <w:trPr>
          <w:trHeight w:val="237"/>
        </w:trPr>
        <w:tc>
          <w:tcPr>
            <w:tcW w:w="8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1,522,833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1,460,351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discount and deferred debt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(144,479)</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1,371,501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1,305,755</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October 2019, we renewed our revolving credit facility agreement with availability of $30.0 million. Interest is payable monthly in arrears (2.97% as of March 31, 2020). In March 2020, we borrowed $15.0 million with the principal due in September 2020. As of March 31, 2020, $15.0 million was available to be drawn. In April 2020, we borrowed the remaining $15.0 million with the principal due in October 2020.</w:t>
      </w:r>
    </w:p>
    <w:p>
      <w:pPr>
        <w:spacing w:after="0" w:line="124"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May 2015, we entered into a term loan agreement pursuant to which we may borrow up to $150.0 million for capital expenditures. Principal is payable at maturity in June 2020. Interest is payable quarterly in arrears, at a fund floating rate plus 1.60%. During the three months ended March 31, 2020, we repaid the full $24.0 million outstanding on this term loan using the proceeds from our term loan due December 2028.</w:t>
      </w:r>
    </w:p>
    <w:p>
      <w:pPr>
        <w:spacing w:after="0" w:line="200" w:lineRule="exact"/>
        <w:rPr>
          <w:rFonts w:ascii="Arial" w:cs="Arial" w:eastAsia="Arial" w:hAnsi="Arial"/>
          <w:sz w:val="16"/>
          <w:szCs w:val="16"/>
          <w:color w:val="auto"/>
        </w:rPr>
      </w:pPr>
    </w:p>
    <w:p>
      <w:pPr>
        <w:spacing w:after="0" w:line="340" w:lineRule="exact"/>
        <w:rPr>
          <w:rFonts w:ascii="Arial" w:cs="Arial" w:eastAsia="Arial" w:hAnsi="Arial"/>
          <w:sz w:val="16"/>
          <w:szCs w:val="16"/>
          <w:color w:val="auto"/>
        </w:rPr>
      </w:pPr>
    </w:p>
    <w:p>
      <w:pPr>
        <w:ind w:left="5560" w:hanging="108"/>
        <w:spacing w:after="0"/>
        <w:tabs>
          <w:tab w:leader="none" w:pos="5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2019, we entered into a $140.0 million term loan due September 2022. Principal is payable at maturity and interest is payable quarterly in arrears (3.59% as of March 31, 2020). As of March 31, 2020, $80.0 million was available to be drawn. In April 2020, we borrowed an additional $40.0 million.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January 2020, we used proceeds from our term loan due December 2024 to repay $120.0 million of our term loan due December 2023.</w:t>
      </w:r>
    </w:p>
    <w:p>
      <w:pPr>
        <w:spacing w:after="0" w:line="19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March 31, 2020 is at TIBOR plus 0.10% to 0.20% (weighted average of 0.21% as of March 31, 2020). As of March 31, 2020, $6.5 million was available to be drawn.</w:t>
      </w:r>
    </w:p>
    <w:p>
      <w:pPr>
        <w:spacing w:after="0" w:line="14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2018, our subsidiary, Amkor Technology Singapore Holding Pte, Ltd., entered into a $250.0 million senior secured revolving credit facility, which is guaranteed by Amkor Technology, Inc. The availability for our revolving credit facility is based on the amount of eligible accounts receivable. Principal is payable at maturity. Interest is payable monthly at LIBOR plus 1.25% to 1.75% (2.85% as of March 31, 2020). As of March 31, 2020, $100.0 million was available to be drawn.</w:t>
      </w:r>
    </w:p>
    <w:p>
      <w:pPr>
        <w:spacing w:after="0" w:line="14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2019, we entered into a $56.0 million revolving credit facility. Interest is payable monthly at TAIFX plus the applicable bank rate (3.41% as of March 31, 2020). In December 2019, we borrowed $20.0 million with the principal payable at maturity of the facility in December 2024. In the first quarter of 2020, we borrowed the remaining $36.0 million. In April 2020, we repaid $36.0 million of the revolving credit facility and immediately borrowed $36.0 million under the same agreement at a lower interest rate, with the principal payable in December 2024, based on incurring a certain level of qualified eligible transactions.</w:t>
      </w:r>
    </w:p>
    <w:p>
      <w:pPr>
        <w:spacing w:after="0" w:line="114" w:lineRule="exact"/>
        <w:rPr>
          <w:rFonts w:ascii="Arial" w:cs="Arial" w:eastAsia="Arial" w:hAnsi="Arial"/>
          <w:sz w:val="18"/>
          <w:szCs w:val="18"/>
          <w:color w:val="auto"/>
        </w:rPr>
      </w:pPr>
    </w:p>
    <w:p>
      <w:pPr>
        <w:jc w:val="both"/>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April 2020, we entered into a term loan agreement pursuant to which we may borrow up to KRW ₩150.0 billion (approximately US $123 million). Principal is payable at maturity and the variable interest is payable monthly. We immediately borrowed $123.0 million at an interest rate of 2.87%.</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debt of Amkor Technology, Inc. is structurally subordinated in right of payment to all existing and future debt and other liabilities of our subsidiaries. From time to time, Amkor Technology, Inc. and Amkor Technology Singapore Holding Pte, Ltd. guarantee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March 31, 2020.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8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7,536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1,247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1,324</w:t>
            </w: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Recognized actuarial gain</w:t>
            </w:r>
          </w:p>
        </w:tc>
        <w:tc>
          <w:tcPr>
            <w:tcW w:w="88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8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pension cost</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7,423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7,589</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5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3"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5"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20" w:val="left"/>
          <w:tab w:leader="none" w:pos="9140" w:val="left"/>
          <w:tab w:leader="none" w:pos="9780" w:val="left"/>
          <w:tab w:leader="none" w:pos="10700" w:val="left"/>
        </w:tabs>
        <w:rPr>
          <w:sz w:val="20"/>
          <w:szCs w:val="20"/>
          <w:color w:val="auto"/>
        </w:rPr>
      </w:pPr>
      <w:r>
        <w:rPr>
          <w:rFonts w:ascii="Arial" w:cs="Arial" w:eastAsia="Arial" w:hAnsi="Arial"/>
          <w:sz w:val="18"/>
          <w:szCs w:val="18"/>
          <w:color w:val="auto"/>
        </w:rPr>
        <w:t>Defined contribution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4,816</w:t>
        <w:tab/>
        <w:t>$</w:t>
      </w:r>
      <w:r>
        <w:rPr>
          <w:sz w:val="20"/>
          <w:szCs w:val="20"/>
          <w:color w:val="auto"/>
        </w:rPr>
        <w:tab/>
      </w:r>
      <w:r>
        <w:rPr>
          <w:rFonts w:ascii="Arial" w:cs="Arial" w:eastAsia="Arial" w:hAnsi="Arial"/>
          <w:sz w:val="16"/>
          <w:szCs w:val="16"/>
          <w:color w:val="auto"/>
        </w:rPr>
        <w:t>4,405</w:t>
      </w:r>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counterparty financial institutions holding our deposits. Short-term investments, including money market funds (Note 7), are valued as follows:</w:t>
      </w:r>
    </w:p>
    <w:p>
      <w:pPr>
        <w:spacing w:after="0" w:line="18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using quoted market prices in active markets for identical assets.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using quoted market prices for similar instruments or non-binding market prices that are corroborated by observable market data. We use inputs such as actual trade data, benchmark yields, broker/dealer quotes, and other similar data, which are obtained from quoted market prices, and independent pricing vendors to determine the fair value of these assets and liabilities.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valued using quoted market prices for similar assets. Counterparties to these derivative contracts are highly rated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13"/>
                <w:szCs w:val="13"/>
                <w:color w:val="auto"/>
              </w:rPr>
            </w:pPr>
          </w:p>
        </w:tc>
        <w:tc>
          <w:tcPr>
            <w:tcW w:w="11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0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8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488,701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519,355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576,875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519,211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980,901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993,667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940,756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931,023</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1,469,602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1,513,022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1,517,631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1,450,234</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Restructuring and Other Exit Activities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part of our ongoing efforts to improve our manufacturing operations and manage costs, we regularly evaluate our staffing levels and facility requirements compared to business needs. The following table summarizes our exit activities associated with these efforts. “Charges” represents the initial charge related to the exit activity. “Cash Payments” consists of the utilization of “Charges.” “Non-cash Amounts” consists of translation adjustments.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Consolidation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2020, we recorded restructuring charges of $1.9 million associated with our Japan footprint consolidation efforts. We recorded these charges to selling, general and administrative expenses within the Consolidated Statements of Income. All amounts accrued at March 31, 2020 are classified as current liabilities. We expect to complete our restructuring actions in the first half of fiscal 2021.</w:t>
      </w:r>
    </w:p>
    <w:p>
      <w:pPr>
        <w:spacing w:after="0" w:line="3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Facility Costs (1)</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Separation</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Other Exit Costs (2)</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Non-cash Amounts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 at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cumulative charges incurred to date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Estimated additional charges to be incurred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Facility costs primarily consist of equipment relocation costs directly resulting from the restructuring 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exit costs primarily consist of employee relocation and training costs directly resulting from the restructuring actions.</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generally outpaces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market where semiconductor content continues to grow and in the analog area for our mainstream wirebond technologies.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we identify attractive opportunities to grow our customer base and expand the markets we serve through joint ventures, acquisitions and other strategic investments. For example, in May 2017 we acquired Nanium, which has strengthened our position in the market for wafer-level fan-out packaging, and in December 2015, we completed the acquisition of our Japan operations. We believe that taking advantage of these opportunities helps diversify our revenue streams, improve our profits, broaden our portfolio of services and maintain our technological leadership.</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believe that the smartphone inventory correction that impacted the first half of 2019 had recovered and that, prior to the Covid-19 outbreak, the general semiconductor market was nearing stabilization and likely to resume growth going forward.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Covid-19 began to affect our business in the three months ended March 31, 2020. Customer demand for our services was strong throughout the quarter, and we experienced only minor disruptions to our operations, principally as a result of isolated supply chain constraints. In the final two weeks of the period, our operations in the Philippines and Malaysia were curtailed by government efforts in both countries to reduce the spread of Covid-19, efforts which had the effect of reducing the number of employees available for work. Facilities in those two countries are returning to operations at pre-Covid-19 levels, but there can be no assurance as to when those operations will return fully to pre-Covid-19 operating levels or if those levels can be maintained once reached. The Covid-19 pandemic did not have a material adverse effect on our results of operations during the quarter ended March 31, 2020, but the Covid-19 pandemic will affect our results of operations in at least the next quarter.</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full effect of the Covid-19 pandemic is unknown and there is significant uncertainty related to the ultimate impact that the Covid-19 pandemic will have on our business, results of operations and financial condition. See Part II, Item 1A, including, “The Covid-19 outbreak could impact the supply chain and consumer demand for our customers’ products and services, which may adversely affect our business, results of operations, and financial condition” and “Dependence on the Highly Cyclical Semiconductor Industry - Our Packaging and Test Services Are Used in Volatile Industries and Industry Downturns, and Declines in Global Economic and Financial Conditions Could Harm Our Performance.”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During the three months ended March 31, 2020, as a proactive, precautionary measure in light of the uncertainties caused by the Covid-19 pandemic, we elected to draw down approximately $200 million from select lines of credit, including our senior secured revolving credit facility in the amount of $150 million. As of March 31, 2020, we had cash and cash equivalents and short-term investments of $941.4 million and $58.3 million, respectively.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net sales increased $257.7 million or 28.8% to $1,152.6 million for the three months ended March 31, 2020 from $895.0 million for the three months ended March 31, 2019. This increase was due to higher sales of advanced products in the consumer and communications end markets.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for the three months ended March 31, 2020 increased to 16.4% from 13.5% for the three months ended March 31, 2019. The increase in gross margin was primarily due to the increase in net sales, partially offset by changes in the mix of products sold with higher material content during the period.</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capital expenditures totaled $55.9 million for the three months ended March 31, 2020, compared to $203.2 million for the three months ended March 31, 2019. The decrease in spending is primarily due to our initiative during the prior year to reduce spending on further capacity expansion.</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operating activities was $96.6 million for the three months ended March 31, 2020, compared to $52.1 million for the three months ended March 31, 2019. This increase was primarily due to higher net sales and higher operating profit, partially offset by changes in our working 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r>
      <w:tr>
        <w:trPr>
          <w:trHeight w:val="236"/>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6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38.0 %</w:t>
            </w:r>
          </w:p>
        </w:tc>
      </w:tr>
      <w:tr>
        <w:trPr>
          <w:trHeight w:val="33"/>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17.4 %</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31.1 %</w:t>
            </w:r>
          </w:p>
        </w:tc>
      </w:tr>
      <w:tr>
        <w:trPr>
          <w:trHeight w:val="33"/>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8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Amkor</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8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Three Months Ended March 31,</w:t>
            </w:r>
          </w:p>
        </w:tc>
        <w:tc>
          <w:tcPr>
            <w:tcW w:w="640" w:type="dxa"/>
            <w:vAlign w:val="bottom"/>
            <w:tcBorders>
              <w:bottom w:val="single" w:sz="8" w:color="auto"/>
            </w:tcBorders>
          </w:tcPr>
          <w:p>
            <w:pPr>
              <w:spacing w:after="0"/>
              <w:rPr>
                <w:sz w:val="16"/>
                <w:szCs w:val="16"/>
                <w:color w:val="auto"/>
              </w:rPr>
            </w:pPr>
          </w:p>
        </w:tc>
      </w:tr>
      <w:tr>
        <w:trPr>
          <w:trHeight w:val="263"/>
        </w:trPr>
        <w:tc>
          <w:tcPr>
            <w:tcW w:w="6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0"/>
        </w:trPr>
        <w:tc>
          <w:tcPr>
            <w:tcW w:w="6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920" w:type="dxa"/>
            <w:vAlign w:val="bottom"/>
            <w:gridSpan w:val="4"/>
          </w:tcPr>
          <w:p>
            <w:pPr>
              <w:ind w:left="220"/>
              <w:spacing w:after="0"/>
              <w:rPr>
                <w:sz w:val="20"/>
                <w:szCs w:val="20"/>
                <w:color w:val="auto"/>
              </w:rPr>
            </w:pPr>
            <w:r>
              <w:rPr>
                <w:rFonts w:ascii="Arial" w:cs="Arial" w:eastAsia="Arial" w:hAnsi="Arial"/>
                <w:sz w:val="14"/>
                <w:szCs w:val="14"/>
                <w:b w:val="1"/>
                <w:bCs w:val="1"/>
                <w:color w:val="auto"/>
              </w:rPr>
              <w:t>(In thousands, except percentages)</w:t>
            </w:r>
          </w:p>
        </w:tc>
        <w:tc>
          <w:tcPr>
            <w:tcW w:w="640" w:type="dxa"/>
            <w:vAlign w:val="bottom"/>
          </w:tcPr>
          <w:p>
            <w:pPr>
              <w:spacing w:after="0"/>
              <w:rPr>
                <w:sz w:val="21"/>
                <w:szCs w:val="2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1,152,616</w:t>
            </w:r>
          </w:p>
        </w:tc>
        <w:tc>
          <w:tcPr>
            <w:tcW w:w="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894,964</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44"/>
              <w:spacing w:after="0"/>
              <w:rPr>
                <w:sz w:val="20"/>
                <w:szCs w:val="20"/>
                <w:color w:val="auto"/>
              </w:rPr>
            </w:pPr>
            <w:r>
              <w:rPr>
                <w:rFonts w:ascii="Arial" w:cs="Arial" w:eastAsia="Arial" w:hAnsi="Arial"/>
                <w:sz w:val="16"/>
                <w:szCs w:val="16"/>
                <w:color w:val="auto"/>
              </w:rPr>
              <w:t>257,652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33"/>
        </w:trPr>
        <w:tc>
          <w:tcPr>
            <w:tcW w:w="6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net sales for the three months ended March 31, 2020 compared to the three months ended March 31, 2019 was due to higher sales of advanced products in the consumer and communications end markets. Sales increased in the consumer market due to the introduction of a new high volume consumer product. The communications market benefitted from the recovery of the prior year inventory correction in the smartphone market.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42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3"/>
        </w:trPr>
        <w:tc>
          <w:tcPr>
            <w:tcW w:w="7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gridSpan w:val="5"/>
          </w:tcPr>
          <w:p>
            <w:pPr>
              <w:jc w:val="right"/>
              <w:ind w:right="602"/>
              <w:spacing w:after="0"/>
              <w:rPr>
                <w:sz w:val="20"/>
                <w:szCs w:val="20"/>
                <w:color w:val="auto"/>
              </w:rPr>
            </w:pPr>
            <w:r>
              <w:rPr>
                <w:rFonts w:ascii="Arial" w:cs="Arial" w:eastAsia="Arial" w:hAnsi="Arial"/>
                <w:sz w:val="14"/>
                <w:szCs w:val="14"/>
                <w:b w:val="1"/>
                <w:bCs w:val="1"/>
                <w:color w:val="auto"/>
              </w:rPr>
              <w:t>(In thousands, except percentages)</w:t>
            </w: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188,908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120,761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68,147</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16.4%</w:t>
            </w:r>
          </w:p>
        </w:tc>
        <w:tc>
          <w:tcPr>
            <w:tcW w:w="30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depending upon product mix, utilization and seasonality.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increased for the three months ended March 31, 2020 compared to the three months ended March 31, 2019, primarily due to the increase in net sales, partially offset by changes in the mix of products sold with higher bill of materials cost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r>
      <w:tr>
        <w:trPr>
          <w:trHeight w:val="250"/>
        </w:trPr>
        <w:tc>
          <w:tcPr>
            <w:tcW w:w="6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40" w:type="dxa"/>
            <w:vAlign w:val="bottom"/>
            <w:gridSpan w:val="4"/>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21"/>
                <w:szCs w:val="21"/>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72,582</w:t>
            </w:r>
          </w:p>
        </w:tc>
        <w:tc>
          <w:tcPr>
            <w:tcW w:w="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71,587</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995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for the three months ended March 31, 2020 increased compared to the three months ended March 31, 2019, primarily due to increased employee compensation costs and our factory consolidation efforts in Japan. These increases were partially offset by our efforts to control expenses, specifically professional fees and travel.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center"/>
              <w:ind w:right="204"/>
              <w:spacing w:after="0"/>
              <w:rPr>
                <w:sz w:val="20"/>
                <w:szCs w:val="20"/>
                <w:color w:val="auto"/>
              </w:rPr>
            </w:pPr>
            <w:r>
              <w:rPr>
                <w:rFonts w:ascii="Arial" w:cs="Arial" w:eastAsia="Arial" w:hAnsi="Arial"/>
                <w:sz w:val="14"/>
                <w:szCs w:val="14"/>
                <w:b w:val="1"/>
                <w:bCs w:val="1"/>
                <w:color w:val="auto"/>
                <w:w w:val="95"/>
              </w:rPr>
              <w:t>For the Three Months Ended March 31,</w:t>
            </w:r>
          </w:p>
        </w:tc>
        <w:tc>
          <w:tcPr>
            <w:tcW w:w="660" w:type="dxa"/>
            <w:vAlign w:val="bottom"/>
            <w:tcBorders>
              <w:bottom w:val="single" w:sz="8" w:color="auto"/>
            </w:tcBorders>
          </w:tcPr>
          <w:p>
            <w:pPr>
              <w:spacing w:after="0"/>
              <w:rPr>
                <w:sz w:val="16"/>
                <w:szCs w:val="16"/>
                <w:color w:val="auto"/>
              </w:rPr>
            </w:pPr>
          </w:p>
        </w:tc>
      </w:tr>
      <w:tr>
        <w:trPr>
          <w:trHeight w:val="263"/>
        </w:trPr>
        <w:tc>
          <w:tcPr>
            <w:tcW w:w="6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0"/>
        </w:trPr>
        <w:tc>
          <w:tcPr>
            <w:tcW w:w="6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gridSpan w:val="4"/>
          </w:tcPr>
          <w:p>
            <w:pPr>
              <w:jc w:val="center"/>
              <w:ind w:right="184"/>
              <w:spacing w:after="0"/>
              <w:rPr>
                <w:sz w:val="20"/>
                <w:szCs w:val="20"/>
                <w:color w:val="auto"/>
              </w:rPr>
            </w:pPr>
            <w:r>
              <w:rPr>
                <w:rFonts w:ascii="Arial" w:cs="Arial" w:eastAsia="Arial" w:hAnsi="Arial"/>
                <w:sz w:val="14"/>
                <w:szCs w:val="14"/>
                <w:b w:val="1"/>
                <w:bCs w:val="1"/>
                <w:color w:val="auto"/>
                <w:w w:val="90"/>
              </w:rPr>
              <w:t>(In thousands, except percentages)</w:t>
            </w:r>
          </w:p>
        </w:tc>
        <w:tc>
          <w:tcPr>
            <w:tcW w:w="660" w:type="dxa"/>
            <w:vAlign w:val="bottom"/>
          </w:tcPr>
          <w:p>
            <w:pPr>
              <w:spacing w:after="0"/>
              <w:rPr>
                <w:sz w:val="21"/>
                <w:szCs w:val="21"/>
                <w:color w:val="auto"/>
              </w:rPr>
            </w:pPr>
          </w:p>
        </w:tc>
      </w:tr>
      <w:tr>
        <w:trPr>
          <w:trHeight w:val="243"/>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32,253</w:t>
            </w:r>
          </w:p>
        </w:tc>
        <w:tc>
          <w:tcPr>
            <w:tcW w:w="4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35,754</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rPr>
              <w:t>(3,501)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6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months ended March 31, 2020 decreased compared to the three months ended March 31, 2019 due to projects that moved into production, partially offset by new development projects, primarily at our research and development facility in Korea.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700" w:type="dxa"/>
            <w:vAlign w:val="bottom"/>
            <w:tcBorders>
              <w:bottom w:val="single" w:sz="8" w:color="auto"/>
            </w:tcBorders>
          </w:tcPr>
          <w:p>
            <w:pPr>
              <w:spacing w:after="0"/>
              <w:rPr>
                <w:sz w:val="16"/>
                <w:szCs w:val="16"/>
                <w:color w:val="auto"/>
              </w:rPr>
            </w:pPr>
          </w:p>
        </w:tc>
      </w:tr>
      <w:tr>
        <w:trPr>
          <w:trHeight w:val="263"/>
        </w:trPr>
        <w:tc>
          <w:tcPr>
            <w:tcW w:w="6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22"/>
                <w:szCs w:val="22"/>
                <w:color w:val="auto"/>
              </w:rPr>
            </w:pPr>
          </w:p>
        </w:tc>
      </w:tr>
      <w:tr>
        <w:trPr>
          <w:trHeight w:val="250"/>
        </w:trPr>
        <w:tc>
          <w:tcPr>
            <w:tcW w:w="6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(In thousands, except percentages)</w:t>
            </w:r>
          </w:p>
        </w:tc>
        <w:tc>
          <w:tcPr>
            <w:tcW w:w="700" w:type="dxa"/>
            <w:vAlign w:val="bottom"/>
          </w:tcPr>
          <w:p>
            <w:pPr>
              <w:spacing w:after="0"/>
              <w:rPr>
                <w:sz w:val="21"/>
                <w:szCs w:val="21"/>
                <w:color w:val="auto"/>
              </w:rPr>
            </w:pPr>
          </w:p>
        </w:tc>
      </w:tr>
      <w:tr>
        <w:trPr>
          <w:trHeight w:val="256"/>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17,045</w:t>
            </w:r>
          </w:p>
        </w:tc>
        <w:tc>
          <w:tcPr>
            <w:tcW w:w="38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5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(194)</w:t>
            </w: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33"/>
        </w:trPr>
        <w:tc>
          <w:tcPr>
            <w:tcW w:w="6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1,784</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r>
      <w:tr>
        <w:trPr>
          <w:trHeight w:val="237"/>
        </w:trPr>
        <w:tc>
          <w:tcPr>
            <w:tcW w:w="6820" w:type="dxa"/>
            <w:vAlign w:val="bottom"/>
          </w:tcPr>
          <w:p>
            <w:pPr>
              <w:ind w:left="40"/>
              <w:spacing w:after="0"/>
              <w:rPr>
                <w:sz w:val="20"/>
                <w:szCs w:val="20"/>
                <w:color w:val="auto"/>
              </w:rPr>
            </w:pPr>
            <w:r>
              <w:rPr>
                <w:rFonts w:ascii="Arial" w:cs="Arial" w:eastAsia="Arial" w:hAnsi="Arial"/>
                <w:sz w:val="16"/>
                <w:szCs w:val="16"/>
                <w:color w:val="auto"/>
              </w:rPr>
              <w:t>Loss on debt retirement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428</w:t>
            </w:r>
          </w:p>
        </w:tc>
        <w:tc>
          <w:tcPr>
            <w:tcW w:w="520" w:type="dxa"/>
            <w:vAlign w:val="bottom"/>
          </w:tcPr>
          <w:p>
            <w:pPr>
              <w:spacing w:after="0"/>
              <w:rPr>
                <w:sz w:val="20"/>
                <w:szCs w:val="20"/>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6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43"/>
        </w:trPr>
        <w:tc>
          <w:tcPr>
            <w:tcW w:w="6820" w:type="dxa"/>
            <w:vAlign w:val="bottom"/>
          </w:tcPr>
          <w:p>
            <w:pPr>
              <w:ind w:left="40"/>
              <w:spacing w:after="0"/>
              <w:rPr>
                <w:sz w:val="20"/>
                <w:szCs w:val="20"/>
                <w:color w:val="auto"/>
              </w:rPr>
            </w:pPr>
            <w:r>
              <w:rPr>
                <w:rFonts w:ascii="Arial" w:cs="Arial" w:eastAsia="Arial" w:hAnsi="Arial"/>
                <w:sz w:val="16"/>
                <w:szCs w:val="16"/>
                <w:color w:val="auto"/>
              </w:rPr>
              <w:t>Total other expense,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14,730</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14,708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for the three months ended March 31, 2020 compared to the three months ended March 31, 2019, primarily due to the timing of the redemption of $525 million aggregate principal amount of our 6.375% Senior Notes due 2022 in April 2019. This redemption was funded with proceeds from our 6.625% Senior Notes due 2027 which were issued in March 2019.</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changes in foreign currency (gain) loss, net for the three months ended March 31, 2020 compared to the three months ended March 31, 2019 were due to foreign currency exchange rate movements and the associated impact on our net monetary exposure at our foreign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124"/>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7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4,846</w:t>
            </w:r>
          </w:p>
        </w:tc>
        <w:tc>
          <w:tcPr>
            <w:tcW w:w="3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21,380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(16,534)</w:t>
            </w:r>
          </w:p>
        </w:tc>
      </w:tr>
      <w:tr>
        <w:trPr>
          <w:trHeight w:val="33"/>
        </w:trPr>
        <w:tc>
          <w:tcPr>
            <w:tcW w:w="7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for the three months ended March 31, 2019 also includes a $14.9 million non-cash discrete tax expense primarily for the recognition of a valuation allowance for certain deferred tax assets.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and 2019, our subsidiaries in Korea, the Philippines and Singapore operated under various tax holidays. As these tax holidays expire, income earned in these jurisdictions will be subject to higher statutory income tax rates, which may cause our effective tax rate to increase.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 debt service and other financial requirements for at least the next twelve months. During the three months ended March 31, 2020, as a proactive, precautionary measure in light of the uncertainties caused by the Covid-19 pandemic, we elected to draw down approximately $200 million in select lines of credit, including our senior secured revolving credit facility in the amount of $150 million. Our liquidity is affected by, among other factors,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beyond the next twelve months due to a variety of factors, including the cyclical nature of the semiconductor industry and other factors discussed in Part II, Item 1A of this Quarterly Report on Form 10-Q.</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We refer you to Note 7 and Note 11 to our Consolidated Financial Statements in Part 1, Item 1 of this Quarterly Report on Form 10-Q for additional information on our investments and borrowings, respectively.</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2020, we had cash and cash equivalents and short-term investments of $941.4 million and $58.3 million, respectively. Included in our cash and short-term investments balances as of March 31, 2020, is $848.7 million and $42.6 million, respectively, held offshore by our foreign subsidiaries. We have the ability to access cash held offshore by our foreign subsidiaries primarily through the repayment of intercompany debt obligations. Due to the changes in the U.S. tax law under the Tax Cuts and Jobs Act (“Tax Act”), distributions of cash to the U.S. as dividends generally will not be subject to U.S. federal income tax. If we were to distribute this offshore cash to the U.S. as dividends from our foreign subsidiaries, we may be subject to foreign withholding and state income taxes.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borrowing base under our $250.0 million first lien senior secured revolving credit facility entered into by our subsidiary, Amkor Technology Singapore Holding Pte, Ltd. (the “Singapore Revolver”), is limited to the amount of eligible accounts receivable. As of March 31, 2020, we had outstanding borrowings of $150.0 million, additional availability of $100.0 million, and no outstanding standby letters of credit. As of March 31, 2020, our foreign subsidiaries had $115.0 million available to be drawn under revolving credit facilities, including the Singapore Revolver, and $86.5 million available to be borrowed under term loan credit facilities for working capital purposes and capital expenditures.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we had $1,513.0 million of debt. Our scheduled principal repayments on debt include $113.4 million due over the remainder of 2020, $114.5 million due in 2021, $264.5 million due in 2022, $332.1 million due in 2023, $121.9 million due in 2024, and $576.4 million due thereafter. We were in compliance with all debt covenants at March 31, 2020, and we expect to remain in compliance with these covenants for at least the next twelve months.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three months ended March 31, 2020 and 2019, we sold accounts receivable totaling $170.5 million and $155.7 million, net of discounts and fees of $1.0 million and $1.2 million, respectively.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and Amkor Technology Singapore Holding Pte, Ltd. also guarantees certain debt of our subsidiaries.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of Directors previously authorized the repurchase of up to $300.0 million of our common stock, exclusive of any fees, commissions or other expenses. At March 31, 2020,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opportunities for the business, the current market price of our stock, applicable legal requirements and other factors. We have not purchased any stock under the program since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significant capital expenditures in order to service the demand of our customers, which is primarily focused on investments in advanced packaging and test equipment. We expect 2020 capital expenditures to be approximately $550 million. During the three months ended March 31, 2020, our capital expenditures totaled $55.9 million. Ultimately, the amount of our 2020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three months ended March 31, 2020 and 2019,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3"/>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left="699"/>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96,589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52,057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(104,592)</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(202,067)</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55,095</w:t>
            </w: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523,708</w:t>
            </w:r>
          </w:p>
        </w:tc>
      </w:tr>
      <w:tr>
        <w:trPr>
          <w:trHeight w:val="27"/>
        </w:trPr>
        <w:tc>
          <w:tcPr>
            <w:tcW w:w="8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Our cash flow provided by operating activities for the three months ended March 31, 2020 increased by $44.5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2019, primarily due to higher net sales and higher operating profit, partially offset by changes in our working capital.</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Our cash flows used in investing activities for the three months ended March 31, 2020 decreased by $97.5 million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2019, primarily due to lower payments for reduced purchases of property, plant and equipment resulting from our initiative during the prior year to reduce spending on further capacity expansion. This decrease was partially offset by purchases of short-term investments.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provided by financing activities for the three months ended March 31, 2020 was primarily due to the draw downs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Singapore and Taiwan revolvers, partially offset by net repayment of debt in Korea. The net cash provided by financing activities for the three months ended March 31, 2019 was primarily due to our issuance of our 6.625% Senior Notes due 2027.</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8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96,589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52,057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(203,216)</w:t>
            </w: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1,718</w:t>
            </w:r>
          </w:p>
        </w:tc>
      </w:tr>
      <w:tr>
        <w:trPr>
          <w:trHeight w:val="257"/>
        </w:trPr>
        <w:tc>
          <w:tcPr>
            <w:tcW w:w="822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42,588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(149,441)</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March 31, 2020, and the effect such obligations are expected to have on our liquidity and cash flows in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right"/>
              <w:ind w:right="48"/>
              <w:spacing w:after="0"/>
              <w:rPr>
                <w:sz w:val="20"/>
                <w:szCs w:val="20"/>
                <w:color w:val="auto"/>
              </w:rPr>
            </w:pPr>
            <w:r>
              <w:rPr>
                <w:rFonts w:ascii="Arial" w:cs="Arial" w:eastAsia="Arial" w:hAnsi="Arial"/>
                <w:sz w:val="14"/>
                <w:szCs w:val="14"/>
                <w:b w:val="1"/>
                <w:bCs w:val="1"/>
                <w:color w:val="auto"/>
              </w:rPr>
              <w:t>Payments Due for Year Ending March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0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2020 -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1,522,833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113,392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264,509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332,126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121,861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576,429</w:t>
            </w:r>
          </w:p>
        </w:tc>
        <w:tc>
          <w:tcPr>
            <w:tcW w:w="0" w:type="dxa"/>
            <w:vAlign w:val="bottom"/>
          </w:tcPr>
          <w:p>
            <w:pPr>
              <w:spacing w:after="0"/>
              <w:rPr>
                <w:sz w:val="1"/>
                <w:szCs w:val="1"/>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340,721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35,495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56,837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52,976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46,487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39,709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109,217</w:t>
            </w:r>
          </w:p>
        </w:tc>
        <w:tc>
          <w:tcPr>
            <w:tcW w:w="0" w:type="dxa"/>
            <w:vAlign w:val="bottom"/>
          </w:tcPr>
          <w:p>
            <w:pPr>
              <w:spacing w:after="0"/>
              <w:rPr>
                <w:sz w:val="1"/>
                <w:szCs w:val="1"/>
                <w:color w:val="auto"/>
              </w:rPr>
            </w:pP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237,804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225,871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Operating lease obligations (3)</w:t>
            </w:r>
          </w:p>
        </w:tc>
        <w:tc>
          <w:tcPr>
            <w:tcW w:w="2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146,956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36,097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40,032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24,231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12,043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9,986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24,567</w:t>
            </w:r>
          </w:p>
        </w:tc>
        <w:tc>
          <w:tcPr>
            <w:tcW w:w="0" w:type="dxa"/>
            <w:vAlign w:val="bottom"/>
          </w:tcPr>
          <w:p>
            <w:pPr>
              <w:spacing w:after="0"/>
              <w:rPr>
                <w:sz w:val="1"/>
                <w:szCs w:val="1"/>
                <w:color w:val="auto"/>
              </w:rPr>
            </w:pPr>
          </w:p>
        </w:tc>
      </w:tr>
      <w:tr>
        <w:trPr>
          <w:trHeight w:val="27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obligations (3)</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Severance obligations (4)</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120,837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9,946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77,648</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2,392,667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426,782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356,070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401,873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792,763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March 31, 2020, for variable rate debt.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March 31, 2020.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March 31, 2020 include:</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$68.2 million of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$22.6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2020, we had no off-balance sheet guarantees or other off-balance sheet arrangements as defined in Item 303(a)(4)(ii) of SEC Regulation S-K.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14 to our Consolidated Financial Statements in Part I, Item 1 of this Quarterly Report on Form 10-Q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critical accounting policies are disclosed in our Annual Report on Form 10-K for the year ended December 31, 2019. During the three months ended March 31, 2020, there were no significant changes in our critical accounting policies as reported in our 2019 Annual Report on Form 10-K.</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U.S. dollar is our reporting and functional currency for us and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liabilities denominated in foreign currencies.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2020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three months ended March 31, 2020 would have been approximately $4 million lower, due to the remeasurement of monetary assets and liabilities.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three months ended March 31, 2020, approximately 80% of our net sales were denominated in U.S. dollars. Our remaining net sales were principally denominated in Japanese Yen. For the three months ended March 31, 2020, approximately 40%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2020 to assess the potential impact of fluctuations in exchange rates for all foreign denominated sales and operating expenses. Assuming that all foreign currencies appreciated 10% against the U.S. dollar, our operating income for the three months ended March 31, 2020 would have been approximately $29 million lower.</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Financial Statements are impacted by changes in exchange rates at the entity where the local currency is the functional currency. The effect of foreign exchange rate translation for these entities was a gain of $0.5 million and 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of $2.2 million for the three months ended March 31, 2020 and 2019, respectively, and was recognized as an adjustment to equity through other comprehensive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March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80" w:type="dxa"/>
            <w:vAlign w:val="bottom"/>
          </w:tcPr>
          <w:p>
            <w:pPr>
              <w:spacing w:after="0"/>
              <w:rPr>
                <w:sz w:val="15"/>
                <w:szCs w:val="15"/>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2020 - Remaining</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Thereafter</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6"/>
              </w:rPr>
              <w:t>Fair Value</w:t>
            </w:r>
          </w:p>
        </w:tc>
      </w:tr>
      <w:tr>
        <w:trPr>
          <w:trHeight w:val="248"/>
        </w:trPr>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gridSpan w:val="5"/>
          </w:tcPr>
          <w:p>
            <w:pPr>
              <w:ind w:left="420"/>
              <w:spacing w:after="0"/>
              <w:rPr>
                <w:sz w:val="20"/>
                <w:szCs w:val="20"/>
                <w:color w:val="auto"/>
              </w:rPr>
            </w:pPr>
            <w:r>
              <w:rPr>
                <w:rFonts w:ascii="Arial" w:cs="Arial" w:eastAsia="Arial" w:hAnsi="Arial"/>
                <w:sz w:val="13"/>
                <w:szCs w:val="13"/>
                <w:b w:val="1"/>
                <w:bCs w:val="1"/>
                <w:color w:val="auto"/>
              </w:rPr>
              <w:t>($ in thousands)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8"/>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rate debt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84,387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112,516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220,259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102,126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65,861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576,429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1,161,578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1,115,240</w:t>
            </w:r>
          </w:p>
        </w:tc>
      </w:tr>
      <w:tr>
        <w:trPr>
          <w:trHeight w:val="264"/>
        </w:trPr>
        <w:tc>
          <w:tcPr>
            <w:tcW w:w="2280" w:type="dxa"/>
            <w:vAlign w:val="bottom"/>
          </w:tcPr>
          <w:p>
            <w:pPr>
              <w:ind w:left="280"/>
              <w:spacing w:after="0"/>
              <w:rPr>
                <w:sz w:val="20"/>
                <w:szCs w:val="20"/>
                <w:color w:val="auto"/>
              </w:rPr>
            </w:pPr>
            <w:r>
              <w:rPr>
                <w:rFonts w:ascii="Arial" w:cs="Arial" w:eastAsia="Arial" w:hAnsi="Arial"/>
                <w:sz w:val="14"/>
                <w:szCs w:val="14"/>
                <w:color w:val="auto"/>
              </w:rPr>
              <w:t>Average interest rate</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2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Variable rate debt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230,000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56,000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361,255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354,362</w:t>
            </w:r>
          </w:p>
        </w:tc>
      </w:tr>
      <w:tr>
        <w:trPr>
          <w:trHeight w:val="264"/>
        </w:trPr>
        <w:tc>
          <w:tcPr>
            <w:tcW w:w="2280" w:type="dxa"/>
            <w:vAlign w:val="bottom"/>
          </w:tcPr>
          <w:p>
            <w:pPr>
              <w:ind w:left="280"/>
              <w:spacing w:after="0"/>
              <w:rPr>
                <w:sz w:val="20"/>
                <w:szCs w:val="20"/>
                <w:color w:val="auto"/>
              </w:rPr>
            </w:pPr>
            <w:r>
              <w:rPr>
                <w:rFonts w:ascii="Arial" w:cs="Arial" w:eastAsia="Arial" w:hAnsi="Arial"/>
                <w:sz w:val="14"/>
                <w:szCs w:val="14"/>
                <w:color w:val="auto"/>
              </w:rPr>
              <w:t>Average interest rate</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3"/>
        </w:trPr>
        <w:tc>
          <w:tcPr>
            <w:tcW w:w="2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debt maturities</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114,516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264,509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332,126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121,861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576,429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1,522,833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1,469,602</w:t>
            </w:r>
          </w:p>
        </w:tc>
      </w:tr>
      <w:tr>
        <w:trPr>
          <w:trHeight w:val="20"/>
        </w:trPr>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the fair value of our long-term debt, see Note 13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2020 and concluded those disclosure controls and procedures were effective as of that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March 31, 2020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14 to our Consolidated Financial Statements in Part I, Item 1 of this Quarterly Report on Form 10-Q and in Note 17 to our Annual Report on Form 10-K for the year ended December 31, 2019.</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Many of the following risks and uncertainties are, and will be, exacerbated by the Covid-19 pandemic and any worsening of the global business and economic environment as a result. The risks and uncertainties described below are not the only ones facing Amkor. Additional risks and uncertainties not presently known to us may also adversely affect our business operations. The occurrence of any of the following risks could affect our business, liquidity, results of operations, financial condition or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outbreak could impact the supply chain and consumer demand for our customers’ products and services, which may adversely affect our business, results of operations, and financial condition.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has been and may continue to be adversely impacted by the effects of the Covid-19 outbreak. We, our suppliers and our customers have been and may continue to be disrupted by worker absenteeism, quarantines and restrictions on employees’ ability to work, office and factory closures, disruptions to ports and other shipping infrastructure, border closures or other travel or health-related restrictions. There is considerable uncertainty regarding such restrictions, and potential future governmental restrictions, and restrictions on our access to our manufacturing facilities or on our support operations or workforce, or similar limitations for our suppliers, and restrictions or disruptions of transportation, such as reduced availability of air transport, port closures, and increased border controls or closures could limit our capacity to meet customer demand and have a material adverse effect on our business, results of operations and financial condition. Such restrictions and efforts to contain the spread of Covid-19 may cause disruptions to our supply chain in connection with the sourcing of equipment, supplies and other materials. The resumption of normal business operations after such restrictions may be delayed or constrained by lingering effects of Covid-19 on our suppliers or customers or both.</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adversely affected and may continue to adversely affect the economies and financial markets of many countries, resulting in an economic downturn that may cause a decrease in short-term and long-term consumer demand for our customers’ products and services and impact our operating results.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spread of Covid-19 has caused us to modify our business practices (including corporate hygiene protocols at factories, employee travel, employee work locations, and cancellation of physical participation in meetings, events and conferences), and we may take further actions as may be required by government authorities or that we determine are in the best interests of our employees, customers and suppliers. There is no certainty that such measures will be sufficient to mitigate the risks posed by the virus, and our ability to perform critical functions could be harmed.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are unable to accurately predict the impact that Covid-19 will have on our business, financial condition or results of operations due to various uncertainties, including the ultimate spread of Covid-19, the severity of Covid-19, the duration of the outbreak, and the actions that may be taken by governmental authorities and other businesses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an inventory correction in the smartphone market and weakness in the general market reduced demand during 2019, and generally soft economic conditions and a lack of compelling new mobile products constrained overall demand during 2015.</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declines in global economic and financial conditions have harmed our business in the past, and future global downturns could adversely affect our business. The Covid-19 pandemic and the effects of governmental initiatives to control the pandemic have adversely affected and may continue to adversely affect the economies and financial markets of many countries, resulting in an economic downtown that may affect demand for our services and our operating results. Although the magnitude of the impact of Covid-19 pandemic on our business and operations remains uncertain, the continued spread of Covid-19 or the occurrence of other epidemics or pandemics, and the imposition of related public health measures and travel and business restrictions may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the current economic slowdown, any future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margin,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116"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60" w:hanging="108"/>
        <w:spacing w:after="0"/>
        <w:tabs>
          <w:tab w:leader="none" w:pos="55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and government shutdowns, civil disturbances or international events, such as the United Kingdom’s departure from the European Union;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pandemics or other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225"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9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 such as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environmental;</w:t>
      </w:r>
    </w:p>
    <w:p>
      <w:pPr>
        <w:spacing w:after="0" w:line="116" w:lineRule="exact"/>
        <w:rPr>
          <w:rFonts w:ascii="Arial" w:cs="Arial" w:eastAsia="Arial" w:hAnsi="Arial"/>
          <w:sz w:val="18"/>
          <w:szCs w:val="18"/>
          <w:color w:val="auto"/>
        </w:rPr>
      </w:pPr>
    </w:p>
    <w:p>
      <w:pPr>
        <w:ind w:left="980" w:hanging="648"/>
        <w:spacing w:after="0" w:line="308" w:lineRule="auto"/>
        <w:tabs>
          <w:tab w:leader="none" w:pos="6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980" w:hanging="648"/>
        <w:spacing w:after="0" w:line="277"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ind w:left="60" w:right="20"/>
        <w:spacing w:after="0" w:line="263" w:lineRule="auto"/>
        <w:rPr>
          <w:sz w:val="20"/>
          <w:szCs w:val="20"/>
          <w:color w:val="auto"/>
        </w:rPr>
      </w:pPr>
      <w:r>
        <w:rPr>
          <w:rFonts w:ascii="Arial" w:cs="Arial" w:eastAsia="Arial" w:hAnsi="Arial"/>
          <w:sz w:val="18"/>
          <w:szCs w:val="18"/>
          <w:color w:val="auto"/>
        </w:rPr>
        <w:t>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Covid-19 pandemic has impacted and may continue to impact our operations and the operations of our customers and suppliers as a result of quarantines, facility closures and travel and logistics restrictions in connection with the outbreak. For example, the government of the Philippines has implemented a quarantine over certain regions in the Philippines, including where our operations are located. While the quarantine permits us to continue our operations, our employees’ transit has been affected. The government of Malaysia has introduced measures to restrict movement throughout the country, including requiring closure of all governmental and private premises except those providing essential services. While the semiconductor industry was included on the list of essential services, our operations were temporarily paused as we obtained permission to resume operations at our factory in Malaysia with a reduced workforce while movement in the country is restricted. Other national, regional and local governments have been implementing and may continue to implement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similar restrictions to mitigate the spread of Covid-19 in jurisdictions in which we, our customers and our suppliers operate, and such restrictions may impact our operations and the operations of our customers and suppliers. Such restrictions may also affect end-user demand in each geography where our customers sell their products and services, which may adversely affect demand for our services, our operating results and financial condition.</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63% of our net sales for the year ended December 31, 2019. In addition, we have significant customer concentration within 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the Covid-19 pandemic and restrictions imposed by governmental authorities to mitigate the spread of Covid-19 in our customers’ end markets may decrease demand for our customers’ products and services, impacting their financial health and their demand for our services.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Capabilities of Integrated Device Manufacturers and Face Competition from New Competitors, Including Foundries.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ASE Technology Holding Co. LTD., in April 2018.</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packaging and final test. These foundries, which are substantially larger than us and have greater financial resources than we do, have expanded their operations to include packaging and test services and may continue to expand these capabilities in the future.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the past,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either of which may adversely impact our business, liquidity, results of operations, financial condition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have a negative impact on our business. For example, the actions that government authorities and businesses worldwide have taken in response to Covid-19 have resulted in, to date, limited business disruption, including delays in shipments of equipment, supplies and other materials. To the extent the impact of Covid-19 continues or worsens, we may have greater difficulty obtaining the equipment, supplies and other materials necessary for performance of our services. Furthermore, severe earthquakes and tsunamis in the past have significantly and adversely affected the electronics industry supply chain by impacting the supply of specialty chemicals, substrates, silicon wafers, equipment and other supplies to the electronics industry.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wafers to some of our customers in a prior year delayed or otherwise adversely impacted the demand for certain of our advanced packaging and test services.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margin, at least in the near term. While we completed the initial phase of construction of our factory and research and development facility in Incheon, Korea in December 2016, there can be no assurance regarding when the facility will be fully utilized, or that the actual scope, costs, timeline or benefits of the project will be consistent with our expectations.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 To the extent this occurs in the future, our business, liquidity, results of operations, financial condition and cash flows could be materially adversely affected.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fluctuations in global consumer demand and volatility in the financial markets as a result of the Covid-19 pandemic make it particularly difficult to predict future results. Further, providing guidance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March 31, 2020, our total debt balance was $1,513.0 million, of which $141.5 million was classified as a current liability and $776.0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60" w:hanging="108"/>
        <w:spacing w:after="0"/>
        <w:tabs>
          <w:tab w:leader="none" w:pos="55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certain of our credit agreements use LIBOR or other reference rates to determine the rate of interest payable on our borrowings. As such, our financial position may be adversely affected by fluctuations in such reference rates based on economic and market factors beyond our control. Any significant increase in such reference rates would result in a significant increase in interest expense on our debt, which could negatively impact our results of operations and cash flows. In addition, the United Kingdom’s Financial Conduct Authority intends to phase out LIBOR by the end of 2021. Plans for alternative reference rates for other currencies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liquidity based on our current expectations regarding sales, operating expenses, capital spending,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the performance of our business, our capital expenditure and other investment levels and our ability to repay debt and other long-term obligations out of our operating cash flows or with the proceeds of debt or equity financings.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2020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$120.8 million as of March 31, 2020.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Financial Results or Prevent Fraud.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Although we continue to monitor and assess our internal controls for these systems and operations, there is a risk that deficiencies may occur that could constitute significant deficiencies or, in the aggregate, a material weakness.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Cybersecurity breaches could result in unauthorized disclosure of confidential information or disruptions to our operations.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with our existing systems and processes, and such integration has inherent risks to existing operations. </w:t>
      </w:r>
      <w:r>
        <w:rPr>
          <w:rFonts w:ascii="Arial" w:cs="Arial" w:eastAsia="Arial" w:hAnsi="Arial"/>
          <w:sz w:val="17"/>
          <w:szCs w:val="17"/>
          <w:color w:val="090909"/>
        </w:rPr>
        <w:t>In</w:t>
      </w:r>
      <w:r>
        <w:rPr>
          <w:rFonts w:ascii="Arial" w:cs="Arial" w:eastAsia="Arial" w:hAnsi="Arial"/>
          <w:sz w:val="17"/>
          <w:szCs w:val="17"/>
          <w:color w:val="auto"/>
        </w:rPr>
        <w:t xml:space="preserve"> </w:t>
      </w:r>
      <w:r>
        <w:rPr>
          <w:rFonts w:ascii="Arial" w:cs="Arial" w:eastAsia="Arial" w:hAnsi="Arial"/>
          <w:sz w:val="17"/>
          <w:szCs w:val="17"/>
          <w:color w:val="090909"/>
        </w:rPr>
        <w:t xml:space="preserve">addition, in May 2017, we completed our acquisition of Nanium and </w:t>
      </w:r>
      <w:r>
        <w:rPr>
          <w:rFonts w:ascii="Arial" w:cs="Arial" w:eastAsia="Arial" w:hAnsi="Arial"/>
          <w:sz w:val="17"/>
          <w:szCs w:val="17"/>
          <w:color w:val="000000"/>
        </w:rPr>
        <w:t>continue</w:t>
      </w:r>
      <w:r>
        <w:rPr>
          <w:rFonts w:ascii="Arial" w:cs="Arial" w:eastAsia="Arial" w:hAnsi="Arial"/>
          <w:sz w:val="17"/>
          <w:szCs w:val="17"/>
          <w:color w:val="090909"/>
        </w:rPr>
        <w:t xml:space="preserve"> to integrate its information </w:t>
      </w:r>
      <w:r>
        <w:rPr>
          <w:rFonts w:ascii="Arial" w:cs="Arial" w:eastAsia="Arial" w:hAnsi="Arial"/>
          <w:sz w:val="17"/>
          <w:szCs w:val="17"/>
          <w:color w:val="000000"/>
        </w:rPr>
        <w:t>technology</w:t>
      </w:r>
      <w:r>
        <w:rPr>
          <w:rFonts w:ascii="Arial" w:cs="Arial" w:eastAsia="Arial" w:hAnsi="Arial"/>
          <w:sz w:val="17"/>
          <w:szCs w:val="17"/>
          <w:color w:val="090909"/>
        </w:rPr>
        <w:t xml:space="preserve"> systems into our existing systems and processes. </w:t>
      </w:r>
      <w:r>
        <w:rPr>
          <w:rFonts w:ascii="Arial" w:cs="Arial" w:eastAsia="Arial" w:hAnsi="Arial"/>
          <w:sz w:val="17"/>
          <w:szCs w:val="17"/>
          <w:color w:val="000000"/>
        </w:rPr>
        <w:t>We face risks in connection with current and future projects to install or integrate new information technology systems or upgrade our existing</w:t>
      </w:r>
      <w:r>
        <w:rPr>
          <w:rFonts w:ascii="Arial" w:cs="Arial" w:eastAsia="Arial" w:hAnsi="Arial"/>
          <w:sz w:val="17"/>
          <w:szCs w:val="17"/>
          <w:color w:val="090909"/>
        </w:rPr>
        <w:t xml:space="preserve"> </w:t>
      </w:r>
      <w:r>
        <w:rPr>
          <w:rFonts w:ascii="Arial" w:cs="Arial" w:eastAsia="Arial" w:hAnsi="Arial"/>
          <w:sz w:val="17"/>
          <w:szCs w:val="17"/>
          <w:color w:val="000000"/>
        </w:rPr>
        <w:t>systems. These risks include:</w:t>
      </w:r>
    </w:p>
    <w:p>
      <w:pPr>
        <w:spacing w:after="0" w:line="12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60" w:hanging="108"/>
        <w:spacing w:after="0"/>
        <w:tabs>
          <w:tab w:leader="none" w:pos="55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39-</w:t>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as any impairment that may result from the effects of Covid-19. Such charges could have a significant adverse impact on our results of operations and our operating flexibility under our debt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the Organisation for Economic Co-operation and Development has released recommendations and an action plan aimed to standardize and modernize global corporate tax policy, including changes to transfer pricing and other international tax matters to address base erosion and profit shifting impacting multinational companies like Amkor. Changes in U.S. or foreign tax laws arising out of such recommendations or otherwise could have a material adverse impact on our liquidity, results of operations, financial condition and cash flows.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Tax Reform Could Materially Impact Our Financial Position and Results of Operations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expected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In 2018, we updated our provisional estimate of the impact of the Tax Act and recorded a $22.3 million income tax expense to complete the accounting for the impact of the Tax Act, reducing our estimated net tax benefit of $41.6 million from 2017. Our accounting for the impact of the Tax Act is now complete in accordance with SEC staff issued Staff Accounting Bulletin No. 118 (“SAB 118”). However, there is uncertainty in the application of many aspects of the Tax Act and additional guidance with respect to the Tax Act may affect our estimates and could have a material impact on our income tax expense.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SiP modules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w:t>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17 to the Consolidated Financial Statements in Part II, Item 8 of our Annual Report on Form 10-K.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ind w:left="60"/>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w:t>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for which we perform our services.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 imposed travel restrictions or quarantines;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and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w:t>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2020, Mr. James J. Kim, the Executive Chairman of our Board of Directors, Mr. John T. Kim, the Vice Chairman of our Board of Directors, Ms. Susan Y. Kim, a member of our Board of Directors, and members of the Kim family and affiliates owned approximately 141.7 million shares, or approximately 59%, of our outstanding common stock. The Kim family also has options to acquire approximately 0.6 million shares. If the options are exercised, the Kim family’s total ownership would be an aggregate of approximately 142.3 million shares of our outstanding common stock or approximately 59% of our outstanding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w:t>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 the Plans or</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 (a)</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1920" w:type="dxa"/>
            <w:vAlign w:val="bottom"/>
          </w:tcPr>
          <w:p>
            <w:pPr>
              <w:jc w:val="right"/>
              <w:ind w:right="36"/>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2"/>
                <w:szCs w:val="22"/>
                <w:color w:val="auto"/>
              </w:rPr>
            </w:pPr>
          </w:p>
        </w:tc>
        <w:tc>
          <w:tcPr>
            <w:tcW w:w="190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previously authorized the repurchase of up to $300.0 million of our common stock, $150.0 million was approved in August 2011 and $150.0 million was approved in February 2012, exclusive of any fees, commissions or other expenses. For the three months ended March 31, 2020, we made no common stock purchases, and at March 31, 2020, approximately $91.6 million was available pursuant to the stock repurchase program.</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w:t>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6320" w:type="dxa"/>
            <w:vAlign w:val="bottom"/>
            <w:gridSpan w:val="13"/>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5740" w:type="dxa"/>
            <w:vAlign w:val="bottom"/>
            <w:gridSpan w:val="12"/>
          </w:tcPr>
          <w:p>
            <w:pPr>
              <w:ind w:left="320"/>
              <w:spacing w:after="0"/>
              <w:rPr>
                <w:sz w:val="20"/>
                <w:szCs w:val="20"/>
                <w:color w:val="auto"/>
              </w:rPr>
            </w:pPr>
            <w:r>
              <w:rPr>
                <w:rFonts w:ascii="Arial" w:cs="Arial" w:eastAsia="Arial" w:hAnsi="Arial"/>
                <w:sz w:val="18"/>
                <w:szCs w:val="18"/>
                <w:b w:val="1"/>
                <w:bCs w:val="1"/>
                <w:i w:val="1"/>
                <w:iCs w:val="1"/>
                <w:color w:val="auto"/>
              </w:rPr>
              <w:t>Exhibits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8"/>
              </w:rPr>
              <w:t>Incorporated by Reference</w:t>
            </w:r>
          </w:p>
        </w:tc>
        <w:tc>
          <w:tcPr>
            <w:tcW w:w="1960" w:type="dxa"/>
            <w:vAlign w:val="bottom"/>
          </w:tcPr>
          <w:p>
            <w:pPr>
              <w:jc w:val="center"/>
              <w:ind w:left="994"/>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1960" w:type="dxa"/>
            <w:vAlign w:val="bottom"/>
            <w:tcBorders>
              <w:bottom w:val="single" w:sz="8" w:color="auto"/>
            </w:tcBorders>
          </w:tcPr>
          <w:p>
            <w:pPr>
              <w:jc w:val="center"/>
              <w:ind w:left="97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180" w:type="dxa"/>
            <w:vAlign w:val="bottom"/>
            <w:gridSpan w:val="2"/>
          </w:tcPr>
          <w:p>
            <w:pPr>
              <w:jc w:val="right"/>
              <w:ind w:right="350"/>
              <w:spacing w:after="0" w:line="139" w:lineRule="exact"/>
              <w:rPr>
                <w:sz w:val="20"/>
                <w:szCs w:val="20"/>
                <w:color w:val="auto"/>
              </w:rPr>
            </w:pPr>
            <w:r>
              <w:rPr>
                <w:rFonts w:ascii="Arial" w:cs="Arial" w:eastAsia="Arial" w:hAnsi="Arial"/>
                <w:sz w:val="14"/>
                <w:szCs w:val="14"/>
                <w:b w:val="1"/>
                <w:bCs w:val="1"/>
                <w:color w:val="auto"/>
              </w:rPr>
              <w:t>Exhibit</w:t>
            </w:r>
          </w:p>
        </w:tc>
        <w:tc>
          <w:tcPr>
            <w:tcW w:w="5140" w:type="dxa"/>
            <w:vAlign w:val="bottom"/>
            <w:gridSpan w:val="11"/>
            <w:vMerge w:val="restart"/>
          </w:tcPr>
          <w:p>
            <w:pPr>
              <w:ind w:left="196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Period Ending</w:t>
            </w: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Number</w:t>
            </w:r>
          </w:p>
        </w:tc>
        <w:tc>
          <w:tcPr>
            <w:tcW w:w="5140" w:type="dxa"/>
            <w:vAlign w:val="bottom"/>
            <w:tcBorders>
              <w:bottom w:val="single" w:sz="8" w:color="auto"/>
            </w:tcBorders>
            <w:gridSpan w:val="11"/>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0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1"/>
              </w:rPr>
              <w:t>31.1</w:t>
            </w:r>
          </w:p>
        </w:tc>
        <w:tc>
          <w:tcPr>
            <w:tcW w:w="4760" w:type="dxa"/>
            <w:vAlign w:val="bottom"/>
            <w:tcBorders>
              <w:bottom w:val="single" w:sz="8" w:color="0000FF"/>
            </w:tcBorders>
            <w:gridSpan w:val="4"/>
          </w:tcPr>
          <w:p>
            <w:pPr>
              <w:spacing w:after="0" w:line="202"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Stephen D. Kelley, President and Chief Executive</w:t>
              </w:r>
            </w:hyperlink>
          </w:p>
        </w:tc>
        <w:tc>
          <w:tcPr>
            <w:tcW w:w="38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jc w:val="center"/>
              <w:ind w:left="974"/>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Officer of Amkor Technology, Inc., pursuant to Rule 13a-14(a) under</w:t>
              </w:r>
            </w:hyperlink>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FF"/>
                <w:w w:val="93"/>
              </w:rPr>
            </w:pPr>
            <w:hyperlink w:anchor="page49">
              <w:r>
                <w:rPr>
                  <w:rFonts w:ascii="Arial" w:cs="Arial" w:eastAsia="Arial" w:hAnsi="Arial"/>
                  <w:sz w:val="18"/>
                  <w:szCs w:val="18"/>
                  <w:color w:val="0000FF"/>
                  <w:w w:val="93"/>
                </w:rPr>
                <w:t>the Securities Exchange Act of 1934, as adopted pursuant to Section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302 of the Sarbanes-Oxley Act of 2002.</w:t>
              </w:r>
            </w:hyperlink>
          </w:p>
        </w:tc>
        <w:tc>
          <w:tcPr>
            <w:tcW w:w="2040" w:type="dxa"/>
            <w:vAlign w:val="bottom"/>
            <w:tcBorders>
              <w:top w:val="single" w:sz="8" w:color="0000FF"/>
            </w:tcBorders>
            <w:gridSpan w:val="7"/>
          </w:tcPr>
          <w:p>
            <w:pPr>
              <w:spacing w:after="0"/>
              <w:rPr>
                <w:sz w:val="17"/>
                <w:szCs w:val="17"/>
                <w:color w:val="auto"/>
              </w:rPr>
            </w:pPr>
          </w:p>
        </w:tc>
        <w:tc>
          <w:tcPr>
            <w:tcW w:w="22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w w:val="91"/>
              </w:rPr>
              <w:t>31.2</w:t>
            </w:r>
          </w:p>
        </w:tc>
        <w:tc>
          <w:tcPr>
            <w:tcW w:w="47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Megan Faust, Executive Vice President and Chief</w:t>
              </w:r>
            </w:hyperlink>
          </w:p>
        </w:tc>
        <w:tc>
          <w:tcPr>
            <w:tcW w:w="400" w:type="dxa"/>
            <w:vAlign w:val="bottom"/>
            <w:gridSpan w:val="8"/>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Financial Officer of Amkor Technology, Inc., pursuant to Rule 13a-</w:t>
              </w:r>
            </w:hyperlink>
          </w:p>
        </w:tc>
        <w:tc>
          <w:tcPr>
            <w:tcW w:w="26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4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14(a) under the Securities Exchange Act of 1934, as adopted pursuant</w:t>
              </w:r>
            </w:hyperlink>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to Section 302 of the Sarbanes-Oxley Act of 2002.</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5140" w:type="dxa"/>
            <w:vAlign w:val="bottom"/>
            <w:gridSpan w:val="11"/>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Certification of Chief Executive Officer and Chief Financial Officer</w:t>
              </w:r>
            </w:hyperlink>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00" w:type="dxa"/>
            <w:vAlign w:val="bottom"/>
            <w:tcBorders>
              <w:top w:val="single" w:sz="8" w:color="0000FF"/>
            </w:tcBorders>
            <w:gridSpan w:val="7"/>
          </w:tcPr>
          <w:p>
            <w:pPr>
              <w:spacing w:after="0" w:line="19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pursuant to 18 U.S.C. Section 1350, as adopted pursuant to Section</w:t>
              </w:r>
            </w:hyperlink>
          </w:p>
        </w:tc>
        <w:tc>
          <w:tcPr>
            <w:tcW w:w="2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906 of the Sarbanes-Oxley Act of 2002.</w:t>
              </w:r>
            </w:hyperlink>
          </w:p>
        </w:tc>
        <w:tc>
          <w:tcPr>
            <w:tcW w:w="1960" w:type="dxa"/>
            <w:vAlign w:val="bottom"/>
            <w:tcBorders>
              <w:top w:val="single" w:sz="8" w:color="0000FF"/>
            </w:tcBorders>
            <w:gridSpan w:val="4"/>
          </w:tcPr>
          <w:p>
            <w:pPr>
              <w:spacing w:after="0"/>
              <w:rPr>
                <w:sz w:val="17"/>
                <w:szCs w:val="17"/>
                <w:color w:val="auto"/>
              </w:rPr>
            </w:pPr>
          </w:p>
        </w:tc>
        <w:tc>
          <w:tcPr>
            <w:tcW w:w="3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101.INS</w:t>
            </w:r>
          </w:p>
        </w:tc>
        <w:tc>
          <w:tcPr>
            <w:tcW w:w="5140" w:type="dxa"/>
            <w:vAlign w:val="bottom"/>
            <w:gridSpan w:val="11"/>
          </w:tcPr>
          <w:p>
            <w:pPr>
              <w:spacing w:after="0"/>
              <w:rPr>
                <w:sz w:val="20"/>
                <w:szCs w:val="20"/>
                <w:color w:val="auto"/>
              </w:rPr>
            </w:pPr>
            <w:r>
              <w:rPr>
                <w:rFonts w:ascii="Arial" w:cs="Arial" w:eastAsia="Arial" w:hAnsi="Arial"/>
                <w:sz w:val="18"/>
                <w:szCs w:val="18"/>
                <w:color w:val="auto"/>
                <w:w w:val="97"/>
              </w:rPr>
              <w:t>Inline XBRL Instance Document - the instance document does not</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101.SCH</w:t>
            </w:r>
          </w:p>
        </w:tc>
        <w:tc>
          <w:tcPr>
            <w:tcW w:w="51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101.CAL</w:t>
            </w:r>
          </w:p>
        </w:tc>
        <w:tc>
          <w:tcPr>
            <w:tcW w:w="5140" w:type="dxa"/>
            <w:vAlign w:val="bottom"/>
            <w:gridSpan w:val="11"/>
          </w:tcPr>
          <w:p>
            <w:pPr>
              <w:spacing w:after="0"/>
              <w:rPr>
                <w:sz w:val="20"/>
                <w:szCs w:val="20"/>
                <w:color w:val="auto"/>
              </w:rPr>
            </w:pPr>
            <w:r>
              <w:rPr>
                <w:rFonts w:ascii="Arial" w:cs="Arial" w:eastAsia="Arial" w:hAnsi="Arial"/>
                <w:sz w:val="18"/>
                <w:szCs w:val="18"/>
                <w:color w:val="auto"/>
                <w:w w:val="97"/>
              </w:rPr>
              <w:t>Inline XBRL Taxonomy Extension Calculation Linkbase Document</w:t>
            </w: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101.LAB</w:t>
            </w:r>
          </w:p>
        </w:tc>
        <w:tc>
          <w:tcPr>
            <w:tcW w:w="51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101.PRE</w:t>
            </w:r>
          </w:p>
        </w:tc>
        <w:tc>
          <w:tcPr>
            <w:tcW w:w="5140" w:type="dxa"/>
            <w:vAlign w:val="bottom"/>
            <w:gridSpan w:val="11"/>
          </w:tcPr>
          <w:p>
            <w:pPr>
              <w:spacing w:after="0"/>
              <w:rPr>
                <w:sz w:val="20"/>
                <w:szCs w:val="20"/>
                <w:color w:val="auto"/>
              </w:rPr>
            </w:pPr>
            <w:r>
              <w:rPr>
                <w:rFonts w:ascii="Arial" w:cs="Arial" w:eastAsia="Arial" w:hAnsi="Arial"/>
                <w:sz w:val="18"/>
                <w:szCs w:val="18"/>
                <w:color w:val="auto"/>
                <w:w w:val="95"/>
              </w:rPr>
              <w:t>Inline XBRL Taxonomy Extension Presentation Linkbase Document</w:t>
            </w: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101.DEF</w:t>
            </w:r>
          </w:p>
        </w:tc>
        <w:tc>
          <w:tcPr>
            <w:tcW w:w="5140" w:type="dxa"/>
            <w:vAlign w:val="bottom"/>
            <w:gridSpan w:val="11"/>
          </w:tcPr>
          <w:p>
            <w:pPr>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514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8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60" w:type="dxa"/>
            <w:vAlign w:val="bottom"/>
          </w:tcPr>
          <w:p>
            <w:pPr>
              <w:jc w:val="center"/>
              <w:ind w:left="97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gridSpan w:val="3"/>
          </w:tcPr>
          <w:p>
            <w:pPr>
              <w:ind w:left="4280"/>
              <w:spacing w:after="0"/>
              <w:rPr>
                <w:sz w:val="20"/>
                <w:szCs w:val="20"/>
                <w:color w:val="auto"/>
              </w:rPr>
            </w:pPr>
            <w:r>
              <w:rPr>
                <w:rFonts w:ascii="Arial" w:cs="Arial" w:eastAsia="Arial" w:hAnsi="Arial"/>
                <w:sz w:val="18"/>
                <w:szCs w:val="18"/>
                <w:color w:val="auto"/>
              </w:rPr>
              <w:t>- 46-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95"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w:t>
      </w:r>
    </w:p>
    <w:p>
      <w:pPr>
        <w:sectPr>
          <w:pgSz w:w="11900" w:h="16838" w:orient="portrait"/>
          <w:cols w:equalWidth="0" w:num="1">
            <w:col w:w="11220"/>
          </w:cols>
          <w:pgMar w:left="320" w:top="121"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ectPr>
          <w:pgSz w:w="11900" w:h="16838" w:orient="portrait"/>
          <w:cols w:equalWidth="0" w:num="1">
            <w:col w:w="11240"/>
          </w:cols>
          <w:pgMar w:left="320" w:top="63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ectPr>
          <w:pgSz w:w="11900" w:h="16838" w:orient="portrait"/>
          <w:cols w:equalWidth="0" w:num="1">
            <w:col w:w="11240"/>
          </w:cols>
          <w:pgMar w:left="320" w:top="63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2020,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660" w:hanging="4"/>
        <w:spacing w:after="0" w:line="277" w:lineRule="auto"/>
        <w:tabs>
          <w:tab w:leader="none" w:pos="9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2020,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660" w:hanging="4"/>
        <w:spacing w:after="0" w:line="277" w:lineRule="auto"/>
        <w:tabs>
          <w:tab w:leader="none" w:pos="9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lvl w:ilvl="1">
      <w:lvlJc w:val="left"/>
      <w:lvlText w:val="-"/>
      <w:numFmt w:val="bullet"/>
      <w:start w:val="1"/>
    </w:lvl>
  </w:abstractNum>
  <w:abstractNum w:abstractNumId="3">
    <w:nsid w:val="4E6AFB66"/>
    <w:multiLevelType w:val="hybridMultilevel"/>
    <w:lvl w:ilvl="0">
      <w:lvlJc w:val="left"/>
      <w:lvlText w:val="%1"/>
      <w:numFmt w:val="decimal"/>
      <w:start w:val="1"/>
    </w:lvl>
    <w:lvl w:ilvl="1">
      <w:lvlJc w:val="left"/>
      <w:lvlText w:val="(%2)"/>
      <w:numFmt w:val="decimal"/>
      <w:start w:val="1"/>
    </w:lvl>
  </w:abstractNum>
  <w:abstractNum w:abstractNumId="4">
    <w:nsid w:val="25E45D32"/>
    <w:multiLevelType w:val="hybridMultilevel"/>
    <w:lvl w:ilvl="0">
      <w:lvlJc w:val="left"/>
      <w:lvlText w:val="%1."/>
      <w:numFmt w:val="decimal"/>
      <w:start w:val="7"/>
    </w:lvl>
    <w:lvl w:ilvl="1">
      <w:lvlJc w:val="left"/>
      <w:lvlText w:val="%2"/>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lvl w:ilvl="1">
      <w:lvlJc w:val="left"/>
      <w:lvlText w:val="-"/>
      <w:numFmt w:val="bullet"/>
      <w:start w:val="1"/>
    </w:lvl>
  </w:abstractNum>
  <w:abstractNum w:abstractNumId="7">
    <w:nsid w:val="3F2DBA31"/>
    <w:multiLevelType w:val="hybridMultilevel"/>
    <w:lvl w:ilvl="0">
      <w:lvlJc w:val="left"/>
      <w:lvlText w:val="(%1)"/>
      <w:numFmt w:val="decimal"/>
      <w:start w:val="1"/>
    </w:lvl>
    <w:lvl w:ilvl="1">
      <w:lvlJc w:val="left"/>
      <w:lvlText w:val="-"/>
      <w:numFmt w:val="bullet"/>
      <w:start w:val="1"/>
    </w:lvl>
  </w:abstractNum>
  <w:abstractNum w:abstractNumId="8">
    <w:nsid w:val="7C83E458"/>
    <w:multiLevelType w:val="hybridMultilevel"/>
    <w:lvl w:ilvl="0">
      <w:lvlJc w:val="left"/>
      <w:lvlText w:val="(%1)"/>
      <w:numFmt w:val="decimal"/>
      <w:start w:val="3"/>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lvl w:ilvl="1">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lvl w:ilvl="1">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lvl w:ilvl="1">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2020-04-30T16:20:54Z</dcterms:created>
  <dcterms:modified xsi:type="dcterms:W3CDTF">2020-04-30T16:20:54Z</dcterms:modified>
</cp:coreProperties>
</file>