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6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ANNUAL REPORT PURSUANT TO SECTION 13 OR 15(d)</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000-29472 </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Amkor Technology, Inc.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8225" w:type="dxa"/>
        <w:jc w:val="center"/>
        <w:tblInd w:w="0" w:type="dxa"/>
        <w:tblLayout w:type="fixed"/>
        <w:tblCellMar>
          <w:top w:w="28" w:type="dxa"/>
          <w:left w:w="28" w:type="dxa"/>
          <w:bottom w:w="28" w:type="dxa"/>
          <w:right w:w="28" w:type="dxa"/>
        </w:tblCellMar>
      </w:tblPr>
      <w:tblGrid>
        <w:gridCol w:w="1558"/>
        <w:gridCol w:w="1375"/>
        <w:gridCol w:w="1387"/>
        <w:gridCol w:w="109"/>
        <w:gridCol w:w="109"/>
        <w:gridCol w:w="109"/>
        <w:gridCol w:w="109"/>
        <w:gridCol w:w="109"/>
        <w:gridCol w:w="109"/>
        <w:gridCol w:w="109"/>
        <w:gridCol w:w="109"/>
        <w:gridCol w:w="109"/>
        <w:gridCol w:w="852"/>
        <w:gridCol w:w="852"/>
        <w:gridCol w:w="1220"/>
      </w:tblGrid>
      <w:tr>
        <w:trPr/>
        <w:tc>
          <w:tcPr>
            <w:tcW w:w="155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23-1722724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Number)</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2045 East Innovation Circle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Tempe, AZ 85284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 and zip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(480) 821-5000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542" w:type="dxa"/>
        <w:jc w:val="center"/>
        <w:tblInd w:w="0" w:type="dxa"/>
        <w:tblLayout w:type="fixed"/>
        <w:tblCellMar>
          <w:top w:w="28" w:type="dxa"/>
          <w:left w:w="28" w:type="dxa"/>
          <w:bottom w:w="28" w:type="dxa"/>
          <w:right w:w="28" w:type="dxa"/>
        </w:tblCellMar>
      </w:tblPr>
      <w:tblGrid>
        <w:gridCol w:w="907"/>
        <w:gridCol w:w="796"/>
        <w:gridCol w:w="801"/>
        <w:gridCol w:w="454"/>
        <w:gridCol w:w="454"/>
        <w:gridCol w:w="456"/>
        <w:gridCol w:w="1074"/>
        <w:gridCol w:w="1074"/>
        <w:gridCol w:w="1526"/>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AMKR</w:t>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60"/>
        <w:jc w:val="both"/>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598"/>
        <w:gridCol w:w="525"/>
        <w:gridCol w:w="527"/>
        <w:gridCol w:w="109"/>
        <w:gridCol w:w="109"/>
        <w:gridCol w:w="109"/>
        <w:gridCol w:w="412"/>
        <w:gridCol w:w="412"/>
        <w:gridCol w:w="414"/>
        <w:gridCol w:w="109"/>
        <w:gridCol w:w="109"/>
        <w:gridCol w:w="109"/>
        <w:gridCol w:w="531"/>
        <w:gridCol w:w="531"/>
        <w:gridCol w:w="533"/>
        <w:gridCol w:w="109"/>
        <w:gridCol w:w="109"/>
        <w:gridCol w:w="109"/>
        <w:gridCol w:w="676"/>
        <w:gridCol w:w="676"/>
        <w:gridCol w:w="679"/>
        <w:gridCol w:w="109"/>
        <w:gridCol w:w="109"/>
        <w:gridCol w:w="109"/>
        <w:gridCol w:w="666"/>
        <w:gridCol w:w="666"/>
        <w:gridCol w:w="669"/>
        <w:gridCol w:w="109"/>
        <w:gridCol w:w="109"/>
        <w:gridCol w:w="16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60"/>
        <w:jc w:val="both"/>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and non-voting common equity held by non-affiliates of the registrant as of June 30, 2023, based upon the closing price of the common stock as reported by the Nasdaq Global Select Market on that date, was approximately $3,067 million.</w:t>
      </w:r>
    </w:p>
    <w:p>
      <w:pPr>
        <w:pStyle w:val="TextBody"/>
        <w:bidi w:val="0"/>
        <w:spacing w:lineRule="auto" w:line="288"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number of shares outstanding of each of the issuer’s classes of common equity, as of February 9, 2024, was as follows: 245,892,019 shares of Common Stock, $0.001 par value. </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Proxy Statement relating to its 2024 Annual Meeting of Stockholders, to be filed subsequently, are incorporated by reference into Part III of this Report where indicated.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8"/>
        <w:gridCol w:w="253"/>
        <w:gridCol w:w="254"/>
        <w:gridCol w:w="2947"/>
        <w:gridCol w:w="2936"/>
        <w:gridCol w:w="2952"/>
        <w:gridCol w:w="167"/>
        <w:gridCol w:w="167"/>
        <w:gridCol w:w="24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d91c2c4fba94bfa9f95bd94c3585b6d_10">
              <w:r>
                <w:rPr>
                  <w:rStyle w:val="InternetLink"/>
                  <w:rFonts w:ascii="Times New Roman;sans-serif" w:hAnsi="Times New Roman;sans-serif"/>
                  <w:b/>
                  <w:strike w:val="false"/>
                  <w:dstrike w:val="false"/>
                  <w:color w:val="000000"/>
                  <w:sz w:val="20"/>
                  <w:u w:val="none"/>
                  <w:effect w:val="none"/>
                </w:rPr>
                <w:t>PART 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3">
              <w:r>
                <w:rPr>
                  <w:rStyle w:val="InternetLink"/>
                  <w:rFonts w:ascii="Times New Roman;sans-serif" w:hAnsi="Times New Roman;sans-serif"/>
                  <w:b w:val="false"/>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3">
              <w:r>
                <w:rPr>
                  <w:rStyle w:val="InternetLink"/>
                  <w:rFonts w:ascii="Times New Roman;sans-serif" w:hAnsi="Times New Roman;sans-serif"/>
                  <w:b w:val="false"/>
                  <w:strike w:val="false"/>
                  <w:dstrike w:val="false"/>
                  <w:color w:val="000000"/>
                  <w:sz w:val="20"/>
                  <w:u w:val="none"/>
                  <w:effect w:val="none"/>
                </w:rPr>
                <w:t>Business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3">
              <w:r>
                <w:rPr>
                  <w:rStyle w:val="InternetLink"/>
                  <w:rFonts w:ascii="Times New Roman;sans-serif" w:hAnsi="Times New Roman;sans-serif"/>
                  <w:b w:val="false"/>
                  <w:strike w:val="false"/>
                  <w:dstrike w:val="false"/>
                  <w:color w:val="000000"/>
                  <w:sz w:val="20"/>
                  <w:u w:val="none"/>
                  <w:effect w:val="none"/>
                </w:rPr>
                <w:t>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6">
              <w:r>
                <w:rPr>
                  <w:rStyle w:val="InternetLink"/>
                  <w:rFonts w:ascii="Times New Roman;sans-serif" w:hAnsi="Times New Roman;sans-serif"/>
                  <w:b w:val="false"/>
                  <w:strike w:val="false"/>
                  <w:dstrike w:val="false"/>
                  <w:color w:val="000000"/>
                  <w:sz w:val="20"/>
                  <w:u w:val="none"/>
                  <w:effect w:val="none"/>
                </w:rPr>
                <w:t>Item 1A.</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6">
              <w:r>
                <w:rPr>
                  <w:rStyle w:val="InternetLink"/>
                  <w:rFonts w:ascii="Times New Roman;sans-serif" w:hAnsi="Times New Roman;sans-serif"/>
                  <w:b w:val="false"/>
                  <w:strike w:val="false"/>
                  <w:dstrike w:val="false"/>
                  <w:color w:val="000000"/>
                  <w:sz w:val="20"/>
                  <w:u w:val="none"/>
                  <w:effect w:val="non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6">
              <w:r>
                <w:rPr>
                  <w:rStyle w:val="InternetLink"/>
                  <w:rFonts w:ascii="Times New Roman;sans-serif" w:hAnsi="Times New Roman;sans-serif"/>
                  <w:b w:val="false"/>
                  <w:strike w:val="false"/>
                  <w:dstrike w:val="false"/>
                  <w:color w:val="000000"/>
                  <w:sz w:val="20"/>
                  <w:u w:val="none"/>
                  <w:effect w:val="none"/>
                </w:rPr>
                <w:t>15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9">
              <w:r>
                <w:rPr>
                  <w:rStyle w:val="InternetLink"/>
                  <w:rFonts w:ascii="Times New Roman;sans-serif" w:hAnsi="Times New Roman;sans-serif"/>
                  <w:b w:val="false"/>
                  <w:strike w:val="false"/>
                  <w:dstrike w:val="false"/>
                  <w:color w:val="000000"/>
                  <w:sz w:val="20"/>
                  <w:u w:val="none"/>
                  <w:effect w:val="none"/>
                </w:rPr>
                <w:t>Item 1B.</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9">
              <w:r>
                <w:rPr>
                  <w:rStyle w:val="InternetLink"/>
                  <w:rFonts w:ascii="Times New Roman;sans-serif" w:hAnsi="Times New Roman;sans-serif"/>
                  <w:b w:val="false"/>
                  <w:strike w:val="false"/>
                  <w:dstrike w:val="false"/>
                  <w:color w:val="000000"/>
                  <w:sz w:val="20"/>
                  <w:u w:val="none"/>
                  <w:effect w:val="non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9">
              <w:r>
                <w:rPr>
                  <w:rStyle w:val="InternetLink"/>
                  <w:rFonts w:ascii="Times New Roman;sans-serif" w:hAnsi="Times New Roman;sans-serif"/>
                  <w:b w:val="false"/>
                  <w:strike w:val="false"/>
                  <w:dstrike w:val="false"/>
                  <w:color w:val="000000"/>
                  <w:sz w:val="20"/>
                  <w:u w:val="none"/>
                  <w:effect w:val="none"/>
                </w:rPr>
                <w:t>35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595">
              <w:r>
                <w:rPr>
                  <w:rStyle w:val="InternetLink"/>
                  <w:rFonts w:ascii="Times New Roman;sans-serif" w:hAnsi="Times New Roman;sans-serif"/>
                  <w:b w:val="false"/>
                  <w:strike w:val="false"/>
                  <w:dstrike w:val="false"/>
                  <w:color w:val="000000"/>
                  <w:sz w:val="20"/>
                  <w:u w:val="none"/>
                  <w:effect w:val="none"/>
                </w:rPr>
                <w:t>Item 1C.</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595">
              <w:r>
                <w:rPr>
                  <w:rStyle w:val="InternetLink"/>
                  <w:rFonts w:ascii="Times New Roman;sans-serif" w:hAnsi="Times New Roman;sans-serif"/>
                  <w:b w:val="false"/>
                  <w:strike w:val="false"/>
                  <w:dstrike w:val="false"/>
                  <w:color w:val="000000"/>
                  <w:sz w:val="20"/>
                  <w:u w:val="none"/>
                  <w:effect w:val="none"/>
                </w:rPr>
                <w:t>Cybersecurity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595">
              <w:r>
                <w:rPr>
                  <w:rStyle w:val="InternetLink"/>
                  <w:rFonts w:ascii="Times New Roman;sans-serif" w:hAnsi="Times New Roman;sans-serif"/>
                  <w:b w:val="false"/>
                  <w:strike w:val="false"/>
                  <w:dstrike w:val="false"/>
                  <w:color w:val="000000"/>
                  <w:sz w:val="20"/>
                  <w:u w:val="none"/>
                  <w:effect w:val="none"/>
                </w:rPr>
                <w:t>35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22">
              <w:r>
                <w:rPr>
                  <w:rStyle w:val="InternetLink"/>
                  <w:rFonts w:ascii="Times New Roman;sans-serif" w:hAnsi="Times New Roman;sans-serif"/>
                  <w:b w:val="false"/>
                  <w:strike w:val="false"/>
                  <w:dstrike w:val="false"/>
                  <w:color w:val="000000"/>
                  <w:sz w:val="20"/>
                  <w:u w:val="none"/>
                  <w:effect w:val="non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22">
              <w:r>
                <w:rPr>
                  <w:rStyle w:val="InternetLink"/>
                  <w:rFonts w:ascii="Times New Roman;sans-serif" w:hAnsi="Times New Roman;sans-serif"/>
                  <w:b w:val="false"/>
                  <w:strike w:val="false"/>
                  <w:dstrike w:val="false"/>
                  <w:color w:val="000000"/>
                  <w:sz w:val="20"/>
                  <w:u w:val="none"/>
                  <w:effect w:val="none"/>
                </w:rPr>
                <w:t>36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25">
              <w:r>
                <w:rPr>
                  <w:rStyle w:val="InternetLink"/>
                  <w:rFonts w:ascii="Times New Roman;sans-serif" w:hAnsi="Times New Roman;sans-serif"/>
                  <w:b w:val="false"/>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25">
              <w:r>
                <w:rPr>
                  <w:rStyle w:val="InternetLink"/>
                  <w:rFonts w:ascii="Times New Roman;sans-serif" w:hAnsi="Times New Roman;sans-serif"/>
                  <w:b w:val="false"/>
                  <w:strike w:val="false"/>
                  <w:dstrike w:val="false"/>
                  <w:color w:val="000000"/>
                  <w:sz w:val="20"/>
                  <w:u w:val="none"/>
                  <w:effect w:val="non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25">
              <w:r>
                <w:rPr>
                  <w:rStyle w:val="InternetLink"/>
                  <w:rFonts w:ascii="Times New Roman;sans-serif" w:hAnsi="Times New Roman;sans-serif"/>
                  <w:b w:val="false"/>
                  <w:strike w:val="false"/>
                  <w:dstrike w:val="false"/>
                  <w:color w:val="000000"/>
                  <w:sz w:val="20"/>
                  <w:u w:val="none"/>
                  <w:effect w:val="none"/>
                </w:rPr>
                <w:t>36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28">
              <w:r>
                <w:rPr>
                  <w:rStyle w:val="InternetLink"/>
                  <w:rFonts w:ascii="Times New Roman;sans-serif" w:hAnsi="Times New Roman;sans-serif"/>
                  <w:b w:val="false"/>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2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28">
              <w:r>
                <w:rPr>
                  <w:rStyle w:val="InternetLink"/>
                  <w:rFonts w:ascii="Times New Roman;sans-serif" w:hAnsi="Times New Roman;sans-serif"/>
                  <w:b w:val="false"/>
                  <w:strike w:val="false"/>
                  <w:dstrike w:val="false"/>
                  <w:color w:val="000000"/>
                  <w:sz w:val="20"/>
                  <w:u w:val="none"/>
                  <w:effect w:val="none"/>
                </w:rPr>
                <w:t>36</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d91c2c4fba94bfa9f95bd94c3585b6d_31">
              <w:r>
                <w:rPr>
                  <w:rStyle w:val="InternetLink"/>
                  <w:rFonts w:ascii="Times New Roman;sans-serif" w:hAnsi="Times New Roman;sans-serif"/>
                  <w:b/>
                  <w:strike w:val="false"/>
                  <w:dstrike w:val="false"/>
                  <w:color w:val="000000"/>
                  <w:sz w:val="20"/>
                  <w:u w:val="none"/>
                  <w:effect w:val="none"/>
                </w:rPr>
                <w:t>PART II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34">
              <w:r>
                <w:rPr>
                  <w:rStyle w:val="InternetLink"/>
                  <w:rFonts w:ascii="Times New Roman;sans-serif" w:hAnsi="Times New Roman;sans-serif"/>
                  <w:b w:val="false"/>
                  <w:strike w:val="false"/>
                  <w:dstrike w:val="false"/>
                  <w:color w:val="000000"/>
                  <w:sz w:val="20"/>
                  <w:u w:val="none"/>
                  <w:effect w:val="none"/>
                </w:rPr>
                <w:t>Item 5.</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d91c2c4fba94bfa9f95bd94c3585b6d_34">
              <w:r>
                <w:rPr>
                  <w:rStyle w:val="InternetLink"/>
                  <w:rFonts w:ascii="Times New Roman;sans-serif" w:hAnsi="Times New Roman;sans-serif"/>
                  <w:b w:val="false"/>
                  <w:strike w:val="false"/>
                  <w:dstrike w:val="false"/>
                  <w:color w:val="000000"/>
                  <w:sz w:val="20"/>
                  <w:u w:val="none"/>
                  <w:effect w:val="non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34">
              <w:r>
                <w:rPr>
                  <w:rStyle w:val="InternetLink"/>
                  <w:rFonts w:ascii="Times New Roman;sans-serif" w:hAnsi="Times New Roman;sans-serif"/>
                  <w:b w:val="false"/>
                  <w:strike w:val="false"/>
                  <w:dstrike w:val="false"/>
                  <w:color w:val="000000"/>
                  <w:sz w:val="20"/>
                  <w:u w:val="none"/>
                  <w:effect w:val="none"/>
                </w:rPr>
                <w:t>37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37">
              <w:r>
                <w:rPr>
                  <w:rStyle w:val="InternetLink"/>
                  <w:rFonts w:ascii="Times New Roman;sans-serif" w:hAnsi="Times New Roman;sans-serif"/>
                  <w:b w:val="false"/>
                  <w:strike w:val="false"/>
                  <w:dstrike w:val="false"/>
                  <w:color w:val="000000"/>
                  <w:sz w:val="20"/>
                  <w:u w:val="none"/>
                  <w:effect w:val="none"/>
                </w:rPr>
                <w:t>Item 6.</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37">
              <w:r>
                <w:rPr>
                  <w:rStyle w:val="InternetLink"/>
                  <w:rFonts w:ascii="Times New Roman;sans-serif" w:hAnsi="Times New Roman;sans-serif"/>
                  <w:b w:val="false"/>
                  <w:strike w:val="false"/>
                  <w:dstrike w:val="false"/>
                  <w:color w:val="000000"/>
                  <w:sz w:val="20"/>
                  <w:u w:val="none"/>
                  <w:effect w:val="none"/>
                </w:rPr>
                <w:t>&lt;Reserved&gt;</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37">
              <w:r>
                <w:rPr>
                  <w:rStyle w:val="InternetLink"/>
                  <w:rFonts w:ascii="Times New Roman;sans-serif" w:hAnsi="Times New Roman;sans-serif"/>
                  <w:b w:val="false"/>
                  <w:strike w:val="false"/>
                  <w:dstrike w:val="false"/>
                  <w:color w:val="000000"/>
                  <w:sz w:val="20"/>
                  <w:u w:val="none"/>
                  <w:effect w:val="none"/>
                </w:rPr>
                <w:t>38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40">
              <w:r>
                <w:rPr>
                  <w:rStyle w:val="InternetLink"/>
                  <w:rFonts w:ascii="Times New Roman;sans-serif" w:hAnsi="Times New Roman;sans-serif"/>
                  <w:b w:val="false"/>
                  <w:strike w:val="false"/>
                  <w:dstrike w:val="false"/>
                  <w:color w:val="000000"/>
                  <w:sz w:val="20"/>
                  <w:u w:val="none"/>
                  <w:effect w:val="none"/>
                </w:rPr>
                <w:t>Item 7.</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40">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40">
              <w:r>
                <w:rPr>
                  <w:rStyle w:val="InternetLink"/>
                  <w:rFonts w:ascii="Times New Roman;sans-serif" w:hAnsi="Times New Roman;sans-serif"/>
                  <w:b w:val="false"/>
                  <w:strike w:val="false"/>
                  <w:dstrike w:val="false"/>
                  <w:color w:val="000000"/>
                  <w:sz w:val="20"/>
                  <w:u w:val="none"/>
                  <w:effect w:val="none"/>
                </w:rPr>
                <w:t>39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61">
              <w:r>
                <w:rPr>
                  <w:rStyle w:val="InternetLink"/>
                  <w:rFonts w:ascii="Times New Roman;sans-serif" w:hAnsi="Times New Roman;sans-serif"/>
                  <w:b w:val="false"/>
                  <w:strike w:val="false"/>
                  <w:dstrike w:val="false"/>
                  <w:color w:val="000000"/>
                  <w:sz w:val="20"/>
                  <w:u w:val="none"/>
                  <w:effect w:val="none"/>
                </w:rPr>
                <w:t>Item 7A.</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61">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61">
              <w:r>
                <w:rPr>
                  <w:rStyle w:val="InternetLink"/>
                  <w:rFonts w:ascii="Times New Roman;sans-serif" w:hAnsi="Times New Roman;sans-serif"/>
                  <w:b w:val="false"/>
                  <w:strike w:val="false"/>
                  <w:dstrike w:val="false"/>
                  <w:color w:val="000000"/>
                  <w:sz w:val="20"/>
                  <w:u w:val="none"/>
                  <w:effect w:val="none"/>
                </w:rPr>
                <w:t>48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64">
              <w:r>
                <w:rPr>
                  <w:rStyle w:val="InternetLink"/>
                  <w:rFonts w:ascii="Times New Roman;sans-serif" w:hAnsi="Times New Roman;sans-serif"/>
                  <w:b w:val="false"/>
                  <w:strike w:val="false"/>
                  <w:dstrike w:val="false"/>
                  <w:color w:val="000000"/>
                  <w:sz w:val="20"/>
                  <w:u w:val="none"/>
                  <w:effect w:val="none"/>
                </w:rPr>
                <w:t>Item 8.</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64">
              <w:r>
                <w:rPr>
                  <w:rStyle w:val="InternetLink"/>
                  <w:rFonts w:ascii="Times New Roman;sans-serif" w:hAnsi="Times New Roman;sans-serif"/>
                  <w:b w:val="false"/>
                  <w:strike w:val="false"/>
                  <w:dstrike w:val="false"/>
                  <w:color w:val="000000"/>
                  <w:sz w:val="20"/>
                  <w:u w:val="none"/>
                  <w:effect w:val="non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64">
              <w:r>
                <w:rPr>
                  <w:rStyle w:val="InternetLink"/>
                  <w:rFonts w:ascii="Times New Roman;sans-serif" w:hAnsi="Times New Roman;sans-serif"/>
                  <w:b w:val="false"/>
                  <w:strike w:val="false"/>
                  <w:dstrike w:val="false"/>
                  <w:color w:val="000000"/>
                  <w:sz w:val="20"/>
                  <w:u w:val="none"/>
                  <w:effect w:val="none"/>
                </w:rPr>
                <w:t>50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51">
              <w:r>
                <w:rPr>
                  <w:rStyle w:val="InternetLink"/>
                  <w:rFonts w:ascii="Times New Roman;sans-serif" w:hAnsi="Times New Roman;sans-serif"/>
                  <w:b w:val="false"/>
                  <w:strike w:val="false"/>
                  <w:dstrike w:val="false"/>
                  <w:color w:val="000000"/>
                  <w:sz w:val="20"/>
                  <w:u w:val="none"/>
                  <w:effect w:val="none"/>
                </w:rPr>
                <w:t>Item 9.</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51">
              <w:r>
                <w:rPr>
                  <w:rStyle w:val="InternetLink"/>
                  <w:rFonts w:ascii="Times New Roman;sans-serif" w:hAnsi="Times New Roman;sans-serif"/>
                  <w:b w:val="false"/>
                  <w:strike w:val="false"/>
                  <w:dstrike w:val="false"/>
                  <w:color w:val="000000"/>
                  <w:sz w:val="20"/>
                  <w:u w:val="none"/>
                  <w:effect w:val="none"/>
                </w:rPr>
                <w:t>Changes in and Disagreements with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51">
              <w:r>
                <w:rPr>
                  <w:rStyle w:val="InternetLink"/>
                  <w:rFonts w:ascii="Times New Roman;sans-serif" w:hAnsi="Times New Roman;sans-serif"/>
                  <w:b w:val="false"/>
                  <w:strike w:val="false"/>
                  <w:dstrike w:val="false"/>
                  <w:color w:val="000000"/>
                  <w:sz w:val="20"/>
                  <w:u w:val="none"/>
                  <w:effect w:val="none"/>
                </w:rPr>
                <w:t>93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54">
              <w:r>
                <w:rPr>
                  <w:rStyle w:val="InternetLink"/>
                  <w:rFonts w:ascii="Times New Roman;sans-serif" w:hAnsi="Times New Roman;sans-serif"/>
                  <w:b w:val="false"/>
                  <w:strike w:val="false"/>
                  <w:dstrike w:val="false"/>
                  <w:color w:val="000000"/>
                  <w:sz w:val="20"/>
                  <w:u w:val="none"/>
                  <w:effect w:val="none"/>
                </w:rPr>
                <w:t>Item 9A.</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5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54">
              <w:r>
                <w:rPr>
                  <w:rStyle w:val="InternetLink"/>
                  <w:rFonts w:ascii="Times New Roman;sans-serif" w:hAnsi="Times New Roman;sans-serif"/>
                  <w:b w:val="false"/>
                  <w:strike w:val="false"/>
                  <w:dstrike w:val="false"/>
                  <w:color w:val="000000"/>
                  <w:sz w:val="20"/>
                  <w:u w:val="none"/>
                  <w:effect w:val="none"/>
                </w:rPr>
                <w:t>93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57">
              <w:r>
                <w:rPr>
                  <w:rStyle w:val="InternetLink"/>
                  <w:rFonts w:ascii="Times New Roman;sans-serif" w:hAnsi="Times New Roman;sans-serif"/>
                  <w:b w:val="false"/>
                  <w:strike w:val="false"/>
                  <w:dstrike w:val="false"/>
                  <w:color w:val="000000"/>
                  <w:sz w:val="20"/>
                  <w:u w:val="none"/>
                  <w:effect w:val="none"/>
                </w:rPr>
                <w:t>Item 9B.</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57">
              <w:r>
                <w:rPr>
                  <w:rStyle w:val="InternetLink"/>
                  <w:rFonts w:ascii="Times New Roman;sans-serif" w:hAnsi="Times New Roman;sans-serif"/>
                  <w:b w:val="false"/>
                  <w:strike w:val="false"/>
                  <w:dstrike w:val="false"/>
                  <w:color w:val="000000"/>
                  <w:sz w:val="20"/>
                  <w:u w:val="none"/>
                  <w:effect w:val="non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57">
              <w:r>
                <w:rPr>
                  <w:rStyle w:val="InternetLink"/>
                  <w:rFonts w:ascii="Times New Roman;sans-serif" w:hAnsi="Times New Roman;sans-serif"/>
                  <w:b w:val="false"/>
                  <w:strike w:val="false"/>
                  <w:dstrike w:val="false"/>
                  <w:color w:val="000000"/>
                  <w:sz w:val="20"/>
                  <w:u w:val="none"/>
                  <w:effect w:val="none"/>
                </w:rPr>
                <w:t>94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60">
              <w:r>
                <w:rPr>
                  <w:rStyle w:val="InternetLink"/>
                  <w:rFonts w:ascii="Times New Roman;sans-serif" w:hAnsi="Times New Roman;sans-serif"/>
                  <w:b w:val="false"/>
                  <w:strike w:val="false"/>
                  <w:dstrike w:val="false"/>
                  <w:color w:val="000000"/>
                  <w:sz w:val="20"/>
                  <w:u w:val="none"/>
                  <w:effect w:val="none"/>
                </w:rPr>
                <w:t>Item 9C.</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60">
              <w:r>
                <w:rPr>
                  <w:rStyle w:val="InternetLink"/>
                  <w:rFonts w:ascii="Times New Roman;sans-serif" w:hAnsi="Times New Roman;sans-serif"/>
                  <w:b w:val="false"/>
                  <w:strike w:val="false"/>
                  <w:dstrike w:val="false"/>
                  <w:color w:val="000000"/>
                  <w:sz w:val="20"/>
                  <w:u w:val="none"/>
                  <w:effect w:val="none"/>
                </w:rPr>
                <w:t>Disclosure Regarding Foreign Jurisdictions that Prevent Inspections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60">
              <w:r>
                <w:rPr>
                  <w:rStyle w:val="InternetLink"/>
                  <w:rFonts w:ascii="Times New Roman;sans-serif" w:hAnsi="Times New Roman;sans-serif"/>
                  <w:b w:val="false"/>
                  <w:strike w:val="false"/>
                  <w:dstrike w:val="false"/>
                  <w:color w:val="000000"/>
                  <w:sz w:val="20"/>
                  <w:u w:val="none"/>
                  <w:effect w:val="none"/>
                </w:rPr>
                <w:t>94</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d91c2c4fba94bfa9f95bd94c3585b6d_163">
              <w:r>
                <w:rPr>
                  <w:rStyle w:val="InternetLink"/>
                  <w:rFonts w:ascii="Times New Roman;sans-serif" w:hAnsi="Times New Roman;sans-serif"/>
                  <w:b/>
                  <w:strike w:val="false"/>
                  <w:dstrike w:val="false"/>
                  <w:color w:val="000000"/>
                  <w:sz w:val="20"/>
                  <w:u w:val="none"/>
                  <w:effect w:val="none"/>
                </w:rPr>
                <w:t>PART III</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66">
              <w:r>
                <w:rPr>
                  <w:rStyle w:val="InternetLink"/>
                  <w:rFonts w:ascii="Times New Roman;sans-serif" w:hAnsi="Times New Roman;sans-serif"/>
                  <w:b w:val="false"/>
                  <w:strike w:val="false"/>
                  <w:dstrike w:val="false"/>
                  <w:color w:val="000000"/>
                  <w:sz w:val="20"/>
                  <w:u w:val="none"/>
                  <w:effect w:val="none"/>
                </w:rPr>
                <w:t>Item 10.</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66">
              <w:r>
                <w:rPr>
                  <w:rStyle w:val="InternetLink"/>
                  <w:rFonts w:ascii="Times New Roman;sans-serif" w:hAnsi="Times New Roman;sans-serif"/>
                  <w:b w:val="false"/>
                  <w:strike w:val="false"/>
                  <w:dstrike w:val="false"/>
                  <w:color w:val="000000"/>
                  <w:sz w:val="20"/>
                  <w:u w:val="none"/>
                  <w:effect w:val="non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66">
              <w:r>
                <w:rPr>
                  <w:rStyle w:val="InternetLink"/>
                  <w:rFonts w:ascii="Times New Roman;sans-serif" w:hAnsi="Times New Roman;sans-serif"/>
                  <w:b w:val="false"/>
                  <w:strike w:val="false"/>
                  <w:dstrike w:val="false"/>
                  <w:color w:val="000000"/>
                  <w:sz w:val="20"/>
                  <w:u w:val="none"/>
                  <w:effect w:val="none"/>
                </w:rPr>
                <w:t>94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69">
              <w:r>
                <w:rPr>
                  <w:rStyle w:val="InternetLink"/>
                  <w:rFonts w:ascii="Times New Roman;sans-serif" w:hAnsi="Times New Roman;sans-serif"/>
                  <w:b w:val="false"/>
                  <w:strike w:val="false"/>
                  <w:dstrike w:val="false"/>
                  <w:color w:val="000000"/>
                  <w:sz w:val="20"/>
                  <w:u w:val="none"/>
                  <w:effect w:val="none"/>
                </w:rPr>
                <w:t>Item 11.</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69">
              <w:r>
                <w:rPr>
                  <w:rStyle w:val="InternetLink"/>
                  <w:rFonts w:ascii="Times New Roman;sans-serif" w:hAnsi="Times New Roman;sans-serif"/>
                  <w:b w:val="false"/>
                  <w:strike w:val="false"/>
                  <w:dstrike w:val="false"/>
                  <w:color w:val="000000"/>
                  <w:sz w:val="20"/>
                  <w:u w:val="none"/>
                  <w:effect w:val="non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69">
              <w:r>
                <w:rPr>
                  <w:rStyle w:val="InternetLink"/>
                  <w:rFonts w:ascii="Times New Roman;sans-serif" w:hAnsi="Times New Roman;sans-serif"/>
                  <w:b w:val="false"/>
                  <w:strike w:val="false"/>
                  <w:dstrike w:val="false"/>
                  <w:color w:val="000000"/>
                  <w:sz w:val="20"/>
                  <w:u w:val="none"/>
                  <w:effect w:val="none"/>
                </w:rPr>
                <w:t>94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72">
              <w:r>
                <w:rPr>
                  <w:rStyle w:val="InternetLink"/>
                  <w:rFonts w:ascii="Times New Roman;sans-serif" w:hAnsi="Times New Roman;sans-serif"/>
                  <w:b w:val="false"/>
                  <w:strike w:val="false"/>
                  <w:dstrike w:val="false"/>
                  <w:color w:val="000000"/>
                  <w:sz w:val="20"/>
                  <w:u w:val="none"/>
                  <w:effect w:val="none"/>
                </w:rPr>
                <w:t>Item 12.</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d91c2c4fba94bfa9f95bd94c3585b6d_172">
              <w:r>
                <w:rPr>
                  <w:rStyle w:val="InternetLink"/>
                  <w:rFonts w:ascii="Times New Roman;sans-serif" w:hAnsi="Times New Roman;sans-serif"/>
                  <w:b w:val="false"/>
                  <w:strike w:val="false"/>
                  <w:dstrike w:val="false"/>
                  <w:color w:val="000000"/>
                  <w:sz w:val="20"/>
                  <w:u w:val="none"/>
                  <w:effect w:val="non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72">
              <w:r>
                <w:rPr>
                  <w:rStyle w:val="InternetLink"/>
                  <w:rFonts w:ascii="Times New Roman;sans-serif" w:hAnsi="Times New Roman;sans-serif"/>
                  <w:b w:val="false"/>
                  <w:strike w:val="false"/>
                  <w:dstrike w:val="false"/>
                  <w:color w:val="000000"/>
                  <w:sz w:val="20"/>
                  <w:u w:val="none"/>
                  <w:effect w:val="none"/>
                </w:rPr>
                <w:t>94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75">
              <w:r>
                <w:rPr>
                  <w:rStyle w:val="InternetLink"/>
                  <w:rFonts w:ascii="Times New Roman;sans-serif" w:hAnsi="Times New Roman;sans-serif"/>
                  <w:b w:val="false"/>
                  <w:strike w:val="false"/>
                  <w:dstrike w:val="false"/>
                  <w:color w:val="000000"/>
                  <w:sz w:val="20"/>
                  <w:u w:val="none"/>
                  <w:effect w:val="none"/>
                </w:rPr>
                <w:t>Item 13.</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75">
              <w:r>
                <w:rPr>
                  <w:rStyle w:val="InternetLink"/>
                  <w:rFonts w:ascii="Times New Roman;sans-serif" w:hAnsi="Times New Roman;sans-serif"/>
                  <w:b w:val="false"/>
                  <w:strike w:val="false"/>
                  <w:dstrike w:val="false"/>
                  <w:color w:val="000000"/>
                  <w:sz w:val="20"/>
                  <w:u w:val="none"/>
                  <w:effect w:val="non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75">
              <w:r>
                <w:rPr>
                  <w:rStyle w:val="InternetLink"/>
                  <w:rFonts w:ascii="Times New Roman;sans-serif" w:hAnsi="Times New Roman;sans-serif"/>
                  <w:b w:val="false"/>
                  <w:strike w:val="false"/>
                  <w:dstrike w:val="false"/>
                  <w:color w:val="000000"/>
                  <w:sz w:val="20"/>
                  <w:u w:val="none"/>
                  <w:effect w:val="none"/>
                </w:rPr>
                <w:t>95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78">
              <w:r>
                <w:rPr>
                  <w:rStyle w:val="InternetLink"/>
                  <w:rFonts w:ascii="Times New Roman;sans-serif" w:hAnsi="Times New Roman;sans-serif"/>
                  <w:b w:val="false"/>
                  <w:strike w:val="false"/>
                  <w:dstrike w:val="false"/>
                  <w:color w:val="000000"/>
                  <w:sz w:val="20"/>
                  <w:u w:val="none"/>
                  <w:effect w:val="none"/>
                </w:rPr>
                <w:t>Item 14.</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78">
              <w:r>
                <w:rPr>
                  <w:rStyle w:val="InternetLink"/>
                  <w:rFonts w:ascii="Times New Roman;sans-serif" w:hAnsi="Times New Roman;sans-serif"/>
                  <w:b w:val="false"/>
                  <w:strike w:val="false"/>
                  <w:dstrike w:val="false"/>
                  <w:color w:val="000000"/>
                  <w:sz w:val="20"/>
                  <w:u w:val="none"/>
                  <w:effect w:val="none"/>
                </w:rPr>
                <w:t>Principal Accountant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78">
              <w:r>
                <w:rPr>
                  <w:rStyle w:val="InternetLink"/>
                  <w:rFonts w:ascii="Times New Roman;sans-serif" w:hAnsi="Times New Roman;sans-serif"/>
                  <w:b w:val="false"/>
                  <w:strike w:val="false"/>
                  <w:dstrike w:val="false"/>
                  <w:color w:val="000000"/>
                  <w:sz w:val="20"/>
                  <w:u w:val="none"/>
                  <w:effect w:val="none"/>
                </w:rPr>
                <w:t>95</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d91c2c4fba94bfa9f95bd94c3585b6d_181">
              <w:r>
                <w:rPr>
                  <w:rStyle w:val="InternetLink"/>
                  <w:rFonts w:ascii="Times New Roman;sans-serif" w:hAnsi="Times New Roman;sans-serif"/>
                  <w:b/>
                  <w:strike w:val="false"/>
                  <w:dstrike w:val="false"/>
                  <w:color w:val="000000"/>
                  <w:sz w:val="20"/>
                  <w:u w:val="none"/>
                  <w:effect w:val="none"/>
                </w:rPr>
                <w:t>PART IV</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84">
              <w:r>
                <w:rPr>
                  <w:rStyle w:val="InternetLink"/>
                  <w:rFonts w:ascii="Times New Roman;sans-serif" w:hAnsi="Times New Roman;sans-serif"/>
                  <w:b w:val="false"/>
                  <w:strike w:val="false"/>
                  <w:dstrike w:val="false"/>
                  <w:color w:val="000000"/>
                  <w:sz w:val="20"/>
                  <w:u w:val="none"/>
                  <w:effect w:val="none"/>
                </w:rPr>
                <w:t>Item 15.</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84">
              <w:r>
                <w:rPr>
                  <w:rStyle w:val="InternetLink"/>
                  <w:rFonts w:ascii="Times New Roman;sans-serif" w:hAnsi="Times New Roman;sans-serif"/>
                  <w:b w:val="false"/>
                  <w:strike w:val="false"/>
                  <w:dstrike w:val="false"/>
                  <w:color w:val="000000"/>
                  <w:sz w:val="20"/>
                  <w:u w:val="none"/>
                  <w:effect w:val="none"/>
                </w:rPr>
                <w:t>Exhibits and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84">
              <w:r>
                <w:rPr>
                  <w:rStyle w:val="InternetLink"/>
                  <w:rFonts w:ascii="Times New Roman;sans-serif" w:hAnsi="Times New Roman;sans-serif"/>
                  <w:b w:val="false"/>
                  <w:strike w:val="false"/>
                  <w:dstrike w:val="false"/>
                  <w:color w:val="000000"/>
                  <w:sz w:val="20"/>
                  <w:u w:val="none"/>
                  <w:effect w:val="none"/>
                </w:rPr>
                <w:t>96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87">
              <w:r>
                <w:rPr>
                  <w:rStyle w:val="InternetLink"/>
                  <w:rFonts w:ascii="Times New Roman;sans-serif" w:hAnsi="Times New Roman;sans-serif"/>
                  <w:b w:val="false"/>
                  <w:strike w:val="false"/>
                  <w:dstrike w:val="false"/>
                  <w:color w:val="000000"/>
                  <w:sz w:val="20"/>
                  <w:u w:val="none"/>
                  <w:effect w:val="none"/>
                </w:rPr>
                <w:t>Item 16.</w:t>
              </w:r>
            </w:hyperlink>
          </w:p>
        </w:tc>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87">
              <w:r>
                <w:rPr>
                  <w:rStyle w:val="InternetLink"/>
                  <w:rFonts w:ascii="Times New Roman;sans-serif" w:hAnsi="Times New Roman;sans-serif"/>
                  <w:b w:val="false"/>
                  <w:strike w:val="false"/>
                  <w:dstrike w:val="false"/>
                  <w:color w:val="000000"/>
                  <w:sz w:val="20"/>
                  <w:u w:val="none"/>
                  <w:effect w:val="none"/>
                </w:rPr>
                <w:t>Form 10-K Summary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87">
              <w:r>
                <w:rPr>
                  <w:rStyle w:val="InternetLink"/>
                  <w:rFonts w:ascii="Times New Roman;sans-serif" w:hAnsi="Times New Roman;sans-serif"/>
                  <w:b w:val="false"/>
                  <w:strike w:val="false"/>
                  <w:dstrike w:val="false"/>
                  <w:color w:val="000000"/>
                  <w:sz w:val="20"/>
                  <w:u w:val="none"/>
                  <w:effect w:val="none"/>
                </w:rPr>
                <w:t>99</w:t>
              </w:r>
            </w:hyperlink>
          </w:p>
        </w:tc>
      </w:tr>
    </w:tbl>
    <w:p>
      <w:pPr>
        <w:pStyle w:val="TextBody"/>
        <w:bidi w:val="0"/>
        <w:spacing w:before="0" w:after="0"/>
        <w:jc w:val="both"/>
        <w:rPr/>
      </w:pPr>
      <w:r>
        <w:rPr/>
      </w:r>
    </w:p>
    <w:p>
      <w:pPr>
        <w:pStyle w:val="TextBody"/>
        <w:bidi w:val="0"/>
        <w:spacing w:lineRule="auto" w:line="288" w:before="0" w:after="180"/>
        <w:ind w:left="0" w:right="0" w:hanging="1080"/>
        <w:jc w:val="left"/>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lineRule="auto" w:line="288" w:before="0" w:after="0"/>
        <w:jc w:val="both"/>
        <w:rPr/>
      </w:pPr>
      <w:r>
        <w:rPr>
          <w:rFonts w:ascii="Times New Roman;sans-serif" w:hAnsi="Times New Roman;sans-serif"/>
          <w:b w:val="false"/>
          <w:color w:val="000000"/>
          <w:sz w:val="20"/>
        </w:rPr>
        <w:t>All references to “Amkor,” “we,” “us,” “our” or the “Company” in this Annual Report on Form 10-K (this “Form 10-K”) are to Amkor Technology, Inc. and its subsidiaries. We refer to the Republic of Korea, which is also commonly known as South Korea, as “Korea.” Amounts preceded by ¥ are in Japanese yen and ₩ are in Korean won. Amkor</w:t>
      </w:r>
      <w:r>
        <w:rPr>
          <w:rFonts w:ascii="Times New Roman;sans-serif" w:hAnsi="Times New Roman;sans-serif"/>
          <w:b/>
          <w:color w:val="000000"/>
          <w:sz w:val="13"/>
        </w:rPr>
        <w:t>®</w:t>
      </w:r>
      <w:r>
        <w:rPr>
          <w:rFonts w:ascii="Times New Roman;sans-serif" w:hAnsi="Times New Roman;sans-serif"/>
          <w:b w:val="false"/>
          <w:color w:val="000000"/>
          <w:sz w:val="20"/>
        </w:rPr>
        <w:t>, Amkor Technology</w:t>
      </w:r>
      <w:r>
        <w:rPr>
          <w:rFonts w:ascii="Times New Roman;sans-serif" w:hAnsi="Times New Roman;sans-serif"/>
          <w:b/>
          <w:color w:val="000000"/>
          <w:sz w:val="13"/>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Micro</w:t>
      </w:r>
      <w:r>
        <w:rPr>
          <w:rFonts w:ascii="Times New Roman;sans-serif" w:hAnsi="Times New Roman;sans-serif"/>
          <w:b w:val="false"/>
          <w:color w:val="000000"/>
          <w:sz w:val="20"/>
        </w:rPr>
        <w:t>LeadFrame</w:t>
      </w:r>
      <w:r>
        <w:rPr>
          <w:rFonts w:ascii="Times New Roman;sans-serif" w:hAnsi="Times New Roman;sans-serif"/>
          <w:b/>
          <w:color w:val="000000"/>
          <w:sz w:val="13"/>
        </w:rPr>
        <w:t>®</w:t>
      </w:r>
      <w:r>
        <w:rPr>
          <w:rFonts w:ascii="Times New Roman;sans-serif" w:hAnsi="Times New Roman;sans-serif"/>
          <w:b w:val="false"/>
          <w:color w:val="000000"/>
          <w:sz w:val="20"/>
        </w:rPr>
        <w:t>, and SWIFT</w:t>
      </w:r>
      <w:r>
        <w:rPr>
          <w:rFonts w:ascii="Times New Roman;sans-serif" w:hAnsi="Times New Roman;sans-serif"/>
          <w:b/>
          <w:color w:val="000000"/>
          <w:sz w:val="13"/>
        </w:rPr>
        <w:t>®</w:t>
      </w:r>
      <w:r>
        <w:rPr>
          <w:rFonts w:ascii="Times New Roman;sans-serif" w:hAnsi="Times New Roman;sans-serif"/>
          <w:b w:val="false"/>
          <w:color w:val="000000"/>
          <w:sz w:val="20"/>
        </w:rPr>
        <w:t>, among others, are trademarks of Amkor Technology, Inc. All other trademarks appearing herein are held by their respective owners. Subsequent use of the above trademarks in this Form 10-K may occur without the respective superscript symbol (</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13"/>
        </w:rPr>
        <w:t>TM</w:t>
      </w:r>
      <w:r>
        <w:rPr>
          <w:rFonts w:ascii="Times New Roman;sans-serif" w:hAnsi="Times New Roman;sans-serif"/>
          <w:b w:val="false"/>
          <w:color w:val="000000"/>
          <w:sz w:val="20"/>
        </w:rPr>
        <w:t>) in order to facilitate the readability of this Form 10-K and are not a waiver of any rights that may be associated with the relevant trademarks.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contains forward-looking statements within the meaning of the federal securities laws, including, but not limited to, statements regarding (1) the amount, timing and focus of our expected capital investments in 2024, (2) our ability to fund our operating activities and financial requirements for the next twelve months, (3) the effect of changes in revenue levels and capacity utilization on our gross margin, (4) the impact of health conditions or pandemics, such as the Covid-19 pandemic,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in Bac Ninh, Vietnam (the “Vietnam Facility”), (22) the effects of business, economic, political, legal and regulatory impacts, conflicts or natural disasters on our global operations, (23) the impact of rising interest rates on our investment portfolio and (24)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10-K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 Item 1A and other sections of this Form 10-K and from time to time in our other reports filed with or furnished to the Securities and Exchange Commission (“SEC”). You should carefully consider the trends, risks and uncertainties described in this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10-K except as may be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080"/>
        <w:jc w:val="left"/>
        <w:rPr/>
      </w:pPr>
      <w:r>
        <w:rPr>
          <w:rFonts w:ascii="Times New Roman;sans-serif" w:hAnsi="Times New Roman;sans-serif"/>
          <w:b/>
          <w:color w:val="000000"/>
          <w:sz w:val="20"/>
        </w:rPr>
        <w:t>Item 1.</w:t>
      </w:r>
      <w:r>
        <w:rPr>
          <w:rFonts w:ascii="Times New Roman;sans-serif" w:hAnsi="Times New Roman;sans-serif"/>
          <w:b/>
          <w:i/>
          <w:color w:val="000000"/>
          <w:sz w:val="20"/>
        </w:rPr>
        <w:t>Business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Amkor is one of the world’s leading providers of outsourced semiconductor packaging and test services. Amkor was a pioneer in the outsourcing of semiconductor packaging and test services, and over the years we have built a leading position by:</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Designing and developing innovative packaging and test technologies focused on advanced packaging solutions in high growth markets, including artificial intelligence;</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Building expertise in high-volume manufacturing processes and developing a reputation for high quality and solid execution;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Cultivating long-standing relationships with our customers, which include many of the world’s leading semiconductor companies;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Collaborating with customers, foundries, original equipment manufacturers (“OEMs”) and equipment and material suppliers;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Focusing on strategic end markets that offer solid growth potential;</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Providing a geographically diverse operating base with manufacturing facilities in multiple countries across Asia and in Europe; and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Developing a competitive cost structure through disciplined capital investment.</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packaging and test services are designed to meet application and chip-specific requirements, including: the required type of interconnect technology; size; thickness; and electrical, mechanical and thermal performance. We provide turnkey packaging and test services including semiconductor wafer bump, wafer probe, wafer back-grind, package design, packaging, system-level and final test and drop shipment services. Our customers use us for one or more of these services.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services to integrated device manufacturers (“IDMs”), “fabless” semiconductor companies, OEMs and contract foundries. IDMs generally design, manufacture, package and test semiconductors in their own facilities. However, the availability of technologically advanced outsourced manufacturing services has encouraged IDMs to outsource a portion of their manufacturing. By offering a broad package portfolio, Amkor allows IDMs to outsource packaging and test services and focus their investments on core competencies such as silicon fabrication. Fabless semiconductor companies do not have factories. They focus exclusively on semiconductor design and outsource virtually every step of the manufacturing process, utilizing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INDUSTRY BACKGROUND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Semiconductor devices are essential building blocks used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Adoption of artificial intelligence applications within data centers and edge devices such as smartphones, autonomous vehicles and consumer and industrial devices.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Growing demand for mobile and connected devices, including the worldwide adoption of smartphones, tablets and other Internet-of-Things (“IoT”) devices that can access the internet and provide multimedia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An increase in the semiconductor content within electronic products to provide greater functionality and higher levels of performance.</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The expansion of 5G infrastructure and 5G enabled devices.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The proliferation of semiconductor devices into well-established end products such as automotive systems for automation and driver assist, electrification and infotainment systems.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An increase in mobility and connectivity capabilities, driving demand for new broadband wired and wireless networking equipment.</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Digitalization, driving expansion of data generation and storage.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The adoption of heterogeneous integration (diverse dies positioned close to each other within the same package) to reduce cost, improve yields and deliver required performance in data center computing, artificial intelligence and similar end uses.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The growth of advanced system-in-package (“SiP”) modules (combining multiple semiconductor and other electronic components in a single package) to meet the demand for miniaturization and higher functionality at competitive cost.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The increase in digital format in our environment, from sensors for automobiles (e.g., pressure, radar, LiDAR and image recognition), mobile devices (e.g., 3D motion, temperature, acceleration and imaging), and IoT (e.g., in-home sensing from temperature to weather and wearables).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supplier in the semiconductor industry, our business is cyclical and impacted by broad economic factors, such as worldwide gross domestic product and consumer spending. With the exception of 2020, when the Covid-19 pandemic caused worldwide gross domestic product levels to decline during a period of strong growth in the semiconductor industry, there has generally been a strong correlation between worldwide gross domestic product levels, consumer spending and semiconductor industry cycles. We believe that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Outsourcing Trends in Semiconductor Manufacturing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Semiconductor companies outsource their packaging and test needs to service providers such as Amkor for the following reasons: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Packaging and test service providers have developed expertise in advanced technologies.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increasing demands for miniaturization, greater functionality, lower power consumption and improved thermal and electrical performance are driving the continuous development of semiconductor packaging and test technologies that are more sophisticated, complex, capital intensive and customized. This trend has led many semiconductor companies and OEMs to view packaging and test as enabling technologies requiring the technological innovation expertise found in the leading outsourced assembly and test companies. At the same time, these companies are often looking to reduce their internal manufacturing and research and development costs for packaging and test solutions. As a result, many of these companies are increasingly relying on packaging and test service providers as key sources for new package designs and advanced interconnect technologies.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Packaging and test service providers can facilitate a more efficient supply chain and help shorten time-to-market for new products.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semiconductor companies, together with their customers, are seeking to shorten the time-to-market for new products and that an efficient supply chain is a critical factor in facilitating timely and successful product introductions. Packaging and test service providers have the resources and expertise to timely develop and implement new packaging technology in high volume. For this reason, semiconductor companies and OEMs are leveraging the capabilities of outsourced packaging and test service providers to bring new high quality products to market more quickly.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High quality packaging and test service providers enable semiconductor manufacturers to focus their resources on semiconductor design and wafer fabrication.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semiconductor process technology migrates to larger wafers and smaller feature sizes, the cost of building a state-of-the-art wafer fabrication factory has risen significantly.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 companies are increasing their reliance on outsourced providers of semiconductor manufacturing services, including high quality packaging and test solutions.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Packaging and test service providers offer a cost-effective solution in a cyclical, capital intensive industry.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capital. As a result of this cyclicality and the large investments required, manufacturing facilities must operate at consistently high levels of utilization to be cost-effective. Shorter product life cycles, coupled with the need to update or replace packaging and test equipment to accommodate new package types, make it more difficult for IDMs to maintain cost-effective utilization of their packaging and test assets throughout semiconductor industry cycles. Packaging and test service providers, on the other hand, can typically use their assets to support a broad range of customers and multiple end markets, potentially generating more efficient use of their production assets and a more cost-effective solution.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STRATEGY AND COMPETITIVE STRENGTHS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Amkor is a leader in advanced packaging technology in the outsourced assembly and test market. Growth in the semiconductor industry is being driven primarily by advanced packaging within the industry secular growth markets of 5G, automotive, high-performance computing (“HPC”) and IoT. We believe Amkor is well positioned in each of these end markets.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Within our communications end market, we have a strong position across multiple device functionalities within premium and high tier smartphones. We are collaborating with industry leaders as smartphones transition to 5G and drive semiconductor growth through the adoption of new wireless standards, integration of a broad range of applications, enhanced features, and higher performance requirements to support increased data processing. The trend to greater functionality drives miniaturization and cost reduction enabled by advanced packaging.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Increasing semiconductor content in automobiles is driving increased demand for advanced packaging to enable the proliferation of safety features such as advanced driver assistance systems (“ADAS”) and radar and digital cockpit features such as infotainment displays and telematics. Increasing battery voltage, higher voltage power converters, onboard chargers, automotive inverter components and microcontrollers also require innovative power packaging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Increased data traffic requiring higher networking speed and storage, as well as computing power increases in HPC, artificial intelligence, data centers, cloud computing, PCs and laptops, are driving demand for more semiconductors and advanced packaging in the computing end market.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IoT wearables within our consumer end market are evolving in multiple applications, such as hearables, watches, health trackers and augmented reality and virtual reality devices. Integration of multiple functions into small form factors, such as processors, sensors and connectivity devices, depends on innovation in advanced packaging.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financial objective is profitable sales growth. We believe that we will continue to achieve that goal and create long-term shareholder value by building on our strength in advanced packaging and executing on the following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6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Leverage Our Leadership in Services for Advanced Technologies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industry leader in developing and commercializing advanced packaging and test technologies, which we believe provide substantial value to our customers.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approximately 950 employees, as of December 31, 2023, engaged in research and development for new semiconductor packaging and test technologies, we are a technology leader in areas such as 2.5D, advanced flip chip, fine pitch bumping, wafer-level processing, advanced SiPs and power modules.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work closely with our customers to develop cost-effective leading-edge packages for the next generation of devices. These include integrated technologies such as advanced SiP, wafer-level fan-out (“WLFO”), Silicon Wafer Integrated Fan-out Technology (“SWIFT”), High Density Fan-Out (“HDFO”) and redistribution layer (“RDL”) solutions which enable very thin, very small products that combine application processors, memory, baseband and other peripheral integrated circuits (“ICs”). Our advanced packages may utilize Through Silicon Via (“TSV”) interconnects and silicon interposers, which enable the integration of high-performance chips such as high bandwidth memory and graphics processors into a single package, such as 2.5D. In addition, we co-develop with customers high power modules incorporating gallium nitride (“GaN”) and silicon carbide (“SiC”) based devices. Our approach is to work with lead customers to develop processes that will enable volume manufacturing with high yields and reliability.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demand for advanced packaging services will continue to grow as our customers and leading electronics OEMs strive for smaller device geometries, higher levels of integration and performance and lower power consumption. We intend to continue to leverage our investment in advanced technology to meet the demand for these services in high growth markets.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Optimize Utilization of Existing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Another key to our success is to optimize the utilization of our existing assets. The transition by leading edge customers to newer packaging and test equipment platforms typically frees up capacity in existing, previously installed equipment. As part of our strategy, we are focused on developing a second wave of customers to utilize these assets more effectively over a longer period of time. We are building and utilizing manufacturing lines which support multiple customers and increase factory utilization through more sophisticated planning processes and more intensive efficiency improvement activities.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Selectively Grow Our Scale and Scope through Strategic Investments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identify attractive opportunities to strengthen our leadership position and market share through expansion of our operations, joint ventures, acquisitions and other strategic investments. For example, in 2023, we completed construction of the Vietnam Facility, where we will manufacture advanced SiP modules and other packaging solutions. We believe that the Vietnam facility will provide customers with a cost-competitive high-volume manufacturing location that offers supply chain diversification. In addition, our broad geographic footprint, including our manufacturing presence in Portugal and our headquarters in the United States, are key differentiators for us and position us to participate in initiatives to regionalize supply chains. We are making preparations to participate in developing the U.S. semiconductor supply chain and are planning to build an advanced packaging and test facility in Arizona. We believe that selective growth through these strategic actions can further strengthen customer relationships, help to maintain and enhance our technological leadership, diversify our revenue streams and improve our profits.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Competitive Strengths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outsourced semiconductor packaging and test market is very competitive. We also compete with the internal semiconductor packaging and test capabilities of many of our customers and foundries. We believe we are well-positioned in the outsourced packaging and test services market. The following competitive strengths support our strategy to build upon our industry position and remain a preferred provider of semiconductor packaging and test services.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Advanced Packaging Technology Leadership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leader in developing and deploying advanced semiconductor packaging and test solutions. We have designed and developed several state-of-the-art package formats and technologies such as Double-Sided, Molded Ball Grid Array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(“DSMBGA”) SiP and 2.5D. 2.5D technology utilizes high density silicon interposers to enable the integration of high-performance chips, such as high bandwidth memory and graphics processors, into a single package. In addition, we believe that as semiconductor technology continues to achieve smaller device geometries with higher levels of integration, speed and performance, packages will increasingly require wafer-level Chip Scale Packaging (“CSP”), WLFO, SWIFT and flip chip interconnect solutions, advanced SiP products and medium and higher power density packages and modules.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advancing our key processes and packages, as well as developing innovative test solutions, required for our customers to deliver advanced integrated and modular solutions to their respective markets. We are also committed to environmental responsibility by creating more sustainable IC packaging. This involves minimizing the use of harmful materials like lead and optimizing energy and water usage.</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Broad Offering of Semiconductor Package Design, Packaging and Test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Creating successful interconnect solutions for advanced semiconductor devices often poses unique thermal, electrical and mechanical design challenges, and we employ a large number of engineers to solve these challenges. This wide variety of packaging offerings is necessary to meet the diverse needs of our customers for the optimal combination of performance, size and cost. Utilizing Amkor for its innovative packaging, test and design services enables our customers to focus their resources on semiconductor design and wafer fabrication.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an extensive line of advanced probe and final test services for analog, digital, logic, mixed signal, memory, sensors and radio frequency-semiconductor devices. We believe that the breadth of our design, packaging and test services is important to customers seeking to limit the number of their suppliers.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Geographically Diversified Manufacturing Base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 broad and geographically diverse manufacturing footprint strategically located in eight of the world’s important electronics manufacturing regions. We believe that our scale and scope allow us to provide a flexible supply chain and cost-effective solutions to our customers by:</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color w:val="000000"/>
          <w:sz w:val="20"/>
        </w:rPr>
        <w:t>Being located in key regions where customers are actively seeking to develop localized supply chains;</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color w:val="000000"/>
          <w:sz w:val="20"/>
        </w:rPr>
        <w:t>Qualifying production of customer devices at multiple manufacturing sites with geographical diversity to mitigate the risks of supply disruptions;</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color w:val="000000"/>
          <w:sz w:val="20"/>
        </w:rPr>
        <w:t>Providing capabilities and solutions for customer-specific requirements;</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color w:val="000000"/>
          <w:sz w:val="20"/>
        </w:rPr>
        <w:t>Offering capacity to absorb large orders and accommodate quick turn-around times; and</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color w:val="000000"/>
          <w:sz w:val="20"/>
        </w:rPr>
        <w:t>Obtaining favorable pricing and supply agreements on materials and equipment by using our purchasing power and leading industry position.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Long-Standing Relationships and Collaboration with Prominent Semiconductor Companies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include most of the world’s largest semiconductor companies, and over the last five decades we have developed long-standing relationships with many of these companies. We believe that our production excellence, including high quality, reliability and predictability, has been a key factor in our success in attracting and retaining customers. We work with our customers and our suppliers to develop proprietary process technologies to enhance our existing capabilities, reduce time-to-market, improve quality and lower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focus on research and product development will enable us to enter new markets early, capture market share and promote the adoption of our new package formats as industry standards. We collaborate with customers and leading OEMs to develop comprehensive packaging solutions that make it easier for next-generation semiconductors to be designed into next-generation end products. By collaborating with leading semiconductor companies, foundries and OEM electronics companies, we are able to focus resources on developing new packages that will meet the requirements of new products. The traditional delineation between front-end semiconductor manufacturing and packaging is starting to converge. Foundries, and in some cases IDMs, are integrating some packaging activities closer to front-end wafer processes. We work closely with foundry partners to complement these offerings by offering similar wafer-based technologies as well as downstream processing.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PACKAGING AND TEST SERVICES</w:t>
      </w:r>
    </w:p>
    <w:p>
      <w:pPr>
        <w:pStyle w:val="TextBody"/>
        <w:bidi w:val="0"/>
        <w:spacing w:lineRule="auto" w:line="276" w:before="0" w:after="180"/>
        <w:jc w:val="both"/>
        <w:rPr/>
      </w:pPr>
      <w:r>
        <w:rPr>
          <w:rFonts w:ascii="Times New Roman;sans-serif" w:hAnsi="Times New Roman;sans-serif"/>
          <w:b w:val="false"/>
          <w:color w:val="000000"/>
          <w:sz w:val="20"/>
        </w:rPr>
        <w:t>In general, the semiconductor manufacturing process consists of IC design, wafer fabrication, wafer probe, packaging and final test.</w:t>
      </w:r>
      <w:r>
        <w:rPr>
          <w:color w:val="000000"/>
        </w:rPr>
        <w:t xml:space="preserve"> </w:t>
      </w:r>
      <w:r>
        <w:rPr>
          <w:rFonts w:ascii="Times New Roman;sans-serif" w:hAnsi="Times New Roman;sans-serif"/>
          <w:b w:val="false"/>
          <w:color w:val="000000"/>
          <w:sz w:val="20"/>
        </w:rPr>
        <w:t>The packaging and test services we provide occur subsequent to wafer fabrication, and the wafers that we receive from our customers are generally consigned to us.</w:t>
      </w:r>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Advanced Products and Mainstream Products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broad range of advanced and mainstream packaging and test services to our customers. We refer to our flip chip, wafer-level processing and related test services as “Advanced Products” and to our wirebond packaging, power device packaging and related test services as “Mainstream Products.” The following table sets forth, for the periods indicated, net sales for Advanced Products and Mainstream Products and the percentage of total net sales for each service offering.</w:t>
      </w:r>
    </w:p>
    <w:tbl>
      <w:tblPr>
        <w:tblW w:w="8979" w:type="dxa"/>
        <w:jc w:val="left"/>
        <w:tblInd w:w="0" w:type="dxa"/>
        <w:tblLayout w:type="fixed"/>
        <w:tblCellMar>
          <w:top w:w="28" w:type="dxa"/>
          <w:left w:w="28" w:type="dxa"/>
          <w:bottom w:w="28" w:type="dxa"/>
          <w:right w:w="28" w:type="dxa"/>
        </w:tblCellMar>
      </w:tblPr>
      <w:tblGrid>
        <w:gridCol w:w="662"/>
        <w:gridCol w:w="582"/>
        <w:gridCol w:w="586"/>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31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percentage of net sales)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Mainstream Products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Advanced Products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Advanced Products include flip chip chip scale packages (“FC CSP”), wafer-level packages and flip chip ball grid array (“FCBGA”) packages. These package families use flip chip interconnect technology so that the die can be connected to a substrate package carrier or, in the case of wafer-level chip scale packages, directly to a printed circuit board.</w:t>
      </w:r>
    </w:p>
    <w:p>
      <w:pPr>
        <w:pStyle w:val="TextBody"/>
        <w:bidi w:val="0"/>
        <w:spacing w:lineRule="auto" w:line="288" w:before="0" w:after="180"/>
        <w:jc w:val="both"/>
        <w:rPr/>
      </w:pPr>
      <w:r>
        <w:rPr>
          <w:rFonts w:ascii="Times New Roman;sans-serif" w:hAnsi="Times New Roman;sans-serif"/>
          <w:b w:val="false"/>
          <w:i/>
          <w:color w:val="000000"/>
          <w:sz w:val="20"/>
        </w:rPr>
        <w:t>FC CSP Products</w:t>
      </w:r>
      <w:r>
        <w:rPr>
          <w:rFonts w:ascii="Times New Roman;sans-serif" w:hAnsi="Times New Roman;sans-serif"/>
          <w:b w:val="false"/>
          <w:color w:val="000000"/>
          <w:sz w:val="20"/>
        </w:rPr>
        <w:t>: FC CSP packages are small form factor packages where the substrate size is not much larger than the die itself. FC CSP can be a single die or multi die format. The size advantage provided by CSP technologies has made FC CSP an attractive choice for a wide variety of applications that require very small form factors, such as smartphones, tablets and other mobile consumer electronic devices.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Flip chip stacked chip scale packages (“FC SCSP”) stack a second die on top of the original flip-chip die. The top die is typically a memory device, and wirebond interconnects are used to attach the top die to the substrate. FC SCSP is frequently used to stack memory on top of digital baseband and applications processors for use in mobile devices.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drive thinner package solutions for our Package on Package (“PoP”) technology through the development of ultra-thin substrates and enhancing our pre-stacking and thin die handling capabilities.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developed fine pitch copper pillar flip chip interconnect technology, which creates interconnections at finer pitches using a plating process to reduce the number of substrate layers to facilitate very thin packages. This innovative solution is also an enabling technology for package stacking with TSVs.</w:t>
      </w:r>
    </w:p>
    <w:p>
      <w:pPr>
        <w:pStyle w:val="TextBody"/>
        <w:bidi w:val="0"/>
        <w:spacing w:lineRule="auto" w:line="288" w:before="0" w:after="180"/>
        <w:jc w:val="both"/>
        <w:rPr/>
      </w:pPr>
      <w:r>
        <w:rPr>
          <w:rFonts w:ascii="Times New Roman;sans-serif" w:hAnsi="Times New Roman;sans-serif"/>
          <w:b w:val="false"/>
          <w:i/>
          <w:color w:val="000000"/>
          <w:sz w:val="20"/>
        </w:rPr>
        <w:t>FCBGA Products</w:t>
      </w:r>
      <w:r>
        <w:rPr>
          <w:rFonts w:ascii="Times New Roman;sans-serif" w:hAnsi="Times New Roman;sans-serif"/>
          <w:b w:val="false"/>
          <w:color w:val="000000"/>
          <w:sz w:val="20"/>
        </w:rPr>
        <w:t>: FCBGA packages are large form factor substrate-based packages which are used where processing power and speed are a higher priority than a small form factor. Our FCBGA packages are assembled using state-of-the-art substrates. Utilizing multiple high density routing layers, laser drilled vias, and ultra-fine line and space metallization, FCBGA substrates have the highest routing density available. The variety of FCBGA package options, from large single die to multi-chip packages with memory, allows package selection to be tailored to the specific thermal needs of the end product. We offer FCBGA packaging in a variety of product formats to fit a wide range of end application requirements, including networking, storage, computing, automotive and consumer applications.</w:t>
      </w:r>
    </w:p>
    <w:p>
      <w:pPr>
        <w:pStyle w:val="TextBody"/>
        <w:bidi w:val="0"/>
        <w:spacing w:lineRule="auto" w:line="288" w:before="0" w:after="180"/>
        <w:jc w:val="both"/>
        <w:rPr/>
      </w:pPr>
      <w:r>
        <w:rPr>
          <w:rFonts w:ascii="Times New Roman;sans-serif" w:hAnsi="Times New Roman;sans-serif"/>
          <w:b w:val="false"/>
          <w:i/>
          <w:color w:val="000000"/>
          <w:sz w:val="20"/>
        </w:rPr>
        <w:t>Memory Products:</w:t>
      </w:r>
      <w:r>
        <w:rPr>
          <w:color w:val="000000"/>
        </w:rPr>
        <w:t xml:space="preserve"> </w:t>
      </w:r>
      <w:r>
        <w:rPr>
          <w:rFonts w:ascii="Times New Roman;sans-serif" w:hAnsi="Times New Roman;sans-serif"/>
          <w:b w:val="false"/>
          <w:color w:val="000000"/>
          <w:sz w:val="20"/>
        </w:rPr>
        <w:t xml:space="preserve">Memory packages consist of either standalone packaging and testing or a combination of NAND Flash, DRAM, or a memory controller IC using a variety of packaging technologies, including FC, SCSP, SiP, PoP and other state-of-the-art packaging technologies. These products are used as system memory or platform data storage in all of our end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pPr>
      <w:r>
        <w:rPr>
          <w:rFonts w:ascii="Times New Roman;sans-serif" w:hAnsi="Times New Roman;sans-serif"/>
          <w:b w:val="false"/>
          <w:i/>
          <w:color w:val="000000"/>
          <w:sz w:val="20"/>
        </w:rPr>
        <w:t>Wafer-level Package Products</w:t>
      </w:r>
      <w:r>
        <w:rPr>
          <w:rFonts w:ascii="Times New Roman;sans-serif" w:hAnsi="Times New Roman;sans-serif"/>
          <w:b w:val="false"/>
          <w:color w:val="000000"/>
          <w:sz w:val="20"/>
        </w:rPr>
        <w:t>: We offer three types of wafer-level packages: wafer-level CSP; WLFO; and SWIFT. Wafer-level CSP and WLFO are complementary technologies. Customers can choose between the two package types as their die sizes shrink or grow.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Applications for wafer-level CSP include power management, transceivers, sensors, wireless charging, codecs, and specialty silicon for new or unique functionality.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WLFO packages (also known as low-density fan-out packages) are utilized for ICs where the die surface area is too small to accommodate all of the required bond pads. The fan-out package enlarges the bondable surface area by building a border around the die using low-cost molding compound. These packages can include multiple die. Applications for WLFO packages include power management, transceivers, radar and specialty silicon.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SWIFT, also known as high-density fan-out, can either replace the laminate substrate with a thinner structure or reduce the complexity of the substrate by housing the dense interconnects in the SWIFT structure, allowing for a less expensive substrate that provides a high level of performance with a balanced cost structure. SWIFT solutions enable high performance in a compact form factor that combines tiled processors, memory, I/O (input/output) die and other peripheral ICs.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Mainstream Products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Mainstream Products use wirebond interconnect technology to connect a die to a leadframe or substrate package carrier and include leadframe packages, substrate-based wirebond packages and micro-electro-mechanical systems (“MEMS”) packages.</w:t>
      </w:r>
    </w:p>
    <w:p>
      <w:pPr>
        <w:pStyle w:val="TextBody"/>
        <w:bidi w:val="0"/>
        <w:spacing w:lineRule="auto" w:line="288" w:before="0" w:after="180"/>
        <w:jc w:val="both"/>
        <w:rPr/>
      </w:pPr>
      <w:r>
        <w:rPr>
          <w:rFonts w:ascii="Times New Roman;sans-serif" w:hAnsi="Times New Roman;sans-serif"/>
          <w:b w:val="false"/>
          <w:i/>
          <w:color w:val="000000"/>
          <w:sz w:val="20"/>
        </w:rPr>
        <w:t>Leadframe Packages:</w:t>
      </w:r>
      <w:r>
        <w:rPr>
          <w:color w:val="000000"/>
        </w:rPr>
        <w:t xml:space="preserve"> </w:t>
      </w:r>
      <w:r>
        <w:rPr>
          <w:rFonts w:ascii="Times New Roman;sans-serif" w:hAnsi="Times New Roman;sans-serif"/>
          <w:b w:val="false"/>
          <w:color w:val="000000"/>
          <w:sz w:val="20"/>
        </w:rPr>
        <w:t>Leadframe packages use wirebond or flip chip technology to connect a die to a leadframe package carrier. Leadframe packages are used in many electronic devices and remain the most practical and cost-effective solution for many low to medium pin count analog and mixed signal applications.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Traditional leadframe packages support a wide variety of device types and applications. Two of our most popular traditional leadframe package types are small outline integrated circuit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pStyle w:val="TextBody"/>
        <w:bidi w:val="0"/>
        <w:spacing w:lineRule="auto" w:line="288" w:before="0" w:after="180"/>
        <w:jc w:val="both"/>
        <w:rPr/>
      </w:pPr>
      <w:r>
        <w:rPr>
          <w:rFonts w:ascii="Times New Roman;sans-serif" w:hAnsi="Times New Roman;sans-serif"/>
          <w:b w:val="false"/>
          <w:color w:val="000000"/>
          <w:sz w:val="20"/>
        </w:rPr>
        <w:t xml:space="preserve">Through a process of continuous engineering and customization, we have designed several leadframe package types that are thinner and smaller than traditional leadframe packages and can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 sizes and demand for miniaturization of portable electronic products. One of our more successful leadframe package offerings is the </w:t>
      </w:r>
      <w:r>
        <w:rPr>
          <w:rFonts w:ascii="Times New Roman;sans-serif" w:hAnsi="Times New Roman;sans-serif"/>
          <w:b w:val="false"/>
          <w:i/>
          <w:color w:val="000000"/>
          <w:sz w:val="20"/>
        </w:rPr>
        <w:t>Micro</w:t>
      </w:r>
      <w:r>
        <w:rPr>
          <w:rFonts w:ascii="Times New Roman;sans-serif" w:hAnsi="Times New Roman;sans-serif"/>
          <w:b w:val="false"/>
          <w:color w:val="000000"/>
          <w:sz w:val="20"/>
        </w:rPr>
        <w:t xml:space="preserve">LeadFrame family of quad flat no lead packages. These packages offer cost effective, miniaturized solutions for multiple analog power and signal chain applications.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Power discrete devices use a leadframe as the package carrier and primarily use wirebond interconnect technology. However, power applications that require improved thermal and electrical performance will use packaging with copper clip interconnect technology that creates multi die power modules with wafers from silicon carbide and other wide band gap materials.</w:t>
      </w:r>
    </w:p>
    <w:p>
      <w:pPr>
        <w:pStyle w:val="TextBody"/>
        <w:bidi w:val="0"/>
        <w:spacing w:lineRule="auto" w:line="288" w:before="0" w:after="180"/>
        <w:jc w:val="both"/>
        <w:rPr/>
      </w:pPr>
      <w:r>
        <w:rPr>
          <w:rFonts w:ascii="Times New Roman;sans-serif" w:hAnsi="Times New Roman;sans-serif"/>
          <w:b w:val="false"/>
          <w:i/>
          <w:color w:val="000000"/>
          <w:sz w:val="20"/>
        </w:rPr>
        <w:t>Substrate-based Wirebond Packages</w:t>
      </w:r>
      <w:r>
        <w:rPr>
          <w:rFonts w:ascii="Times New Roman;sans-serif" w:hAnsi="Times New Roman;sans-serif"/>
          <w:b w:val="false"/>
          <w:color w:val="000000"/>
          <w:sz w:val="20"/>
        </w:rPr>
        <w:t>: Substrate-based wirebond packages use wirebond technology to connect a die to a substrate. Some of our packages in this category include stacked CSP, wirebond ball grid array packages and plastic ball grid array (“PBGA”) packages.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and mixed signal applications.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Wirebond ball grid array packages offer a broad selection of ball array pitches, ball counts and body sizes, single and multi-die layouts, stacked die and passive component integration together with thermal management solutions. They are applicable for a wide range of semiconductors requiring a smaller package size than conventional PBGAs or leadframe packages.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PBGA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pStyle w:val="TextBody"/>
        <w:bidi w:val="0"/>
        <w:spacing w:lineRule="auto" w:line="288" w:before="0" w:after="180"/>
        <w:jc w:val="both"/>
        <w:rPr/>
      </w:pPr>
      <w:r>
        <w:rPr>
          <w:rFonts w:ascii="Times New Roman;sans-serif" w:hAnsi="Times New Roman;sans-serif"/>
          <w:b w:val="false"/>
          <w:i/>
          <w:color w:val="000000"/>
          <w:sz w:val="20"/>
        </w:rPr>
        <w:t>Micro-Electro-Mechanical Systems Packages</w:t>
      </w:r>
      <w:r>
        <w:rPr>
          <w:rFonts w:ascii="Times New Roman;sans-serif" w:hAnsi="Times New Roman;sans-serif"/>
          <w:b w:val="false"/>
          <w:color w:val="000000"/>
          <w:sz w:val="20"/>
        </w:rPr>
        <w:t xml:space="preserve">: MEMS are miniaturized mechanical and electro-mechanical devices that can sense and provide information 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Advanced System-in-Package Modules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Advanced SiP modules combine multiple semiconductor and other electronic components with different functionalities into a single package. These modules use wirebond, flip chip or wafer-level interconnect technologies. Components can include ICs, passive devices (inductors, capacitors, resistors, filters and diplexers), antennas and mechanical parts.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increasing demand for miniaturization and higher functionality at competitive cost is driving the adoption of advanced SiP in new products. Advanced SiP modules are used for many applications such as radio frequency (“RF”) and front-end modules, basebands, connectivity, fingerprint sensors, display and touch screen drivers, sensors and MEMS, NAND memory and solid state drives. Advanced SiP modules are found in many products including smartphones and tablets, automobiles, IoT wearables, high-performance gaming systems, computers and network systems.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2022 and 2021, we had net sales of approximately $2,955 million, $2,930 million and $2,280 million, respectively, from our advanced SiP modules, which are mostly included in Advanced Products, depending upon the interconnect technology used in the module.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Test Services</w:t>
      </w:r>
    </w:p>
    <w:p>
      <w:pPr>
        <w:pStyle w:val="TextBody"/>
        <w:bidi w:val="0"/>
        <w:spacing w:lineRule="auto" w:line="288" w:before="0" w:after="180"/>
        <w:jc w:val="both"/>
        <w:rPr/>
      </w:pPr>
      <w:r>
        <w:rPr>
          <w:rFonts w:ascii="Times New Roman;sans-serif" w:hAnsi="Times New Roman;sans-serif"/>
          <w:b w:val="false"/>
          <w:color w:val="000000"/>
          <w:sz w:val="20"/>
        </w:rPr>
        <w:t>Our Test Services complement our wafer and packaging services across our Advanced and Mainstream Products.</w:t>
      </w:r>
      <w:r>
        <w:rPr>
          <w:color w:val="000000"/>
        </w:rPr>
        <w:t xml:space="preserve"> </w:t>
      </w:r>
      <w:r>
        <w:rPr>
          <w:rFonts w:ascii="Times New Roman;sans-serif" w:hAnsi="Times New Roman;sans-serif"/>
          <w:b w:val="false"/>
          <w:color w:val="000000"/>
          <w:sz w:val="20"/>
        </w:rPr>
        <w:t xml:space="preserve">Our test services offer customers the cycle time and cost advantages of co-located turn-key services. Our test services are used as both an interim step or as the final testing step to ensure screening and rejection of defects, performance grading and overall outgoing quality and reliability. Interim testing eliminates the manufacturing costs of assembling the defective chips. Below is a description of our test services: </w:t>
      </w:r>
    </w:p>
    <w:p>
      <w:pPr>
        <w:pStyle w:val="TextBody"/>
        <w:bidi w:val="0"/>
        <w:spacing w:lineRule="auto" w:line="288" w:before="0" w:after="180"/>
        <w:jc w:val="both"/>
        <w:rPr/>
      </w:pPr>
      <w:r>
        <w:rPr>
          <w:rFonts w:ascii="Times New Roman;sans-serif" w:hAnsi="Times New Roman;sans-serif"/>
          <w:b w:val="false"/>
          <w:i/>
          <w:color w:val="000000"/>
          <w:sz w:val="20"/>
        </w:rPr>
        <w:t>Wafer Level Test:</w:t>
      </w:r>
      <w:r>
        <w:rPr>
          <w:color w:val="000000"/>
        </w:rPr>
        <w:t xml:space="preserve"> </w:t>
      </w:r>
      <w:r>
        <w:rPr>
          <w:rFonts w:ascii="Times New Roman;sans-serif" w:hAnsi="Times New Roman;sans-serif"/>
          <w:b w:val="false"/>
          <w:color w:val="000000"/>
          <w:sz w:val="20"/>
        </w:rPr>
        <w:t xml:space="preserve">Wafer level test is a manufacturing step performed while a wafer is still in its full form and before being singulated for further package processing. </w:t>
      </w:r>
    </w:p>
    <w:p>
      <w:pPr>
        <w:pStyle w:val="TextBody"/>
        <w:bidi w:val="0"/>
        <w:spacing w:lineRule="auto" w:line="288" w:before="0" w:after="180"/>
        <w:jc w:val="both"/>
        <w:rPr/>
      </w:pPr>
      <w:r>
        <w:rPr>
          <w:rFonts w:ascii="Times New Roman;sans-serif" w:hAnsi="Times New Roman;sans-serif"/>
          <w:b w:val="false"/>
          <w:i/>
          <w:color w:val="000000"/>
          <w:sz w:val="20"/>
        </w:rPr>
        <w:t>Package Level Test:</w:t>
      </w:r>
      <w:r>
        <w:rPr>
          <w:color w:val="000000"/>
        </w:rPr>
        <w:t xml:space="preserve"> </w:t>
      </w:r>
      <w:r>
        <w:rPr>
          <w:rFonts w:ascii="Times New Roman;sans-serif" w:hAnsi="Times New Roman;sans-serif"/>
          <w:b w:val="false"/>
          <w:color w:val="000000"/>
          <w:sz w:val="20"/>
        </w:rPr>
        <w:t>Package level test is performed on a product or products that have been assembled in a package.</w:t>
      </w:r>
      <w:r>
        <w:rPr>
          <w:color w:val="000000"/>
        </w:rPr>
        <w:t xml:space="preserve"> </w:t>
      </w:r>
    </w:p>
    <w:p>
      <w:pPr>
        <w:pStyle w:val="TextBody"/>
        <w:bidi w:val="0"/>
        <w:spacing w:lineRule="auto" w:line="288" w:before="0" w:after="180"/>
        <w:jc w:val="both"/>
        <w:rPr/>
      </w:pPr>
      <w:r>
        <w:rPr>
          <w:rFonts w:ascii="Times New Roman;sans-serif" w:hAnsi="Times New Roman;sans-serif"/>
          <w:b w:val="false"/>
          <w:i/>
          <w:color w:val="000000"/>
          <w:sz w:val="20"/>
        </w:rPr>
        <w:t xml:space="preserve">Burn-In Test: </w:t>
      </w:r>
      <w:r>
        <w:rPr>
          <w:rFonts w:ascii="Times New Roman;sans-serif" w:hAnsi="Times New Roman;sans-serif"/>
          <w:b w:val="false"/>
          <w:color w:val="000000"/>
          <w:sz w:val="20"/>
        </w:rPr>
        <w:t>Burn-in test is a process in which components of a system are exercised, monitored and measured in extreme operational conditions such as high temperature, voltage and frequency over time.</w:t>
      </w:r>
      <w:r>
        <w:rPr>
          <w:color w:val="000000"/>
        </w:rPr>
        <w:t xml:space="preserve"> </w:t>
      </w:r>
      <w:r>
        <w:rPr>
          <w:rFonts w:ascii="Times New Roman;sans-serif" w:hAnsi="Times New Roman;sans-serif"/>
          <w:b w:val="false"/>
          <w:color w:val="000000"/>
          <w:sz w:val="20"/>
        </w:rPr>
        <w:t>The purpose of the environmental and operational stress conditions of burn-in testing is to accelerate and screen early life failures and estimate and monitor long-term degradation and ultimate lifetime.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pPr>
      <w:r>
        <w:rPr>
          <w:rFonts w:ascii="Times New Roman;sans-serif" w:hAnsi="Times New Roman;sans-serif"/>
          <w:b w:val="false"/>
          <w:i/>
          <w:color w:val="000000"/>
          <w:sz w:val="20"/>
        </w:rPr>
        <w:t>System Level Test:</w:t>
      </w:r>
      <w:r>
        <w:rPr>
          <w:color w:val="000000"/>
        </w:rPr>
        <w:t xml:space="preserve"> </w:t>
      </w:r>
      <w:r>
        <w:rPr>
          <w:rFonts w:ascii="Times New Roman;sans-serif" w:hAnsi="Times New Roman;sans-serif"/>
          <w:b w:val="false"/>
          <w:color w:val="000000"/>
          <w:sz w:val="20"/>
        </w:rPr>
        <w:t>System level test identifies defective SiP products that may not otherwise be screened by traditional wafer level, package level or burn-in testing. As advanced packaging proliferates and the integration of more individual components into a SiP grows, system level testing becomes more important.</w:t>
      </w:r>
      <w:r>
        <w:rPr>
          <w:color w:val="000000"/>
        </w:rPr>
        <w:t xml:space="preserve"> </w:t>
      </w:r>
    </w:p>
    <w:p>
      <w:pPr>
        <w:pStyle w:val="TextBody"/>
        <w:bidi w:val="0"/>
        <w:spacing w:lineRule="auto" w:line="288" w:before="0" w:after="180"/>
        <w:jc w:val="both"/>
        <w:rPr/>
      </w:pPr>
      <w:r>
        <w:rPr>
          <w:rFonts w:ascii="Times New Roman;sans-serif" w:hAnsi="Times New Roman;sans-serif"/>
          <w:b w:val="false"/>
          <w:i/>
          <w:color w:val="000000"/>
          <w:sz w:val="20"/>
        </w:rPr>
        <w:t>Test Development Services:</w:t>
      </w:r>
      <w:r>
        <w:rPr>
          <w:color w:val="000000"/>
        </w:rPr>
        <w:t xml:space="preserve"> </w:t>
      </w:r>
      <w:r>
        <w:rPr>
          <w:rFonts w:ascii="Times New Roman;sans-serif" w:hAnsi="Times New Roman;sans-serif"/>
          <w:b w:val="false"/>
          <w:color w:val="000000"/>
          <w:sz w:val="20"/>
        </w:rPr>
        <w:t>Prior to mass production, an integrated manufacturing ready test solution must be developed and deployed.</w:t>
      </w:r>
      <w:r>
        <w:rPr>
          <w:color w:val="000000"/>
        </w:rPr>
        <w:t xml:space="preserve"> </w:t>
      </w:r>
      <w:r>
        <w:rPr>
          <w:rFonts w:ascii="Times New Roman;sans-serif" w:hAnsi="Times New Roman;sans-serif"/>
          <w:b w:val="false"/>
          <w:color w:val="000000"/>
          <w:sz w:val="20"/>
        </w:rPr>
        <w:t>Amkor’s test development services offer both co-development and full development of complete test software and hardware solutions to our customers.</w:t>
      </w:r>
      <w:r>
        <w:rPr>
          <w:color w:val="000000"/>
        </w:rPr>
        <w:t xml:space="preserve"> </w:t>
      </w:r>
      <w:r>
        <w:rPr>
          <w:rFonts w:ascii="Times New Roman;sans-serif" w:hAnsi="Times New Roman;sans-serif"/>
          <w:b w:val="false"/>
          <w:color w:val="000000"/>
          <w:sz w:val="20"/>
        </w:rPr>
        <w:t>These services also enable early engagement with our customers in the product design phases for maximum compatibility with manufacturing.</w:t>
      </w:r>
      <w:r>
        <w:rPr>
          <w:color w:val="000000"/>
        </w:rPr>
        <w:t xml:space="preserve"> </w:t>
      </w:r>
      <w:r>
        <w:rPr>
          <w:rFonts w:ascii="Times New Roman;sans-serif" w:hAnsi="Times New Roman;sans-serif"/>
          <w:b w:val="false"/>
          <w:color w:val="000000"/>
          <w:sz w:val="20"/>
        </w:rPr>
        <w:t>Our test development teams are experienced in a full suite of test engineering disciplines for Memory, Power, RF, Mixed Signal, Analog and digital test solution development.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End Markets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lists the end markets that use our products and sets forth, for the periods indicated, the percentage of net sales in each end market: </w:t>
      </w:r>
    </w:p>
    <w:tbl>
      <w:tblPr>
        <w:tblW w:w="10205" w:type="dxa"/>
        <w:jc w:val="center"/>
        <w:tblInd w:w="0" w:type="dxa"/>
        <w:tblLayout w:type="fixed"/>
        <w:tblCellMar>
          <w:top w:w="28" w:type="dxa"/>
          <w:left w:w="28" w:type="dxa"/>
          <w:bottom w:w="28" w:type="dxa"/>
          <w:right w:w="28" w:type="dxa"/>
        </w:tblCellMar>
      </w:tblPr>
      <w:tblGrid>
        <w:gridCol w:w="2744"/>
        <w:gridCol w:w="2358"/>
        <w:gridCol w:w="2371"/>
        <w:gridCol w:w="209"/>
        <w:gridCol w:w="212"/>
        <w:gridCol w:w="256"/>
        <w:gridCol w:w="109"/>
        <w:gridCol w:w="109"/>
        <w:gridCol w:w="109"/>
        <w:gridCol w:w="209"/>
        <w:gridCol w:w="212"/>
        <w:gridCol w:w="256"/>
        <w:gridCol w:w="109"/>
        <w:gridCol w:w="109"/>
        <w:gridCol w:w="109"/>
        <w:gridCol w:w="209"/>
        <w:gridCol w:w="212"/>
        <w:gridCol w:w="303"/>
      </w:tblGrid>
      <w:tr>
        <w:trPr/>
        <w:tc>
          <w:tcPr>
            <w:tcW w:w="2744"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End Market Distribution Data </w:t>
            </w:r>
            <w:r>
              <w:rPr>
                <w:rFonts w:ascii="Times New Roman;sans-serif" w:hAnsi="Times New Roman;sans-serif"/>
                <w:b w:val="false"/>
                <w:color w:val="000000"/>
                <w:sz w:val="18"/>
              </w:rPr>
              <w:t>(an approximation including representative devices and applications based on a sampling of our largest customers):</w:t>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 (smartphones, tablets)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industrial and other (ADAS, electrification, infotainment, safety)</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Computing (data center, infrastructure, PC/laptop, storage)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 (AR &amp; gaming, connected home, home electronics, wearables)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sales</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technology development is one of the keys to success in the semiconductor packaging and test industry. Our research efforts focus on developing new packaging solutions and test services, as well as improving the efficiency and capabilities of our existing production processes. By concentrating our research and development on our customers’ needs for innovative packages, increased performance, higher density, smaller size and lower cost, we gain opportunities to enter markets early, successfully compete for new products and promote our new package offerings as industry leading technology.</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priorities is developing highly integrated SiP modules, such as DSMBGA packages, to reduce material and processing costs and minimize form factor for wearables and mobile devices. Another important focus area is the development of wafer-level and panel-level packages for chips in 2D and 3D system implementations. These wafer-level chip-scale packages and WLFO packages are increasingly the preferred package type for many applications in IoT and mobile devices, including processors, power management integrated circuits (“PMICs”), display drivers and antenna package products. Our development of Panel Level Fan Out (“PLFO”) technology will permit higher economies of scale for fan-out package devices manufactured on a panel versus wafer basis. We are also developing new applications for the automotive market using existing and new package technologies as higher performance computing, energy efficiency, power distribution and sensor content are used to support new automotive features including ADAS, infotainment, optical sensors and electric vehicles. In addition, we are developing high power modules involving SiC-based devices.</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Another focus for development is integrated multi-die solutions, including multichip modules and high-density WLFO solutions, which enable package level integration of different types and levels of silicon technologies for high performance computing, networking and data center applications. This is accomplished by combining processors and other chiplets into one packaged module. Through die partitioning and heterogeneous integration, these modules provide higher functionality at lower total product cost.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employees are based in Korea, Portugal, the United States and other locations in Asia. At December 31, 2023, we had approximately 950 employees engaged in research and development activities. In 2023, 2022 and 2021, we incurred $177.5 million, $149.4 million and $166.0 million, respectively, of research and development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sales offices are located throughout Asia, Europe and the United States. Our support personnel manage and promote our packaging and test services and provide key customer and technical support. To provide comprehensive sales and customer service, we typically assign our customers a direct support team consisting of an account manager, technical program manager, test program manager and both field and factory customer support representatives. We also support our largest multinational customers from multiple office locations to ensure that we are aligned with their global operational and business requirements.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sales have generally been higher in the second half of the year than in the first half due to consumer buying patterns in the U.S.,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product mix or overall demand in any of our end markets can impact our seasonality.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include many of the largest semiconductor companies in the world. Our ten largest customers accounted for 69% of our net sales in 2023. Direct sales to Apple Inc. accounted for 27.7% of our net sales for the year ended December 31, 2023.</w:t>
      </w:r>
    </w:p>
    <w:p>
      <w:pPr>
        <w:pStyle w:val="TextBody"/>
        <w:bidi w:val="0"/>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MATERIALS AND EQUIPMENT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Materials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materials are used primarily for packaging activities. Our packaging operations depend upon obtaining adequate supplies of materials on a timely basis. The principal materials used in our packaging process are laminate substrates, ICs, capacitors, leadframes and gold wire. The silicon wafer is generally consigned from the customer. We generally do not take ownership of the customer consigned wafer, and title and risk of loss remains with the customer for these materials. Test materials constitute a very small portion of our total test cost. Generally, we purchase materials based on Amkor’s commitments to customer forecasts, and our customers are generally responsible for any unused materials we purchase based on such commitments.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obtain the materials required for packaging services from various suppliers and source most of our materials, including critical materials such as leadframes, laminate substrates and gold wire, from a limited group of suppliers. We work closely with our primary material suppliers to ensure consistent quality, availability and timely delivery. We also negotiate worldwide pricing agreements with our major suppliers to take advantage of the scale of our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Equipment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types of equipment used in providing our packaging services are wirebonders, die bonders, chip shooters, and die attach. In addition, we maintain a variety of other packaging equipment, including mold, singulation, ball attach and wafer backgrind, along with numerous other types of manufacturing equipment. A substantial portion of our packaging equipment base can generally be used and adapted to support the manufacture of many of our packages, with equipment used in traditional wirebond packaging being easier to redeploy than the equipment used in advanced packaging.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purchase wafer bumping equipment to facilitate our flip chip and wafer level packaging services. Wafer bumping equipment includes sputter and spin coaters, electroplating equipment, reflow ovens and other types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equipment. This equipment tends to have longer lead times for delivery and installation than other packaging equipment and is sold in relatively larger increments of capacity.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equipment used in the testing process includes testers, handlers and probers. Handlers are used to transfer individual or small groups of packaged ICs to a tester. Test equipment is generally a more capital-intensive activity than packaging, and test equipment tends to have longer delivery lead times than most types of packaging equipment. We focus our capital expenditures on standardized tester platforms to maximize test equipment utilization where possible. For tester platforms that are less standardized, we generally lease test equipment for the expected life cycle of the project. In some cases, our customers will consign test equipment to us.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GOVERNMENTAL REGULATIONS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with global operations, we are subject to various federal, state, local, and foreign laws, and our products and services are governed by a number of rules and regulations. These regulations, which differ among jurisdictions, include financial and other external reporting disclosure rules, accounting standards, and environmental, corporate governance, intellectual property, tax, trade, antitrust, employment, immigration and travel, privacy and anti-corruption laws. Costs and accruals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compliance with government regulations. </w:t>
      </w:r>
    </w:p>
    <w:p>
      <w:pPr>
        <w:pStyle w:val="TextBody"/>
        <w:bidi w:val="0"/>
        <w:spacing w:lineRule="auto" w:line="276"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chemicals and materials in the semiconductor packaging process that generate byproducts such as wastewater, solid waste and flue gas. For example, water used for rinsing or cooling wafers being sawed or used in the etching or solder deposition process produces wastewater. Scrap from metal lead-frame or substrate processing or excessive molding resin produces solid waste. Emissions from solvents used for coating produce flue gases. In addition to byproducts, semiconductor packages have historically contained lead, a naturally occurring element that can be toxic. The use of lead in our packages has decreased over time due to the use of lead-free alternatives. The use and storage of chemicals and materials are subject to various laws and regulations governing waste disposal, water discharge, emissions into the atmosphere and employee health and safety. We are engaged in continuing efforts to comply with these environmental laws and regulations, including the establishment of environmental management systems, safety training for employees and installation of pollution control equipment at our factories.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be subject to changes to existing environmental regulations or new green initiatives required by our customers, investors, governments or other stakeholders. We do not believe that capital expenditures or other costs attributable to compliance with environmental laws and regulations or green initiatives will have a material adverse effect on our business, liquidity, results of operations, financial condition or 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committed to responsible environmental practices that go beyond legal requirements in conducting our business. These environmental practices include: </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Certification of our factories worldwide to International Organization for Standards (“ISO”) framework 14001, widely recognized as the standard for effective environmental management systems.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 xml:space="preserve">Measurement and independent verification of greenhouse gases (“GHGs”) generated by our factories worldwide. Once collected, our GHG data is submitted to, and disclosed publicly by, CDP, formerly known as the Carbon Disclosure Project. CDP is a leading organization that assesses the impact of climate change and promotes a sustainable economy. </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 xml:space="preserve">Membership in the Responsible Business Alliance (“RBA”), an international industry group dedicated to corporate social responsibility. RBA members agree to follow a uniform Code of Conduct that includes standards of environmental responsibility, and our factories have been subject to independent audits to assess compliance with these standards. </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 xml:space="preserve">Capital investment and process optimization activities to reduce GHGs include installation of solar photovoltaic panels, replacement of, or improvements to, chiller unit systems and use of light-emitting diode (“LED”)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outsourced semiconductor packaging and test market is very competitive. We face substantial competition from established packaging and test service providers primarily located in Asia, including companies with significant manufacturing capacity, financial resources, research and development operations, marketing and other capabilities. These companies include ASE Technology Holding Co., Ltd. and JCET Group Co., Ltd. In addition, we compete with electronic manufacturing service providers or contract electronics manufacturers, including Universal Scientific Industrial (Shanghai) Co., Ltd., that also provide advanced integrated device solutions. Such companies also have developed relationships with most of the world’s largest semiconductor companies, including current or potential customers of Amkor.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compete with the internal semiconductor packaging and test capabilities of many of our customers. Our IDM customers continually evaluate the attractiveness of outsourced services against their own in-house packaging and test services and at times may decide to shift some or all of their outsourced packaging and test services to internally sourced capacity. We also compete with contract foundries, such as Taiwan Semiconductor Manufacturing Company Limited, which offer full turnkey services from silicon wafer fabrication through packaging and final test. In addition, we compete with companies that offer test-only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elements of competition in the outsourced semiconductor packaging and test services market include price, available capacity, flexibility, quality, customer service and support, new product introduction experience, cycle time, reputation and reliability, customer satisfaction, technological expertise and innovation, breadth of packaging and test services offered, including turnkey services, and the ability to invest in capacity, geographic location and scale of manufacturing. We believe that we compete favorably with respect to each of these elements.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U.S. and other countries, and their durations vary depending on the jurisdiction in which each patent is filed. Although our patents are an important element of our intellectual property strategy, we are not materially dependent on any one patent or any one technology. We expect to continue to file patent applications when appropriate to protect our proprietary technologies, but we cannot provide assurances that we will receive patents from pending or future applications. In addition, any patents we obtain could be challenged, invalidated or circumvented and may not provide meaningful protection or other commercial advantage to us. Nonetheless, we believe that our patents afford an important means of protection for our technologies. Further, to distinguish our products from our competitors’ products, we have obtained certain trademarks and service marks and may promote our particular brands through advertising and other marketing techniques.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protect and maintain the confidentiality of certain information about our processes, products and strategies which we believe provides us with a competitive advantage. We have ongoing programs designed to maintain the confidentiality of such information. As part of these efforts, all employees who have access to Amkor’s information systems are required to participate in cybersecurity training within the first 15 days of employment, after which recurring mandatory training is required on an annual basis.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Employees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Amkor believes that its future success is highly dependent upon our continued ability to attract, retain and motivate qualified employees. As part of our effort to attract and motivate employees, Amkor is committed to providing competitive and comprehensive benefits that are designed to enable our employees and their families to live healthier and more secure lives. Additionally, Amkor has implemented various retention programs to incentivize and retain high-performing employees. We regularly evaluate such retention programs and our compensation practices generally to ensure they remain competitive and are aligned with local market practices. We look to promote our management-level employees from within Amkor, and we believe that we have been successful in this effort. Factory locations also maintain training and development programs that enable the continued learning and growth of our employees, and senior management regularly meets to share and implement best practices among our various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Amkor also uses human capital initiatives to support our broad geographic footprint. For career development and advancement, we may provide employees with the opportunity to move between factories, often in support of new factories or the introduction of new packaging offerings. We believe that these initiatives are efficient for training new local employees and allow existing employees to continue to develop in their careers.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efforts to motivate, retain and support the growth of qualified employees is reflected in the long average tenure of our key employees.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Amkor employed 28,700 employees, of whom approximately 96%, 3% and 1% resided in the Asia-Pacific region, Europe and the United States, respectively. Our global workforce spans 12 countries, reflecting various cultures, backgrounds, ages, genders and ethnicities. Of our global employee base, 91% are employed in manufacturing roles. Our employees in France, Germany, the Philippines, Singapore, Taiwan, Vietnam and the United States are not represented by any union. Certain employees at our factories in China, Japan, Korea, Malaysia and Portugal are members of a union, and we operate subject to collective bargaining agreements that we have entered into with these unions. We believe that our relations with our employees are good, and we have not experienced a work stoppage in any of our factories.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Health and Safety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and safety of our employees is very important to us and, accordingly, we endeavor to provide comprehensive health benefits to our full-time employees. Our focus on health and safety is further evident in our response to the Covid-19 pandemic. Because our business involves the manufacturing and testing of physical products, many of our employees have been unable to work from home. To keep our employees safe and to maintain operations during the Covid-19 pandemic, we implemented increased health and safety-related measures across our global footprint. While the long-term impact of the Covid-19 pandemic remains uncertain, we have retained those enhanced measures as part of our commitment to protect the health and safety of our employees.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80"/>
        <w:jc w:val="both"/>
        <w:rPr/>
      </w:pPr>
      <w:r>
        <w:rPr>
          <w:rFonts w:ascii="Times New Roman;sans-serif" w:hAnsi="Times New Roman;sans-serif"/>
          <w:b w:val="false"/>
          <w:color w:val="000000"/>
          <w:sz w:val="20"/>
        </w:rPr>
        <w:t xml:space="preserve">Amkor files annual, quarterly and current reports, proxy statements and other information with the SEC. The SEC maintains a website that contains annual, quarterly and current reports, proxy statements and other information that issuers (including Amkor) file electronically with the SEC. The SEC’s website is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w:t>
      </w:r>
    </w:p>
    <w:p>
      <w:pPr>
        <w:pStyle w:val="TextBody"/>
        <w:bidi w:val="0"/>
        <w:spacing w:lineRule="auto" w:line="288" w:before="0" w:after="0"/>
        <w:jc w:val="both"/>
        <w:rPr/>
      </w:pPr>
      <w:r>
        <w:rPr>
          <w:rFonts w:ascii="Times New Roman;sans-serif" w:hAnsi="Times New Roman;sans-serif"/>
          <w:b w:val="false"/>
          <w:color w:val="000000"/>
          <w:sz w:val="20"/>
        </w:rPr>
        <w:t xml:space="preserve">Amkor’s website is </w:t>
      </w:r>
      <w:r>
        <w:rPr>
          <w:rFonts w:ascii="Times New Roman;sans-serif" w:hAnsi="Times New Roman;sans-serif"/>
          <w:b w:val="false"/>
          <w:i/>
          <w:color w:val="000000"/>
          <w:sz w:val="20"/>
        </w:rPr>
        <w:t>www.amkor.com.</w:t>
      </w:r>
      <w:r>
        <w:rPr>
          <w:color w:val="000000"/>
        </w:rPr>
        <w:t xml:space="preserve"> </w:t>
      </w:r>
      <w:r>
        <w:rPr>
          <w:rFonts w:ascii="Times New Roman;sans-serif" w:hAnsi="Times New Roman;sans-serif"/>
          <w:b w:val="false"/>
          <w:color w:val="000000"/>
          <w:sz w:val="20"/>
        </w:rPr>
        <w:t>Amkor makes available, free of charge, through its website: our annual reports on Form 10-K; quarterly reports on Form 10-Q; current reports on Form 8-K; Forms 3, 4 and 5 filed on behalf of directors and executive officers; and any amendments to those reports filed or furnished pursuant to the Securities Exchange Act of 1934, as amended (the “Exchange Act”), as soon as reasonably practicable after such material is electronically filed with, or furnished to, the SEC. We also make available, free of charge, through our website, our Corporate Governance Guidelines, the charters of the Audit Committee, Nominating and Governance Committee and Compensation Committee of our Board of Directors, our Code of Business Conduct, our Code of Ethics for Directors and other information and materials. The information on Amkor’s website is not incorporated by reference into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080"/>
        <w:jc w:val="left"/>
        <w:rPr/>
      </w:pPr>
      <w:r>
        <w:rPr>
          <w:rFonts w:ascii="Times New Roman;sans-serif" w:hAnsi="Times New Roman;sans-serif"/>
          <w:b/>
          <w:color w:val="000000"/>
          <w:sz w:val="20"/>
        </w:rPr>
        <w:t>Item 1A.</w:t>
      </w:r>
      <w:r>
        <w:rPr>
          <w:rFonts w:ascii="Times New Roman;sans-serif" w:hAnsi="Times New Roman;sans-serif"/>
          <w:b/>
          <w:i/>
          <w:color w:val="000000"/>
          <w:sz w:val="20"/>
        </w:rPr>
        <w:t>Risk Factors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factors discussed below are cautionary statements that identify important factors and risks that could cause actual results to differ materially from those anticipated by the forward-looking statements contained in this Form 10-K. For more information, see the Forward-Looking Statements within this Form 10-K. You should carefully consider the risks and uncertainties described below, together with all of the other information included in this Form 10-K,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pStyle w:val="TextBody"/>
        <w:bidi w:val="0"/>
        <w:spacing w:lineRule="auto" w:line="247" w:before="0" w:after="18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47"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investment in our common stock involves various risks, and you are urged to carefully consider all of the matters discussed in Part I, Item 1A of this Form 10-K under the caption “Risk Factors” (in addition to those discussed under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47" w:before="0" w:after="180"/>
        <w:jc w:val="both"/>
        <w:rPr>
          <w:color w:val="000000"/>
        </w:rPr>
      </w:pPr>
      <w:r>
        <w:rPr>
          <w:color w:val="000000"/>
        </w:rPr>
        <w:t>“</w:t>
      </w:r>
      <w:r>
        <w:rPr>
          <w:rFonts w:ascii="Times New Roman;sans-serif" w:hAnsi="Times New Roman;sans-serif"/>
          <w:b w:val="false"/>
          <w:color w:val="000000"/>
          <w:sz w:val="20"/>
        </w:rPr>
        <w:t xml:space="preserve">Summary of Risk Factors” section) in considering our business and prospects. The following is a list of some of these risks: </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Operations and Industry</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 xml:space="preserve">competition with established competitors in the packaging and test business, the internal capabilities of IDMs, and new competitors, including foundries; </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changes in costs, quality, availability and delivery times of raw materials, components and equipment;</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fluctuations in operating results and cash flows;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dependence on the cyclical and volatile semiconductor industry and vulnerability to industry downturns and declines in global economic and financial conditions;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our substantial investments in equipment and facilities to support the demand of our customers;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difficulty achieving the relatively high-capacity utilization rates necessary to realize satisfactory gross margins given our high percentage of fixed costs;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our absence of backlog and the short-term nature of our customers’ commitments;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the historical downward pressure on the prices of our packaging and test services;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fluctuations in our manufacturing yields;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a downturn or lower sales to customers in the automotive industry;</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dependence on key customers or concentration of customers in certain end markets, such as mobile communications and automotive;</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difficulty funding our liquidity needs; and</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challenges with integrating diverse operations.</w:t>
      </w:r>
    </w:p>
    <w:p>
      <w:pPr>
        <w:pStyle w:val="TextBody"/>
        <w:bidi w:val="0"/>
        <w:spacing w:lineRule="auto" w:line="247" w:before="0" w:after="180"/>
        <w:jc w:val="both"/>
        <w:rPr/>
      </w:pPr>
      <w:r>
        <w:rPr>
          <w:rFonts w:ascii="Times New Roman;sans-serif" w:hAnsi="Times New Roman;sans-serif"/>
          <w:b/>
          <w:i/>
          <w:color w:val="000000"/>
          <w:sz w:val="20"/>
        </w:rPr>
        <w:t>Risks Related to Our International Sales and Operation</w:t>
      </w:r>
      <w:r>
        <w:rPr>
          <w:rFonts w:ascii="Times New Roman;sans-serif" w:hAnsi="Times New Roman;sans-serif"/>
          <w:b/>
          <w:color w:val="000000"/>
          <w:sz w:val="20"/>
        </w:rPr>
        <w:t>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dependence on international factories and operations, and risks relating to trade restrictions and regional conflict; and</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significant severance plan obligations associated with our manufacturing operations in Korea.</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Cybersecurity, Data Privacy and Intellectual Property</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our ability to develop new proprietary technology, protect our proprietary technology, operate without infringing the proprietary rights of others, and implement new technologies; and</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our continuing development and implementation of changes to, and maintenance and security of, our information technology systems.</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restrictive covenants in the indentures and agreements governing our current and future indebtedness;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our substantial indebtedness; and</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 xml:space="preserve">fluctuations in interest rates and changes in credit risk. </w:t>
      </w:r>
    </w:p>
    <w:p>
      <w:pPr>
        <w:pStyle w:val="TextBody"/>
        <w:bidi w:val="0"/>
        <w:spacing w:before="0" w:after="180"/>
        <w:jc w:val="both"/>
        <w:rPr/>
      </w:pPr>
      <w:r>
        <w:rPr/>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Our Common Stock</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the ability of certain of our stockholders to effectively determine or substantially influence the outcome of matters requiring stockholder approval;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the possibility that we may decrease or suspend our quarterly dividend.</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Human Capital and Management</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 xml:space="preserve">difficulty attracting, retaining or replacing qualified personnel. </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Regulatory, Legal and Tax Challenges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warranty claims, product return and liability risks, and the risk of negative publicity if our products fail, as well as the risk of litigation incident to our business;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 xml:space="preserve">maintaining an effective system of internal controls; </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any changes in tax laws, taxing authorities not agreeing with our interpretation of applicable tax laws, including whether we continue to qualify for conditional reduced tax rates, or any requirements to establish or adjust valuation allowances on deferred tax assets; and</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environmental, health and safety liabilities and expenditures.</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General Risk Factors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health conditions or pandemics, such as the Covid-19 pandemic, impacting labor availability and operating capacity, capital availability, the supply chain and consumer demand for our customers’ products and services; and</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natural disasters and other calamities, health conditions or pandemics, political instability, hostilities or other disruptions.</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Operations and Industry</w:t>
      </w:r>
    </w:p>
    <w:p>
      <w:pPr>
        <w:pStyle w:val="TextBody"/>
        <w:bidi w:val="0"/>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Our packaging and test services are used in volatile industries, and industry downturns, and declines in global economic and financial conditions could harm our performance.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impacted by market conditions in the semiconductor industry, which is cyclical by nature and impacted by broad economic factors, such as worldwide gross domestic product and consumer spending. We believe that the general semiconductor market is currently going through a cyclical correction.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computing, or consumer electronics,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New variants or the potential re-emergence of the Covid-19 pandemic or the occurrence of other epidemics or pandemics, and the imposition of related public health measures and travel and business restrictions, may materially and adversely impact our business, financial condition, operating results and cash flows. For example, as part of a broad effort to mitigate a rising number of Covid-19 cases in Shanghai, the Chinese government mandated a lockdown of our Shanghai factory from March 2022 to June 2022. Other national, regional, and local governments have implemented, and may implement in the future, public health measures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difficult to predict the timing, strength or duration of any economic disruption caused by epidemics or pandemics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deteriorate, we could suffer significant losses, as we have in the past, that could materially and adversely impact our business, liquidity, results of operations, financial condition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may suffer if the cost, quality or supply of materials or equipment changes adversely.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To the extent the impact of such disruptive events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operating results and cash flows have varied and may vary significantly as a result of factors that we cannot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demand for semiconductors and conditions in the semiconductor industry generally, as well as by specific customers, such as inventory reductions by our customers impacting demand in key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cost, quality, availability and delivery times of raw materials, components, equipment and labor;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inflation, including wage inflation, and fluctuations in commodity prices, including gold, copper and other precious metals;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achieve our major growth objectives, including transitioning second-wave customers to advanced packages and increasing our share of the automotive and industrial end market;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our capacity and capacity utilization rates;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interest rates and currency exchange rates, including the current rising interest rate environment;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average selling prices which can occur quickly due to the absence of long-term agreements on price;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mix of the semiconductor packaging and test services that we sell;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of expenditures in anticipation of future orders;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effective tax rates;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availability and cost of financing;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leverage and debt covenants;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intellectual property transactions and disputes;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warranty and product liability claims and the impact of quality excursions and customer disputes and returns;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costs associated with legal claims, indemnification obligations, judgments and settlements;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political instability, conflicts (such as the ongoing conflict in Ukraine and Israel) and government shutdowns, civil disturbances and international events;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environmental or natural disasters such as earthquakes, typhoons and volcanic eruptions;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pandemics or other widespread illnesses that may impact our labor force, operations, liquidity, supply chain and end-user demand for products which incorporate semiconductors, such as the Covid-19 pandemic;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costs of acquisitions and divestitures and difficulties integrating acquisitions;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qualified personnel to support our global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penetrate new end markets or expand our business in existing end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dependence on key customers or concentration of customers in certain end markets, such as mobile communications and automotive;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restructuring charges, asset write-offs and impairments.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2022 and October 17, 2023, the U.S. Bureau of Industry and Security announced export control regulations applicable to Chinese acquisition of U.S. semiconductor technology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compete against established competitors in the packaging and test business as well as internal capabilities of IDMs and face competition from new competitors, including foundries.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make substantial investments in equipment and facilities to support the demand of our customers, which may materially and adversely affect our business if the demand of our customers does not develop as we expect or is adversely affected.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initial phase of construction for our Vietnam Facility. There can be no assurance, however, that high-volume manufacturing will begin on schedule or that the actual scope, costs or benefits of the project will be consistent with our current expectations.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Due to our high percentage of fixed costs, we may be unable to maintain satisfactory gross margins if we are unable to achieve relatively high-capacity utilization rates.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lack of contractually committed customer demand may materially and adversely affect our sales.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able to adjust costs in a timely manner to compensate for any sales shortfall. If we are unable to adjust costs in a timely manner, our margins, operating results, financial condition and cash flows could be materially and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Historically, there has been downward pressure on the prices of our packaging and test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Packaging and test processes are complex, and our production yields and customer relationships may suffer from defects in the services we provide or if we do not successfully implement new technologies.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contaminants in the manufacturing environment;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human error;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equipment malfunction;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changing processes to address environmental requirements;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defective raw materials;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defective plating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revenue is derived from customers in the automotive industry. A downturn or lower sales to customers in the automotive industry could materially affect our business and 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sales are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automotive end-market could decline despite continued growth in such end-market. Lower sales to customers in the automotive end-market may have a material adverse effect on our business and results of operations.</w:t>
      </w:r>
    </w:p>
    <w:p>
      <w:pPr>
        <w:pStyle w:val="TextBody"/>
        <w:bidi w:val="0"/>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The loss of certain customers or reduced orders or pricing from existing customers may have a material adverse effect on our operations and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derived and expect to continue to derive a large portion of our revenues from a small group of customers during any particular period due in part to the concentration of market share in the semiconductor industry. Our ten largest customers accounted for, in the aggregate, 69% of our net sales for the year ended December 31, 2023.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have difficulty funding liquidity needs.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our current and future customers requires that we incur significant operating expenses and continue to make significant capital expenditures and other investments, and the amount of our capital expenditures for 2024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The U.S. Federal Reserve has raised interest rates several times during 2022 and 2023. Volatility in the banking system and capital markets, as well as any further increase in interest rates or adverse economic, political, public health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global conditions, could also make it difficult or more expensive for us to maintain our existing credit facilities or refinance our debt.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face challenges as we integrate diverse operations.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increasing the scope, geographic diversity and complexity of our operations;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conforming an acquired company’s standards, practices, systems and controls with our operations;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increasing complexity from combining recent acquisitions of an acquired business;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unexpected losses of key employees or customers of an acquired business;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difficulties in the assimilation of acquired operations, technologies or products;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diversion of management and other resources from other parts of our operations and adverse effects on existing business relationships with customers.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these activities, we may: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incur costs associated with personnel reductions and voluntary retirement programs;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record restructuring charges to cover costs associated with facility consolidations and related cost reduction initiatives;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use a significant portion of our available cash;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incur substantial debt;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issue equity securities, which may dilute the ownership of current stockholders;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incur or assume known or unknown contingent liabilities; and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incur large, immediate accounting write offs and face antitrust or other regulatory inquiries or actions.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47" w:before="0" w:after="180"/>
        <w:jc w:val="both"/>
        <w:rPr/>
      </w:pPr>
      <w:r>
        <w:rPr>
          <w:rFonts w:ascii="Times New Roman;sans-serif" w:hAnsi="Times New Roman;sans-serif"/>
          <w:b/>
          <w:i/>
          <w:color w:val="000000"/>
          <w:sz w:val="20"/>
        </w:rPr>
        <w:t>Risks Related to Our International Sales and Operation</w:t>
      </w:r>
      <w:r>
        <w:rPr>
          <w:rFonts w:ascii="Times New Roman;sans-serif" w:hAnsi="Times New Roman;sans-serif"/>
          <w:b/>
          <w:color w:val="000000"/>
          <w:sz w:val="20"/>
        </w:rPr>
        <w:t>s</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Our factories and operations, and those of our customers and vendors, are located in various foreign jurisdictions, which exposes us to risks arising from international trade restrictions and regional conflict.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packaging and test services through our factories and other operations located in China, Japan, Korea, Malaysia, the Philippines, Portugal, Singapore and Taiwan and are preparing to offer packaging and test services from the Vietnam Facility. Substantially all of our property, plant and equipment is located outside of the United States, and many of our customers and the vendors in our supply chain are also located outside the United States.  The following are some of the risks we face in doing business internationally: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laws, rules, regulations and policies within China and other countries that may favor domestic companies over non-domestic companies, including customer- or government-supported efforts to promote the development and growth of local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and safety concerns, including widespread outbreak of infectious diseases, such as Covid-19, and governmental responses thereto;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consumer demand resulting from current or expected inflation or other variations in local economies;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laws, rules, regulations and policies imposed by U.S. or foreign governments in areas such as data privacy, cybersecurity, antitrust and competition, tax, currency and banking, labor, environmental, and health and safety;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payment of dividends and other payments by non-U.S. subsidiaries may be subject to prohibitions, limitations or taxes in local jurisdictions;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currency exchange rates, particularly the U.S. dollar to Japanese yen exchange rate for our operations in Japan;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political and social conditions, and the potential for civil unrest, terrorism or other hostilities (such as the ongoing conflicts in Ukraine and Israel);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disruptions or delays in shipments caused by customs brokers or government agencies;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difficulties in attracting and retaining qualified personnel and managing foreign operations, including foreign labor disruptions;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difficulty in enforcing contractual rights and protecting our intellectual property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potentially adverse tax consequences resulting from tax laws in the United States and in other jurisdictions;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local business and cultural factors that differ from our normal standards and practices, including business practices that we are prohibited from engaging in by the U.S. Foreign Corrupt Practices Act and other anti-corruption laws and regulations.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impacted our operations and the operations of our customers and suppliers as a result of illness, quarantines, facility closures and travel and logistics restrictions in connection with the outbreak. National, regional, and local governments have implemented, and may implement in the future, public health measures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 We also remain subject to industry-wide supply constraints and inflationary price pressures, which have resulted in long lead times, rising prices and supply chain disruptions.</w:t>
      </w:r>
    </w:p>
    <w:p>
      <w:pPr>
        <w:pStyle w:val="TextBody"/>
        <w:bidi w:val="0"/>
        <w:spacing w:lineRule="auto" w:line="247" w:before="0" w:after="120"/>
        <w:jc w:val="both"/>
        <w:rPr>
          <w:rFonts w:ascii="Times New Roman;sans-serif" w:hAnsi="Times New Roman;sans-serif"/>
          <w:b/>
          <w:i/>
          <w:color w:val="000000"/>
          <w:sz w:val="20"/>
        </w:rPr>
      </w:pPr>
      <w:r>
        <w:rPr>
          <w:rFonts w:ascii="Times New Roman;sans-serif" w:hAnsi="Times New Roman;sans-serif"/>
          <w:b/>
          <w:i/>
          <w:color w:val="000000"/>
          <w:sz w:val="20"/>
        </w:rPr>
        <w:t>We have significant severance plan obligations associated with our manufacturing operations in Korea which could reduce our cash flow and negatively impact our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subsidiary in Korea maintains an unfunded severance plan, under which we have an accrued liability of $47.8 million as of December 31, 2023.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a defined contribution plan. Some employees have accepted previous offers, and future offers to make similar conversions could impact the timing of future payments, reducing our cash flow and materially and adversely affecting our financial condition. </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Cybersecurity, Data Privacy and Intellectual Property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will suffer if we are not able to develop new proprietary technology, protect our proprietary technology and operate without infringing the proprietary rights of others.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obsolete. If we cannot achieve advances in packaging design or obtain access to advanced packaging designs developed by others, our business could suffer.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discontinue the use of certain processes or cease to provide the services at issue, which could curtail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pay substantial damages;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 non-infringing technologies, which may not be feasible;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acquire licenses to such technology, which may not be available on commercially reasonable terms or at all.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10-K on our results of operations, financial condition and cash flows could change in the future.</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We face risks in connection with the continuing development and implementation of changes to, and maintenance and security of, our information technology systems.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and/or disruptions to our operations. While we have not experienced a material information security breach,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delays in the design and implementation of the system;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costs may exceed our plans and expectations;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Covenants in the indentures and agreements governing our current and future indebtedness could restrict our operating flexibility.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substantial indebtedness could have a material adverse effect on our financial condition and prevent us from fulfilling our obligations.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substantial amount of debt, and the terms of the agreements governing our indebtedness allow us and our subsidiaries to incur more debt, subject to certain limitations. As of December 31, 2023, our total debt balance was $1,203.5 million, of which $131.6 million was classified as a current liability and $679.7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indebtedness could: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make it more difficult for us to satisfy our obligations with respect to our indebtedness, including our obligations under our indentures to purchase notes tendered as a result of a change in control of Amkor;</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increase our vulnerability to general adverse economic and industry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limit our ability to fund future working capital, capital expenditures, research and development and other business opportunities, including joint ventures and acquisitions;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increase the volatility of the price of our common stock;</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limit our flexibility to react to changes in our business and the industry in which we operate;</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place us at a competitive disadvantage to any of our competitors that have less debt;</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limit, along with the financial and other covenants in our indebtedness, our ability to borrow additional funds;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limit our ability to refinance our existing indebtedness, particularly during periods of adverse credit market conditions when refinancing indebtedness may not be available under interest rates and other terms acceptable to us or at all; and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increase our cost of borrowing.</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are exposed to fluctuations in interest rates and changes in credit risk, which could have a material adverse impact on our earnings as it relates to the market value of our investment portfolio.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 </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Our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James J. Kim and members of his family can effectively determine or substantially influence the outcome of all matters requiring stockholder approval.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James J. Kim, the Executive Chairman of our Board of Directors, Susan Y. Kim, the Executive Vice Chairman of our Board of Directors, and members of the Kim family and affiliates owned approximately 132.0 million shares, or approximately 54%, of our outstanding common stock. The Kim family also has options to acquire approximately 0.6 million shares. If the options are exercised, the Kim family’s total ownership would be an aggregate of approximately 132.6 million shares, or approximately 54% of our outstanding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2013, the Kim family exchanged convertible notes issued by Amkor in 2009 for approximately 49.6 million shares of common stock (the “Convert Shares”). As of December 31, 2023, the Kim family owns 39.6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decrease or suspend our quarterly dividend, and any decrease in or suspension of the dividend could cause our stock price to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Human Capital and Management</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risks trying to attract, retain or replace qualified employees to support our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Regulatory, Legal and Tax Challenges</w:t>
      </w:r>
    </w:p>
    <w:p>
      <w:pPr>
        <w:pStyle w:val="TextBody"/>
        <w:bidi w:val="0"/>
        <w:spacing w:lineRule="auto" w:line="276" w:before="0" w:after="180"/>
        <w:jc w:val="both"/>
        <w:rPr/>
      </w:pPr>
      <w:r>
        <w:rPr>
          <w:rFonts w:ascii="Times New Roman;sans-serif" w:hAnsi="Times New Roman;sans-serif"/>
          <w:b/>
          <w:i/>
          <w:color w:val="000000"/>
          <w:sz w:val="20"/>
        </w:rPr>
        <w:t>We may face warranty claims, product return and liability risks, economic damage claims and negative publicity if our packages fail</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packages are incorporated into a number of end products. If our packages fail, our business may be exposed to warranty claims, product return and liability risks, economic damage claims and negative publicity.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pStyle w:val="TextBody"/>
        <w:bidi w:val="0"/>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controls, we may not be able to accurately report financial results or prevent fraud.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earn a substantial portion of our income in foreign countries, and our operations are subject to tax in multiple jurisdictions with complicated and varied tax regimes. Tax laws and income tax rates in these jurisdictions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have already started to implement laws based on the Pillar Two Model Rules to be effective in 2024. There can be no assurance that our effective tax rate, tax payments or conditional reduced tax rates will not be adversely affected as countries independently amend their tax laws to adopt Pillar Two Model Rules. Changes in U.S. or foreign tax laws, including new or modified guidance with respect to existing tax laws, could have a material adverse impact on our liquidity, results of operations, financial condition and cash flows.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pStyle w:val="TextBody"/>
        <w:bidi w:val="0"/>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Environmental, health and safety liabilities and expenditures could have a material adverse effect on our business, results of operation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pStyle w:val="TextBody"/>
        <w:bidi w:val="0"/>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General Risk Factors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Covid-19 pandemic has impacted, and may impact in the future, the supply chain and consumer demand for our customers’ products and services, and such impact on the supply chain and consumer demand may ultimately have a material and adverse effect on our business, results of operations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impacts of the Covid-19 pandemic varied by location, by industry and by end market. We, our suppliers and our customers were disrupted by worker illness and absenteeism, quarantines and restrictions on employees’ ability to work, office and factory closures, disruptions to ports and other shipping infrastructure and border closures or other travel or health-related restrictions. Restrictions on our workforce or access to our manufacturing facilities, or similar limitations for our suppliers, or restrictions or disruptions of transportation in order to contain the spread of Covid-19 caused disruptions to our supply chain in connection with the sourcing of equipment, supplies and other materials, and similar restrictions in the future could limit our capacity to meet customer demand and have a material adverse effect on our business, results of operations and financial condition. Restrictions may be implemented in response to the emergence of new variants or re-emergence of Covid-19,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spread of Covid-19 caused us to modify our business practices (including corporate hygiene protocols at factories, restricting employee travel and employee work locations and cancelling physical participation in meetings, events and conferences) and, while the long-term impact of the Covid-19 pandemic remains uncertain, we have retained certain of those enhanced measures as part of our commitment to protect the health and safety of our employees. We may also take further actions in the future as may be required by government authorities or that we determine to be in the best interests of our employees, customers and suppliers. There is no certainty that such measures will be sufficient to mitigate the future impact of Covid-19, and our ability to perform critical functions could be harmed.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and financial condition has been adversely affected, and could be adversely affected in the future, by natural disasters and other calamities, health conditions or pandemics, political instability, hostilities or other disruptions.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significant packaging and test services and other operations in China, Japan, Korea, Malaysia, the Philippines, Portugal, Singapore, Taiwan and the Vietnam Facility.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require us to shift them to another location. As a result, our ability to fulfill customer orders may be impaired or delayed, and we could incur significant losses.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the processes that we utilize in our operations place us at risk of fire and other damage. For example, highly flammable gases are used in the preparation of wafers holding semiconductor devices for flip chip packaging.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ind w:left="0" w:right="0" w:hanging="1080"/>
        <w:jc w:val="left"/>
        <w:rPr/>
      </w:pPr>
      <w:r>
        <w:rPr>
          <w:rFonts w:ascii="Times New Roman;sans-serif" w:hAnsi="Times New Roman;sans-serif"/>
          <w:b/>
          <w:color w:val="000000"/>
          <w:sz w:val="20"/>
        </w:rPr>
        <w:t>Item 1B.</w:t>
      </w:r>
      <w:r>
        <w:rPr>
          <w:rFonts w:ascii="Times New Roman;sans-serif" w:hAnsi="Times New Roman;sans-serif"/>
          <w:b/>
          <w:i/>
          <w:color w:val="000000"/>
          <w:sz w:val="20"/>
        </w:rPr>
        <w:t>Unresolved Staff Comments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1C.</w:t>
      </w:r>
      <w:r>
        <w:rPr>
          <w:rFonts w:ascii="Times New Roman;sans-serif" w:hAnsi="Times New Roman;sans-serif"/>
          <w:b/>
          <w:i/>
          <w:color w:val="000000"/>
          <w:sz w:val="20"/>
        </w:rPr>
        <w:t>Cybersecurity</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measures are designed to help protect our information security systems from cybersecurity threats. Our Global Information Security Team is led by our Corporate Vice President and Chief Information Officer (“CIO”) and is composed of key functional leaders. Our Global Information Security Team assesses, identifies and manages cybersecurity risks to the Company, including by: </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i/>
          <w:color w:val="000000"/>
          <w:sz w:val="20"/>
        </w:rPr>
        <w:t>Assessing, identifying and managing cybersecurity risks to our information systems:</w:t>
      </w:r>
      <w:r>
        <w:rPr>
          <w:color w:val="000000"/>
        </w:rPr>
        <w:t xml:space="preserve"> </w:t>
      </w:r>
      <w:r>
        <w:rPr>
          <w:rFonts w:ascii="Times New Roman;sans-serif" w:hAnsi="Times New Roman;sans-serif"/>
          <w:b w:val="false"/>
          <w:color w:val="000000"/>
          <w:sz w:val="20"/>
        </w:rPr>
        <w:t xml:space="preserve">We assess, identify and manage cybersecurity risks to our information systems, including by: (i) establishing and maintaining a governance structure that includes policies, procedures and processes designed to manage cybersecurity threats and cybersecurity incidents; (ii) conducting ongoing risk assessments, including to identify and assess cybersecurity risks; (iii) developing and implementing an overall risk management strategy, which includes cybersecurity risks; (iv) overseeing, identifying and managing risks from cybersecurity threats associated with our use of third-party service providers and our supply chain; and (v) engaging external experts, including cybersecurity assessors, consultants and auditors to evaluate and test our cybersecurity measures and risk management processes;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i/>
          <w:color w:val="000000"/>
          <w:sz w:val="20"/>
        </w:rPr>
        <w:t>Establishing a program to assess and help mitigate cybersecurity threats:</w:t>
      </w:r>
      <w:r>
        <w:rPr>
          <w:color w:val="000000"/>
        </w:rPr>
        <w:t xml:space="preserve"> </w:t>
      </w:r>
      <w:r>
        <w:rPr>
          <w:rFonts w:ascii="Times New Roman;sans-serif" w:hAnsi="Times New Roman;sans-serif"/>
          <w:b w:val="false"/>
          <w:color w:val="000000"/>
          <w:sz w:val="20"/>
        </w:rPr>
        <w:t xml:space="preserve">We are committed to establishing a program to assess and help mitigate cybersecurity threats through: (i) conducting employee training on cybersecurity risks and best practices; (ii) implementing measures to classify and protect data; and (iii) taking steps to be aware of and address new cybersecurity threats, including through the receipt of threat information from third-parties that helps us proactively prevent and detect cybersecurity threats.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Impact of Cybersecurity Risks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on an ongoing basis, the potential impact of risks from cybersecurity threats on us and our business. During the reporting period, we have not identified any risks from cybersecurity threats, including as a result of any previous cybersecurity incidents, that have materially affected, or are reasonably likely to materially affect us, including our business strategy, results of operations or financial condition.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Board Oversight of Cybersecurity Risks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through the Audit Committee, provides strategic oversight regarding risks from cybersecurity threats through oversight of our overarching cybersecurity posture and risk management practices. The Audit Committee receives periodic updates from our CIO on the current status of our cybersecurity program and risks from cybersecurity threats, and our Board of Directors is apprised of significant cybersecurity matters.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Role in Assessing and Managing Material Risks from Cybersecurity Threats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assessing and managing risks from cybersecurity threats. Specifically, our CIO, supported by our Global Information Security Team, is responsible for the overall management of our information security program, which includes assessing, identifying and managing cybersecurity risks and material risks from cybersecurity threats. The Company’s CIO was promoted to the position in January 2024 after serving as Senior Vice President – Enterprise Applications since July 2022. The CIO has more than 25 years of manufacturing experience, mostly in IT leadership roles in the semiconductor industry, and holds electrical and computer engineering degrees from the University of Missouri and an MBA from The Ohio State University.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Members of the Global Information Security Team possess expertise in various disciplines that are key to effectively managing our information security program. Team members represent relevant functions within the organization (e.g., Risk and Compliance, Security Operation Center &amp; Network Engineering and Operational Technology). Each Global Information Security Team member has more than 15 years of experience working for large enterprises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technology and information security space. This includes, but is not limited to, expertise in data infrastructure, operations and information security and risk and compliance. In addition, our CIO and certain members of the Global Information Security Team are informed about and monitor the prevention, detection, mitigation and remediation of cybersecurity incidents through their participation in incident response protocols.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2.</w:t>
      </w:r>
      <w:r>
        <w:rPr>
          <w:rFonts w:ascii="Times New Roman;sans-serif" w:hAnsi="Times New Roman;sans-serif"/>
          <w:b/>
          <w:i/>
          <w:color w:val="000000"/>
          <w:sz w:val="20"/>
        </w:rPr>
        <w:t>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size of our manufacturing and research and development facilities are set forth in the table below. All facilities are owned unless otherwise specified. Generally, our facilities are collateral for indebtedness incurred by our subsidiary for the jurisdiction in which the facilities are located.</w:t>
      </w:r>
    </w:p>
    <w:tbl>
      <w:tblPr>
        <w:tblW w:w="6009" w:type="dxa"/>
        <w:jc w:val="center"/>
        <w:tblInd w:w="0" w:type="dxa"/>
        <w:tblLayout w:type="fixed"/>
        <w:tblCellMar>
          <w:top w:w="28" w:type="dxa"/>
          <w:left w:w="28" w:type="dxa"/>
          <w:bottom w:w="28" w:type="dxa"/>
          <w:right w:w="28" w:type="dxa"/>
        </w:tblCellMar>
      </w:tblPr>
      <w:tblGrid>
        <w:gridCol w:w="565"/>
        <w:gridCol w:w="496"/>
        <w:gridCol w:w="499"/>
        <w:gridCol w:w="540"/>
        <w:gridCol w:w="541"/>
        <w:gridCol w:w="221"/>
        <w:gridCol w:w="132"/>
        <w:gridCol w:w="132"/>
        <w:gridCol w:w="132"/>
        <w:gridCol w:w="413"/>
        <w:gridCol w:w="413"/>
        <w:gridCol w:w="216"/>
        <w:gridCol w:w="132"/>
        <w:gridCol w:w="132"/>
        <w:gridCol w:w="132"/>
        <w:gridCol w:w="540"/>
        <w:gridCol w:w="541"/>
        <w:gridCol w:w="232"/>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Facility Size</w:t>
              <w:br/>
              <w:t>(Square Feet)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Leased</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(1)</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1,398,000 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1,398,000 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 (1)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 (2)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 (1) (3)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 facilities</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11,277,000 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858,000 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12,135,000 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(1)Land is leased.</w:t>
      </w:r>
    </w:p>
    <w:p>
      <w:pPr>
        <w:pStyle w:val="TextBody"/>
        <w:bidi w:val="0"/>
        <w:spacing w:lineRule="auto" w:line="288" w:before="180" w:after="18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(2)As a result of foreign ownership restrictions in the Philippines, the land is leased. A portion of the land we lease is owned by realty companies in which we own a 40% interest. </w:t>
      </w:r>
    </w:p>
    <w:p>
      <w:pPr>
        <w:pStyle w:val="TextBody"/>
        <w:bidi w:val="0"/>
        <w:spacing w:lineRule="auto" w:line="288" w:before="180" w:after="18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(3)In October 2023, we completed construction for the first phase of the Vietnam Facility. High-volume manufacturing is expected to begin in the second half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offices, which are leased, are located in Tempe, Arizona and Singapore. We believe that our existing properties are in good condition and suitable for the conduct of our business and that the productive capacity of such properties is substantially being utilized or we have plans to utilize 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3.</w:t>
      </w:r>
      <w:r>
        <w:rPr>
          <w:rFonts w:ascii="Times New Roman;sans-serif" w:hAnsi="Times New Roman;sans-serif"/>
          <w:b/>
          <w:i/>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various disputes and litigation matters that arise in the ordinary course of our business. These include disputes and lawsuits related to intellectual property, acquisitions, licensing, contracts, tax, regulatory compliance, employee relations and other matters. For a discussion of our material legal proceedings, see Note 17 to our Consolidated Financial Statements in Part II, Item 8 of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4.</w:t>
      </w:r>
      <w:r>
        <w:rPr>
          <w:rFonts w:ascii="Times New Roman;sans-serif" w:hAnsi="Times New Roman;sans-serif"/>
          <w:b/>
          <w:i/>
          <w:color w:val="000000"/>
          <w:sz w:val="20"/>
        </w:rPr>
        <w:t>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5.</w:t>
      </w:r>
      <w:r>
        <w:rPr>
          <w:rFonts w:ascii="Times New Roman;sans-serif" w:hAnsi="Times New Roman;sans-serif"/>
          <w:b/>
          <w:i/>
          <w:color w:val="000000"/>
          <w:sz w:val="20"/>
        </w:rPr>
        <w:t>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LISTING ON THE NASDAQ GLOBAL SELECT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Nasdaq Global Select Market under the symbol “AMKR.” There were approximately 79 holders of record of our common stock as of February 9,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our Board of Directors approved the initiation of a regular quarterly cash dividend on our common stock. Each quarter since the adoption of this dividend policy, the Company has declared and paid a quarterly dividend. In November 2023, our Board of Directors approved a quarterly dividend of $0.07875 per share, a 5% increase from the rate set in November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 Refer to the “Liquidity” section in Item 7 of this Form 10-K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equity compensation plans is set forth in Part III, Item 12 of this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repurchases of our common stock during the three months ended December 31, 2023:</w:t>
      </w:r>
    </w:p>
    <w:tbl>
      <w:tblPr>
        <w:tblW w:w="10205" w:type="dxa"/>
        <w:jc w:val="center"/>
        <w:tblInd w:w="0" w:type="dxa"/>
        <w:tblLayout w:type="fixed"/>
        <w:tblCellMar>
          <w:top w:w="28" w:type="dxa"/>
          <w:left w:w="28" w:type="dxa"/>
          <w:bottom w:w="28" w:type="dxa"/>
          <w:right w:w="28" w:type="dxa"/>
        </w:tblCellMar>
      </w:tblPr>
      <w:tblGrid>
        <w:gridCol w:w="618"/>
        <w:gridCol w:w="427"/>
        <w:gridCol w:w="434"/>
        <w:gridCol w:w="534"/>
        <w:gridCol w:w="503"/>
        <w:gridCol w:w="504"/>
        <w:gridCol w:w="326"/>
        <w:gridCol w:w="954"/>
        <w:gridCol w:w="168"/>
        <w:gridCol w:w="879"/>
        <w:gridCol w:w="879"/>
        <w:gridCol w:w="882"/>
        <w:gridCol w:w="845"/>
        <w:gridCol w:w="1628"/>
        <w:gridCol w:w="624"/>
      </w:tblGrid>
      <w:tr>
        <w:trPr/>
        <w:tc>
          <w:tcPr>
            <w:tcW w:w="61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w:t>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w:t>
            </w:r>
          </w:p>
        </w:tc>
      </w:tr>
      <w:tr>
        <w:trPr/>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 October 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 November 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 December 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shares of common stock surrendered to us to satisfy tax withholding obligations associated with share-based compensation awards issued to employees.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both"/>
        <w:rPr/>
      </w:pPr>
      <w:r>
        <w:rPr>
          <w:rFonts w:ascii="Times New Roman;sans-serif" w:hAnsi="Times New Roman;sans-serif"/>
          <w:b/>
          <w:color w:val="000000"/>
          <w:sz w:val="20"/>
        </w:rPr>
        <w:t xml:space="preserve">PERFORMANCE GRAPH </w:t>
      </w:r>
      <w:r>
        <w:rPr>
          <w:rFonts w:ascii="Times New Roman;sans-serif" w:hAnsi="Times New Roman;sans-serif"/>
          <w:b/>
          <w:color w:val="000000"/>
          <w:sz w:val="13"/>
        </w:rPr>
        <w:t>(1)</w:t>
      </w:r>
    </w:p>
    <w:p>
      <w:pPr>
        <w:pStyle w:val="TextBody"/>
        <w:bidi w:val="0"/>
        <w:spacing w:before="0" w:after="0"/>
        <w:jc w:val="center"/>
        <w:rPr/>
      </w:pPr>
      <w:r>
        <w:rPr/>
        <w:drawing>
          <wp:inline distT="0" distB="0" distL="0" distR="0">
            <wp:extent cx="6172200" cy="5124450"/>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6172200" cy="5124450"/>
                    </a:xfrm>
                    <a:prstGeom prst="rect">
                      <a:avLst/>
                    </a:prstGeom>
                  </pic:spPr>
                </pic:pic>
              </a:graphicData>
            </a:graphic>
          </wp:inline>
        </w:drawing>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preceding Stock Performance Graph is not deemed filed with the SEC and shall not be incorporated by reference in any of our filings under the Securities Act of 1933, as amended (the “Securities Act”), or the Exchange Act, whether made before or after the date hereof and irrespective of any general incorporation language in any such filing. The stock performance shown on the performance graph above is not necessarily indicative of future performance. We will not make or endorse any predictions as to Amkor’s future stock performance.</w:t>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cumulative total returns included in the preceding Stock Performance Graph for the years ended December 31, 2018 through 2023:</w:t>
      </w:r>
    </w:p>
    <w:tbl>
      <w:tblPr>
        <w:tblW w:w="9260" w:type="dxa"/>
        <w:jc w:val="center"/>
        <w:tblInd w:w="0" w:type="dxa"/>
        <w:tblLayout w:type="fixed"/>
        <w:tblCellMar>
          <w:top w:w="28" w:type="dxa"/>
          <w:left w:w="28" w:type="dxa"/>
          <w:bottom w:w="28" w:type="dxa"/>
          <w:right w:w="28" w:type="dxa"/>
        </w:tblCellMar>
      </w:tblPr>
      <w:tblGrid>
        <w:gridCol w:w="678"/>
        <w:gridCol w:w="596"/>
        <w:gridCol w:w="60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Amkor Technology,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S&amp;P Midcap 400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PHLX Semiconductor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6.</w:t>
      </w:r>
      <w:r>
        <w:rPr>
          <w:rFonts w:ascii="Times New Roman;sans-serif" w:hAnsi="Times New Roman;sans-serif"/>
          <w:b/>
          <w:i/>
          <w:color w:val="000000"/>
          <w:sz w:val="20"/>
        </w:rPr>
        <w:t>&lt;Reserved&gt;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ind w:left="0" w:right="0" w:hanging="1080"/>
        <w:jc w:val="left"/>
        <w:rPr/>
      </w:pPr>
      <w:r>
        <w:rPr>
          <w:rFonts w:ascii="Times New Roman;sans-serif" w:hAnsi="Times New Roman;sans-serif"/>
          <w:b/>
          <w:color w:val="000000"/>
          <w:sz w:val="20"/>
        </w:rPr>
        <w:t>Item 7.</w:t>
      </w:r>
      <w:r>
        <w:rPr>
          <w:color w:val="000000"/>
        </w:rPr>
        <w:t>    </w:t>
      </w:r>
      <w:r>
        <w:rPr>
          <w:rFonts w:ascii="Times New Roman;sans-serif" w:hAnsi="Times New Roman;sans-serif"/>
          <w:b/>
          <w:i/>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includes comparisons of certain 2023 financial information to the same information for 2022. For discussion of 2022 results in comparison with 2021 results refer to “Management’s Discussion and Analysis of Financial Conditions and Results of Operations” in our Annual Report on Form 10-K filed with the SEC on February 22,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Amkor is one of the world’s leading providers of outsourced semiconductor packaging and test services. Our financial goal is profitable sales growth. To achieve this goal, we are focused on leveraging our leadership position in services for advanced technologies, providing our customers with a geographically diverse manufacturing footprint, growing within the industry secular growth markets of 5G, automotive, HPC and IoT, optimizing utilization of existing assets, and selectively growing our scale and scope through strategic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an industry leader in developing and commercializing advanced packaging and test technologies, which we believe provide substantial value to our customers. Advanced packages, which account for a significant portion of mobile phone semiconductor value, are the preferred choice in the high-end smartphone market. The use of advanced packages in automotive applications is also growing, largely due to new, data-intensive applications which require increased pin count and performance. With the continuing trend towards cloud-based computing and the expanding use of artificial intelligence, innovative advanced packaging solutions are needed to achieve the increased performance and power consumption requirements for this market. In consumer devices, further miniaturization and increasing functionality within IoT devices also require advanced packaging. We believe that demand for advanced packaging services will continue to grow as our customers and leading electronics OEMs strive for smaller device geometries, higher levels of integration and performance and lower power consumption. We intend to continue to leverage our investments in advanced technology to meet the demand for these services in high growth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broad geographic footprint, including our manufacturing presence in Portugal and our headquarters in the United States, are key differentiators for us and position us to continue to support global supply chains and to participate in initiatives to regionalize supply chains. We are preparing to deliver advanced SiP modules and other advanced packages from our Vietnam Facility beginning in the second half of 2024, which we believe will provide customers with a cost-competitive high-volume manufacturing location that offers additional supply chain diversification.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Another key factor in our success is the optimization of asset utilization.</w:t>
      </w:r>
      <w:r>
        <w:rPr>
          <w:color w:val="000000"/>
        </w:rPr>
        <w:t xml:space="preserve"> </w:t>
      </w:r>
      <w:r>
        <w:rPr>
          <w:rFonts w:ascii="Times New Roman;sans-serif" w:hAnsi="Times New Roman;sans-serif"/>
          <w:b w:val="false"/>
          <w:color w:val="000000"/>
          <w:sz w:val="20"/>
        </w:rPr>
        <w:t>We build and utilize manufacturing lines which support multiple customers, and we increase factory utilization through sophisticated planning processes and intensive efficiency improvement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identify attractive opportunities to strengthen our leadership position and market share through expansion of our operations, joint ventures, acquisitions and other strategic investments. We believe that selective growth through these strategic actions can further strengthen customer relationships, help to maintain and enhance our technological leadership, diversify our revenue streams and improve our profits.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supplier in the semiconductor industry, our business is cyclical and impacted by broad economic factors. Historical trends indicate there has been a strong correlation between worldwide gross domestic product levels, consumer spending and semiconductor industry cycles. We believe that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 </w:t>
      </w:r>
    </w:p>
    <w:p>
      <w:pPr>
        <w:pStyle w:val="TextBody"/>
        <w:bidi w:val="0"/>
        <w:spacing w:before="0" w:after="0"/>
        <w:jc w:val="both"/>
        <w:rPr/>
      </w:pPr>
      <w:r>
        <w:rPr/>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 equity financings and our investment strategy. As of December 31, 2023, we had cash and cash equivalents and short-term investments of $1,119.8 million and $474.9 million, respectively. </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Part 1, Item 1A of this Form 10-K. We expect macroeconomic conditions to be challenging in the first half of 2024. To prepare for future growth, we will continue to make prudent investments, and we will closely manage capacity expansion and control costs in response to changes in market conditions.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Financial Summary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decreased $588.5 million or 8.3% to $6,503.1 million in 2023 from $7,091.6 million in 2022. The decrease was primarily due to lower sales in our consumer and computing end markets, partially offset by growth in our communications end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decreased to 14.5% in 2023 compared to 18.8% in 2022. The decrease in gross margin was primarily due to an increase in the mix of products sold with higher material content, the decrease in net sales and resulting lower factory utilization.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Operating income margin decreased 550 basis points to 7.2% in 2023 from 12.7% in 2022. </w:t>
      </w:r>
      <w:r>
        <w:rPr>
          <w:rFonts w:ascii="Times New Roman;sans-serif" w:hAnsi="Times New Roman;sans-serif"/>
          <w:b w:val="false"/>
          <w:color w:val="000000"/>
          <w:sz w:val="20"/>
          <w:shd w:fill="FFFFFF" w:val="clear"/>
        </w:rPr>
        <w:t>The decrease in our operating income margin was due to the</w:t>
      </w:r>
      <w:r>
        <w:rPr>
          <w:color w:val="000000"/>
        </w:rPr>
        <w:t xml:space="preserve"> </w:t>
      </w:r>
      <w:r>
        <w:rPr>
          <w:rFonts w:ascii="Times New Roman;sans-serif" w:hAnsi="Times New Roman;sans-serif"/>
          <w:b w:val="false"/>
          <w:color w:val="000000"/>
          <w:sz w:val="20"/>
        </w:rPr>
        <w:t>decrease in our gross margin discussed above along with an increase in research and development expenses, primarily due to additional equipment and overhead costs to support development projects in advanced packaging technologies, partially offset by projects that moved into production. Operating income margin was also impacted by an increase in selling, general and administrative expenses, primarily due to costs associated with the opening of the Vietnam Facility and increased bad debt expense, partially offset by a reduction in employee compensation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our capital expenditures totaled $749.5 million, or 11.5% of net sales, compared to $908.3 million, or 12.8% of net sales in 2022. Our spending was primarily focused on investments in advanced packaging and test equipment and the Vietnam Facility.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$1,270.0 million for the year ended December 31, 2023, compared to $1,098.8 million for the year ended December 31, 2022. This increase was primarily due to changes in working capital, offset by lower net sales and operating profits. </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our Board of Directors approved a quarterly dividend of $0.07875 per share, a 5% increase from the rate set in November 2022. In 2023, we paid total quarterly cash dividends of $74.7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operating data as a percentage of net sales for the periods indicated:</w:t>
      </w:r>
    </w:p>
    <w:tbl>
      <w:tblPr>
        <w:tblW w:w="5997" w:type="dxa"/>
        <w:jc w:val="left"/>
        <w:tblInd w:w="0" w:type="dxa"/>
        <w:tblLayout w:type="fixed"/>
        <w:tblCellMar>
          <w:top w:w="28" w:type="dxa"/>
          <w:left w:w="28" w:type="dxa"/>
          <w:bottom w:w="28" w:type="dxa"/>
          <w:right w:w="28" w:type="dxa"/>
        </w:tblCellMar>
      </w:tblPr>
      <w:tblGrid>
        <w:gridCol w:w="916"/>
        <w:gridCol w:w="809"/>
        <w:gridCol w:w="824"/>
        <w:gridCol w:w="278"/>
        <w:gridCol w:w="278"/>
        <w:gridCol w:w="311"/>
        <w:gridCol w:w="132"/>
        <w:gridCol w:w="132"/>
        <w:gridCol w:w="132"/>
        <w:gridCol w:w="278"/>
        <w:gridCol w:w="278"/>
        <w:gridCol w:w="311"/>
        <w:gridCol w:w="132"/>
        <w:gridCol w:w="132"/>
        <w:gridCol w:w="132"/>
        <w:gridCol w:w="278"/>
        <w:gridCol w:w="278"/>
        <w:gridCol w:w="366"/>
      </w:tblGrid>
      <w:tr>
        <w:trPr/>
        <w:tc>
          <w:tcPr>
            <w:tcW w:w="91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manufacturing costs</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Amkor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w:t>
      </w:r>
    </w:p>
    <w:tbl>
      <w:tblPr>
        <w:tblW w:w="9885" w:type="dxa"/>
        <w:jc w:val="left"/>
        <w:tblInd w:w="0" w:type="dxa"/>
        <w:tblLayout w:type="fixed"/>
        <w:tblCellMar>
          <w:top w:w="28" w:type="dxa"/>
          <w:left w:w="28" w:type="dxa"/>
          <w:bottom w:w="28" w:type="dxa"/>
          <w:right w:w="28" w:type="dxa"/>
        </w:tblCellMar>
      </w:tblPr>
      <w:tblGrid>
        <w:gridCol w:w="276"/>
        <w:gridCol w:w="243"/>
        <w:gridCol w:w="246"/>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11"/>
        <w:gridCol w:w="109"/>
        <w:gridCol w:w="109"/>
        <w:gridCol w:w="109"/>
        <w:gridCol w:w="109"/>
        <w:gridCol w:w="224"/>
        <w:gridCol w:w="226"/>
        <w:gridCol w:w="256"/>
        <w:gridCol w:w="109"/>
        <w:gridCol w:w="109"/>
        <w:gridCol w:w="109"/>
        <w:gridCol w:w="196"/>
        <w:gridCol w:w="736"/>
        <w:gridCol w:w="109"/>
        <w:gridCol w:w="109"/>
        <w:gridCol w:w="109"/>
        <w:gridCol w:w="109"/>
        <w:gridCol w:w="233"/>
        <w:gridCol w:w="233"/>
        <w:gridCol w:w="301"/>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over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over 2021</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$588.5 million decrease in net sales in 2023 compared to 2022 was primarily due to lower sales in our consumer and computing end markets, partially offset by growth in our communications end market. The consumer and computing end markets decreased 38% and 11%, respectively, in 2023 compared to 2022. These end markets were impacted by the cyclical correction of the semiconductor market, product lifecycle changeovers and weaker demand. Despite this cyclical correction, communications, our largest end market, grew 4% in 2023 compared to 2022, due to market share gains and the increase in silicon content within premium tier smartphones.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tbl>
      <w:tblPr>
        <w:tblW w:w="8789" w:type="dxa"/>
        <w:jc w:val="left"/>
        <w:tblInd w:w="0" w:type="dxa"/>
        <w:tblLayout w:type="fixed"/>
        <w:tblCellMar>
          <w:top w:w="28" w:type="dxa"/>
          <w:left w:w="28" w:type="dxa"/>
          <w:bottom w:w="28" w:type="dxa"/>
          <w:right w:w="28" w:type="dxa"/>
        </w:tblCellMar>
      </w:tblPr>
      <w:tblGrid>
        <w:gridCol w:w="396"/>
        <w:gridCol w:w="348"/>
        <w:gridCol w:w="350"/>
        <w:gridCol w:w="196"/>
        <w:gridCol w:w="736"/>
        <w:gridCol w:w="256"/>
        <w:gridCol w:w="109"/>
        <w:gridCol w:w="109"/>
        <w:gridCol w:w="109"/>
        <w:gridCol w:w="196"/>
        <w:gridCol w:w="871"/>
        <w:gridCol w:w="256"/>
        <w:gridCol w:w="109"/>
        <w:gridCol w:w="109"/>
        <w:gridCol w:w="109"/>
        <w:gridCol w:w="196"/>
        <w:gridCol w:w="871"/>
        <w:gridCol w:w="256"/>
        <w:gridCol w:w="109"/>
        <w:gridCol w:w="109"/>
        <w:gridCol w:w="109"/>
        <w:gridCol w:w="196"/>
        <w:gridCol w:w="811"/>
        <w:gridCol w:w="256"/>
        <w:gridCol w:w="109"/>
        <w:gridCol w:w="109"/>
        <w:gridCol w:w="109"/>
        <w:gridCol w:w="205"/>
        <w:gridCol w:w="770"/>
        <w:gridCol w:w="315"/>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over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over 2021</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943,153 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1,329,987 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1,225,554 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(386,834)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104,433 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and gross margin decreased for 2023 compared to 2022 primarily due to an increase in the mix of products sold with higher material content, the decrease in net sales and resulting lower factory utilization.</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655"/>
        <w:gridCol w:w="577"/>
        <w:gridCol w:w="57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88"/>
        <w:gridCol w:w="188"/>
        <w:gridCol w:w="256"/>
        <w:gridCol w:w="109"/>
        <w:gridCol w:w="109"/>
        <w:gridCol w:w="109"/>
        <w:gridCol w:w="196"/>
        <w:gridCol w:w="695"/>
        <w:gridCol w:w="109"/>
        <w:gridCol w:w="109"/>
        <w:gridCol w:w="109"/>
        <w:gridCol w:w="109"/>
        <w:gridCol w:w="211"/>
        <w:gridCol w:w="213"/>
        <w:gridCol w:w="302"/>
      </w:tblGrid>
      <w:tr>
        <w:trPr/>
        <w:tc>
          <w:tcPr>
            <w:tcW w:w="65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over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over 2021</w:t>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4"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in 2023 compared to 2022. The increase was primarily due to costs associated with the opening of the Vietnam Facility and increased bad debt expense, partially offset by a reduction in employee compensation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585"/>
        <w:gridCol w:w="514"/>
        <w:gridCol w:w="51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256"/>
        <w:gridCol w:w="109"/>
        <w:gridCol w:w="109"/>
        <w:gridCol w:w="109"/>
        <w:gridCol w:w="196"/>
        <w:gridCol w:w="702"/>
        <w:gridCol w:w="109"/>
        <w:gridCol w:w="109"/>
        <w:gridCol w:w="109"/>
        <w:gridCol w:w="109"/>
        <w:gridCol w:w="259"/>
        <w:gridCol w:w="261"/>
        <w:gridCol w:w="305"/>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over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over 2021</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begins, the costs relating to production become part of the cost of sales, including ongoing depreciation for the equipment previously held for research and development activities.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in 2023 compared to 2022 primarily due to additional equipment and overhead costs to support development projects in advanced packaging technologies, partially offset by projects that moved into production.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 and Expense</w:t>
      </w:r>
    </w:p>
    <w:tbl>
      <w:tblPr>
        <w:tblW w:w="10205" w:type="dxa"/>
        <w:jc w:val="left"/>
        <w:tblInd w:w="0" w:type="dxa"/>
        <w:tblLayout w:type="fixed"/>
        <w:tblCellMar>
          <w:top w:w="28" w:type="dxa"/>
          <w:left w:w="28" w:type="dxa"/>
          <w:bottom w:w="28" w:type="dxa"/>
          <w:right w:w="28" w:type="dxa"/>
        </w:tblCellMar>
      </w:tblPr>
      <w:tblGrid>
        <w:gridCol w:w="648"/>
        <w:gridCol w:w="554"/>
        <w:gridCol w:w="55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97"/>
        <w:gridCol w:w="109"/>
        <w:gridCol w:w="109"/>
        <w:gridCol w:w="109"/>
        <w:gridCol w:w="109"/>
        <w:gridCol w:w="302"/>
        <w:gridCol w:w="304"/>
        <w:gridCol w:w="285"/>
        <w:gridCol w:w="109"/>
        <w:gridCol w:w="109"/>
        <w:gridCol w:w="109"/>
        <w:gridCol w:w="196"/>
        <w:gridCol w:w="607"/>
        <w:gridCol w:w="109"/>
        <w:gridCol w:w="109"/>
        <w:gridCol w:w="109"/>
        <w:gridCol w:w="109"/>
        <w:gridCol w:w="258"/>
        <w:gridCol w:w="258"/>
        <w:gridCol w:w="310"/>
      </w:tblGrid>
      <w:tr>
        <w:trPr/>
        <w:tc>
          <w:tcPr>
            <w:tcW w:w="6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over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over 2021</w:t>
            </w:r>
          </w:p>
        </w:tc>
      </w:tr>
      <w:tr>
        <w:trPr/>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(gain) loss,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retirement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in 2023 compared to 2022, primarily due to higher interest rates on our cash and cash equivalents and available-for-sale debt investment balances.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foreign currency (gain) loss, net for the 2023 compared to the 2022 were primarily due to the higher costs associated with our derivative instruments, which are used to reduce our exposure to foreign currency gains and losses.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tbl>
      <w:tblPr>
        <w:tblW w:w="8651" w:type="dxa"/>
        <w:jc w:val="left"/>
        <w:tblInd w:w="0" w:type="dxa"/>
        <w:tblLayout w:type="fixed"/>
        <w:tblCellMar>
          <w:top w:w="28" w:type="dxa"/>
          <w:left w:w="28" w:type="dxa"/>
          <w:bottom w:w="28" w:type="dxa"/>
          <w:right w:w="28" w:type="dxa"/>
        </w:tblCellMar>
      </w:tblPr>
      <w:tblGrid>
        <w:gridCol w:w="547"/>
        <w:gridCol w:w="482"/>
        <w:gridCol w:w="486"/>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260"/>
        <w:gridCol w:w="839"/>
        <w:gridCol w:w="145"/>
        <w:gridCol w:w="109"/>
        <w:gridCol w:w="109"/>
        <w:gridCol w:w="109"/>
        <w:gridCol w:w="254"/>
        <w:gridCol w:w="837"/>
        <w:gridCol w:w="199"/>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over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over 2021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which includes foreign withholding taxes and minimum taxes, reflects the applicable tax rates in effect in the various countries where our income is earned and is subject to volatility depending on the relative mix of earnings in each location.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is below the U.S. statutory rate of 21% primarily due to lower tax rates applicable to our operations in some foreign jurisdictions where we earn income. The effective tax rate in 2022 includes a $17.8 million tax benefit from the recognition of deferred tax assets we expect to utilize in future years.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2022 and 2021, our subsidiaries in Korea and Singapore operated under various conditional reduced tax rates. The conditional reduced tax rates granted to certain operations in the Philippines expired during 2021. As these conditional reduced tax rates expire, income earned in these jurisdictions will be subject to higher statutory income tax rates, which may cause our effective tax rate to increase.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to our Consolidated Financial Statements included in Part II, Item 8 of this Form 10-K for additional information about our income tax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liquidity based on our current expectations regarding sales and operating expenses, capital spending, dividend payments, stock and debt repurchases, debt service requirements and other funding needs. Based on this assessment, we believe that our cash flow from operating activities, together with existing cash and cash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and availability under our credit facilities, will be sufficient to fund our working capital, capital expenditures, dividend payments, debt service, debt repurchases and other financial requirements for at least the next twelve months.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 Item 1A of this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6 and Note 11 to our Consolidated Financial Statements in Part II, Item 8 of this Form 10-K for additional information on our investments and borrowings, respectively.</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cash and cash equivalents and short-term investments of $1,594.7 million. Included in our cash and short-term investments balances as of December 31, 2023, is $1,439.6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 For the year ended December 31, 2023, we estimate that repatriation of this foreign cash and short-term investments would generate withholding taxes and state income taxes of approximately $48 million.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net liability associated with unrecognized tax benefits is $27.5 million. Due to the uncertainty regarding the amount and timing of any future cash outflows associated with our unrecognized tax benefits, we are unable to reasonably estimate the amount and timing of ultimate settlement, if any, with the various taxing authorities.</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year ended December 31, 2023 and 2022, we sold accounts receivable totaling $253.9 million and $386.5 million, net of discounts and fees of $1.3 million and $1.1 million,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borrowing capacity under our $600.0 million senior secured revolving credit facility (“2022 Singapore Revolver”) is limited to a base amount equal to the lesser of: (1) $600.0 million; or (2) $250 million plus a variable amount equal to 37.5% of our consolidated accounts receivable balance. As of December 31, 2023, we had availability of $600.0 million. As of December 31, 2023, our foreign subsidiaries had $615.0 million available for future borrowings under revolving credit facilities, including the 2022 Singapore Revolver, and $69.7 million available to be borrowed under term loan credit facilities for working capital purposes and capital expenditures. For additional information regarding the 2022 Singapore Revolver, please refer to Note 11 to our Consolidated Financial Statements in Part II, Item 8 of this Form 10-K.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debt of $1,203.5 million, with $131.6 million payable within 12 months. As of December 31, 2023, the interest payment obligations, based on stated coupon rates for fixed rate debt and interest rates applicable at December 31, 2023 for variable rate debt, were $183.1 million during the remaining term of the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payment obligations payable within 12 months is $52.4 million. We were in compliance with all debt covenants as of December 31, 2023, and we expect to remain in compliance with these covenants for at least the next twelve months. For additional information regarding our debt arrangements, please refer to Note 11 to our Consolidated Financial Statements in Part II, Item 8 of this Form 10-K.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debt of Amkor Technology, Inc. is structurally subordinated in right of payment to all existing and future debt and other liabilities of our subsidiaries. From time to time, Amkor Technology, Inc., Amkor Technology Taiwan Ltd. (“ATT”), Amkor Advanced Technology Taiwan, Inc. (“AATT”) and Amkor Technology Singapore Holding Pte. Ltd. (“ATSH”) guarantee certain debt of our subsidiaries.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subsidiary in Korea maintains an unfunded severance plan that covers certain employees who were employed prior to August 1, 2015. As of December 31, 2023, the severance liability was $47.8 million, with $7.9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December 31, 2023, we had foreign pension plan obligations of $47.1 million, for which the timing and actual amount of impact on our future cash flow is uncertain. For additional information regarding our pension and severance plans, please refer to Note 12 to our Consolidated Financial Statements in Part II, Item 8 of this Form 10-K.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certain machinery and equipment, office space and manufacturing facilities. As of December 31, 2023, our total remaining operating lease obligations and finance lease obligations were $105.2 million and $118.0 million, respectively, with $36.9 million and $62.3 million payable within 12 months, respectively. The lease obligations represent our future minimum lease payments including interest payments. For additional information regarding our leases, please refer to Note 9 to our Consolidated Financial Statements in Part II, Item 8 of this Form 10-K.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off-balance sheet purchase obligations for capital expenditures, long-term supply contracts and other contractual commitments. As of December 31, 2023, the purchase obligations were $408.5 million, with $402.0 million payable within 12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 Returns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paid total quarterly cash dividends of $74.7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make significant capital expenditures in order to service the demand of our customers. In 2023, our capital expenditures totaled $749.5 million or approximately 11.5% of net sales, which are primarily focused on investments in advanced packaging and test equipment and the Vietnam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2024 capital expenditures will be approximately $750 million. Ultimately, the amount of our 2024 capital expenditures will depend on several factors including, among others, the timing and implementation of any capital projects under review, the performance of our business, economic and market conditions, the cash needs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opportunities for the business, the need for additional capacity to service anticipated customer demand, equipment lead times and the availability of cash flows from operations or financing. We expect that our 2024 capital expenditures related to our planned advanced packaging and test facility in Arizona will be primarily for the design and construction planning. The primary sources of funds for our capital expenditures are cash flows from operations, current cash and cash equivalents, short-term investments, borrowings under available credit facilities and proceeds from any additional debt or equity financings. Please refer to Note 6 and Note 11 to our Consolidated Financial Statements in Part II, Item 8 of this Form 10-K for additional information on our investments and borrowings, respectively.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subject to risks associated with our capital expenditures, including those discussed in Part I, Item 1A of this Form 10-K under the caption “We make substantial investments in equipment and facilities to support the demand of our customers, which may materially and adversely affect our business if the demand of our customers does not develop as we expect or is adversely affected.”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investing and financing activities for each of the three years ended December 31, 2023 was as follows:</w:t>
      </w:r>
    </w:p>
    <w:tbl>
      <w:tblPr>
        <w:tblW w:w="6327" w:type="dxa"/>
        <w:jc w:val="left"/>
        <w:tblInd w:w="0" w:type="dxa"/>
        <w:tblLayout w:type="fixed"/>
        <w:tblCellMar>
          <w:top w:w="28" w:type="dxa"/>
          <w:left w:w="28" w:type="dxa"/>
          <w:bottom w:w="28" w:type="dxa"/>
          <w:right w:w="28" w:type="dxa"/>
        </w:tblCellMar>
      </w:tblPr>
      <w:tblGrid>
        <w:gridCol w:w="630"/>
        <w:gridCol w:w="553"/>
        <w:gridCol w:w="557"/>
        <w:gridCol w:w="211"/>
        <w:gridCol w:w="976"/>
        <w:gridCol w:w="109"/>
        <w:gridCol w:w="109"/>
        <w:gridCol w:w="109"/>
        <w:gridCol w:w="109"/>
        <w:gridCol w:w="211"/>
        <w:gridCol w:w="976"/>
        <w:gridCol w:w="109"/>
        <w:gridCol w:w="109"/>
        <w:gridCol w:w="109"/>
        <w:gridCol w:w="109"/>
        <w:gridCol w:w="211"/>
        <w:gridCol w:w="97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activities:</w:t>
      </w:r>
      <w:r>
        <w:rPr>
          <w:color w:val="000000"/>
        </w:rPr>
        <w:t>  </w:t>
      </w:r>
      <w:r>
        <w:rPr>
          <w:rFonts w:ascii="Times New Roman;sans-serif" w:hAnsi="Times New Roman;sans-serif"/>
          <w:b w:val="false"/>
          <w:color w:val="000000"/>
          <w:sz w:val="20"/>
        </w:rPr>
        <w:t xml:space="preserve">Our cash flow provided by operating activities for the year ended December 31, 2023 increased by $171.3 million compared to the year ended December 31, 2022, primarily due to changes in working capital, offset by lower net sales and operating profits.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Investing activities:</w:t>
      </w:r>
      <w:r>
        <w:rPr>
          <w:color w:val="000000"/>
        </w:rPr>
        <w:t>  </w:t>
      </w:r>
      <w:r>
        <w:rPr>
          <w:rFonts w:ascii="Times New Roman;sans-serif" w:hAnsi="Times New Roman;sans-serif"/>
          <w:b w:val="false"/>
          <w:color w:val="000000"/>
          <w:sz w:val="20"/>
        </w:rPr>
        <w:t>Our cash flow used in investing activities for the year ended December 31, 2023 decreased by $55.3 million compared to the year ended December 31, 2022, primarily due to decreased payments related to property, plant and equipment and decreased net payments for foreign exchange forward contracts, offset by higher net payments for short-term investments. Payments for property, plant and equipment can fluctuate based on the timing of purchase, receipt and acceptance of equipment.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Financing activities:</w:t>
      </w:r>
      <w:r>
        <w:rPr>
          <w:color w:val="000000"/>
        </w:rPr>
        <w:t>  </w:t>
      </w:r>
      <w:r>
        <w:rPr>
          <w:rFonts w:ascii="Times New Roman;sans-serif" w:hAnsi="Times New Roman;sans-serif"/>
          <w:b w:val="false"/>
          <w:color w:val="000000"/>
          <w:sz w:val="20"/>
        </w:rPr>
        <w:t>The net cash used in financing activities for the year ended December 31, 2023 was primarily due to the payments of our quarterly dividends and finance lease obligations. The net cash provided by financing activities for the year ended December 31, 2022 was primarily due to net debt borrowings, offset by the payments of our quarterly dividends and finance lease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2049"/>
        <w:gridCol w:w="1782"/>
        <w:gridCol w:w="1786"/>
        <w:gridCol w:w="211"/>
        <w:gridCol w:w="976"/>
        <w:gridCol w:w="109"/>
        <w:gridCol w:w="109"/>
        <w:gridCol w:w="109"/>
        <w:gridCol w:w="109"/>
        <w:gridCol w:w="211"/>
        <w:gridCol w:w="976"/>
        <w:gridCol w:w="109"/>
        <w:gridCol w:w="109"/>
        <w:gridCol w:w="109"/>
        <w:gridCol w:w="109"/>
        <w:gridCol w:w="211"/>
        <w:gridCol w:w="976"/>
        <w:gridCol w:w="155"/>
      </w:tblGrid>
      <w:tr>
        <w:trPr/>
        <w:tc>
          <w:tcPr>
            <w:tcW w:w="204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property,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insurance recovery for and grants for property, plant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344,777 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Contingencies, Indemnifications and Guarantees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Please refer to Note 17 to our Consolidated Financial Statements in Part II, Item 8 of this Form 10-K for a discussion of contingencies related to litigation and other legal matters.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Form 10-K. Our preparation of this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 including the impact of any deterioration in the global business and economic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 xml:space="preserve">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 </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Income Taxes.</w:t>
      </w:r>
      <w:r>
        <w:rPr>
          <w:color w:val="000000"/>
        </w:rPr>
        <w:t>  </w:t>
      </w:r>
      <w:r>
        <w:rPr>
          <w:rFonts w:ascii="Times New Roman;sans-serif" w:hAnsi="Times New Roman;sans-serif"/>
          <w:b w:val="false"/>
          <w:color w:val="000000"/>
          <w:sz w:val="20"/>
        </w:rPr>
        <w:t>We operate in and file income tax returns in various U.S. and non-U.S. jurisdictions which are subject to examination by tax authorities. The 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 income from our foreign subsidiaries, expiration of conditional reduced tax rates or changes in tax laws or regulations could result in increased tax expense and effective tax rates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 planning strategies and results of recent operations. With the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certain U.S. federal net operating losses and U.S. foreign tax credit carryforwards expected to expire unused and on select deferred tax assets in certain foreign jurisdictions. Such valuation allowances are released as the related tax benefits are realized or when sufficient evidence exists to conclude that it is more likely than not that the deferred tax assets will be realized.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Valuation of Inventory.</w:t>
      </w:r>
      <w:r>
        <w:rPr>
          <w:color w:val="000000"/>
        </w:rPr>
        <w:t>  </w:t>
      </w:r>
      <w:r>
        <w:rPr>
          <w:rFonts w:ascii="Times New Roman;sans-serif" w:hAnsi="Times New Roman;sans-serif"/>
          <w:b w:val="false"/>
          <w:color w:val="000000"/>
          <w:sz w:val="20"/>
        </w:rPr>
        <w:t xml:space="preserve">We order raw materials based on customers’ forecasted demand. If our customers change their forecasted requirements and we are 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by the cost of inventory we estimate is excess and obsolete based on the age of our inventories. When a determination is made that the inventory will not be utilized in production or is not saleable, it is written off. The forecast of demand and the evaluation of inventory recoverability require estimates and judgment. Although we make an effort to ensure forecasted demand and estimates of inventory are accurate, any unanticipated changes could have a material effect on our financial condition and result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raw materials and purchased components and are stated at the lower of cost and net realizable value. Cost is principally determined by standard cost or the weighted moving average method, both of which approximate actual cost. For inventory valued using the standard cost method, we review and set our standard costs as needed, but at a minimum on a quarterly basis.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Valuation of Long-lived Assets.</w:t>
      </w:r>
      <w:r>
        <w:rPr>
          <w:color w:val="000000"/>
        </w:rPr>
        <w:t xml:space="preserve"> </w:t>
      </w:r>
      <w:r>
        <w:rPr>
          <w:rFonts w:ascii="Times New Roman;sans-serif" w:hAnsi="Times New Roman;sans-serif"/>
          <w:b w:val="false"/>
          <w:color w:val="000000"/>
          <w:sz w:val="20"/>
        </w:rPr>
        <w:t>We review long-lived assets, which include property, plant and equipment and goodwill, for impairment whenever events or changes in circumstances indicate that the carrying amount may not be recoverable. Factors we consider important which could trigger an impairment review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under-performance relative to expected historical or projected future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changes in the manner of our use of the asset;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negative industry or economic trends;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market capitalization relative to net book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goodwill for impairment annually during the fourth quarter of each year and whenever events or changes in circumstances indicate that an impairment may exist. Impairment losses are recorded when the carrying amount of the reporting unit exceeds its fair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recently adopted and recently issued accounting standards, see Note 1 to our Consolidated Financial Statements included in Part II, Item 8 of this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7A.</w:t>
      </w:r>
      <w:r>
        <w:rPr>
          <w:color w:val="000000"/>
        </w:rPr>
        <w:t>    </w:t>
      </w:r>
      <w:r>
        <w:rPr>
          <w:rFonts w:ascii="Times New Roman;sans-serif" w:hAnsi="Times New Roman;sans-serif"/>
          <w:b/>
          <w:i/>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Risk Sensitivity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2023, to assess the potential impact of fluctuations in exchange rates for all foreign denominated assets and liabilities. Assuming that all foreign currencies appreciated 10% against the U.S. dollar and taking into account our foreign currency forward contracts, our income before taxes as of December 31, 2023 would have been approximately $14 million lower, due to the remeasurement of monetary assets and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foreign currency exchange rate exposure on our results of operations. For the year ended December 31, 2023, approximately 90% of our net sales were denominated in U.S. dollars. Our remaining net sales were principally denominated in Japanese yen. For the year ended December 31, 2023, approximately 60%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December 31, 2023 to assess the potential impact of fluctuations in exchange rates for all foreign denominated sales and operating expenses. Assuming that all foreign currencies appreciated 10% against the U.S. dollar, our operating income for the year ended December 31, 2023 would have been approximately $144 million lower.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inherent limitations in the sensitivity analysis presented, primarily the assumption that foreign exchange rate movements across multiple jurisdictions would change instantaneously in an equal fashion. As a result, the analysis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unable to reflect the potential effects of more complex market or other changes that could arise which may positively or negatively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impacted by changes in exchange rates at the entity where the local currency is the functional currency. The effect of foreign exchange rate translation for these entities was a loss of $3.8 million and $10.7 million for the years ended December 31, 2023 and 2022, respectively, and was recognized as an adjustment to equity through other comprehensive income (loss).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6 to our Consolidated Financial Statements in Part II, Item 8 of this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interest rates, maturities and fair value of our fixed and variable rate debt as of December 31, 2023:</w:t>
      </w:r>
    </w:p>
    <w:tbl>
      <w:tblPr>
        <w:tblW w:w="12275" w:type="dxa"/>
        <w:jc w:val="left"/>
        <w:tblInd w:w="0" w:type="dxa"/>
        <w:tblLayout w:type="fixed"/>
        <w:tblCellMar>
          <w:top w:w="28" w:type="dxa"/>
          <w:left w:w="28" w:type="dxa"/>
          <w:bottom w:w="28" w:type="dxa"/>
          <w:right w:w="28" w:type="dxa"/>
        </w:tblCellMar>
      </w:tblPr>
      <w:tblGrid>
        <w:gridCol w:w="470"/>
        <w:gridCol w:w="162"/>
        <w:gridCol w:w="164"/>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205"/>
        <w:gridCol w:w="426"/>
        <w:gridCol w:w="255"/>
        <w:gridCol w:w="109"/>
        <w:gridCol w:w="109"/>
        <w:gridCol w:w="109"/>
        <w:gridCol w:w="196"/>
        <w:gridCol w:w="871"/>
        <w:gridCol w:w="241"/>
        <w:gridCol w:w="109"/>
        <w:gridCol w:w="109"/>
        <w:gridCol w:w="109"/>
        <w:gridCol w:w="196"/>
        <w:gridCol w:w="87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622,079 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 maturities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131,624 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222,612 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158,655 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622,079 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74,815 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1,209,785 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the fair value of our long-term debt, see Note 16 to our Consolidated Financial Statements in Part II, Item 8 of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ind w:left="0" w:right="0" w:hanging="1080"/>
        <w:jc w:val="left"/>
        <w:rPr/>
      </w:pPr>
      <w:r>
        <w:rPr>
          <w:rFonts w:ascii="Times New Roman;sans-serif" w:hAnsi="Times New Roman;sans-serif"/>
          <w:b/>
          <w:color w:val="000000"/>
          <w:sz w:val="20"/>
        </w:rPr>
        <w:t>Item 8.</w:t>
      </w:r>
      <w:r>
        <w:rPr>
          <w:rFonts w:ascii="Times New Roman;sans-serif" w:hAnsi="Times New Roman;sans-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the information required by Item 8 of Form 10-K here in the following order:</w:t>
      </w:r>
    </w:p>
    <w:tbl>
      <w:tblPr>
        <w:tblW w:w="9046" w:type="dxa"/>
        <w:jc w:val="left"/>
        <w:tblInd w:w="0" w:type="dxa"/>
        <w:tblLayout w:type="fixed"/>
        <w:tblCellMar>
          <w:top w:w="28" w:type="dxa"/>
          <w:left w:w="28" w:type="dxa"/>
          <w:bottom w:w="28" w:type="dxa"/>
          <w:right w:w="28" w:type="dxa"/>
        </w:tblCellMar>
      </w:tblPr>
      <w:tblGrid>
        <w:gridCol w:w="3089"/>
        <w:gridCol w:w="2716"/>
        <w:gridCol w:w="2730"/>
        <w:gridCol w:w="149"/>
        <w:gridCol w:w="149"/>
        <w:gridCol w:w="213"/>
      </w:tblGrid>
      <w:tr>
        <w:trPr/>
        <w:tc>
          <w:tcPr>
            <w:tcW w:w="308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67">
              <w:r>
                <w:rPr>
                  <w:rStyle w:val="InternetLink"/>
                  <w:rFonts w:ascii="Times New Roman;sans-serif" w:hAnsi="Times New Roman;sans-serif"/>
                  <w:b w:val="false"/>
                  <w:strike w:val="false"/>
                  <w:dstrike w:val="false"/>
                  <w:color w:val="000000"/>
                  <w:sz w:val="20"/>
                  <w:u w:val="none"/>
                  <w:effect w:val="none"/>
                </w:rPr>
                <w:t>Report of Independent Registered Public Accounting Firm (PCAOB ID</w:t>
              </w:r>
            </w:hyperlink>
            <w:r>
              <w:rPr>
                <w:rFonts w:ascii="Times New Roman;sans-serif" w:hAnsi="Times New Roman;sans-serif"/>
                <w:b w:val="false"/>
                <w:color w:val="000000"/>
                <w:sz w:val="20"/>
              </w:rPr>
              <w:t xml:space="preserve"> 238)</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d91c2c4fba94bfa9f95bd94c3585b6d_67">
              <w:r>
                <w:rPr>
                  <w:rStyle w:val="InternetLink"/>
                  <w:rFonts w:ascii="Times New Roman;sans-serif" w:hAnsi="Times New Roman;sans-serif"/>
                  <w:b w:val="false"/>
                  <w:strike w:val="false"/>
                  <w:dstrike w:val="false"/>
                  <w:color w:val="000000"/>
                  <w:sz w:val="20"/>
                  <w:u w:val="none"/>
                  <w:effect w:val="none"/>
                </w:rPr>
                <w:t>51</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70">
              <w:r>
                <w:rPr>
                  <w:rStyle w:val="InternetLink"/>
                  <w:rFonts w:ascii="Times New Roman;sans-serif" w:hAnsi="Times New Roman;sans-serif"/>
                  <w:b w:val="false"/>
                  <w:strike w:val="false"/>
                  <w:dstrike w:val="false"/>
                  <w:color w:val="000000"/>
                  <w:sz w:val="20"/>
                  <w:u w:val="none"/>
                  <w:effect w:val="none"/>
                </w:rPr>
                <w:t>Consolidated Statements of Income — Years ended December 31,</w:t>
              </w:r>
            </w:hyperlink>
            <w:r>
              <w:rPr>
                <w:rFonts w:ascii="Times New Roman;sans-serif" w:hAnsi="Times New Roman;sans-serif"/>
                <w:b w:val="false"/>
                <w:color w:val="000000"/>
                <w:sz w:val="20"/>
              </w:rPr>
              <w:t xml:space="preserve"> 2023</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w:t>
              </w:r>
            </w:hyperlink>
            <w:r>
              <w:rPr>
                <w:rFonts w:ascii="Times New Roman;sans-serif" w:hAnsi="Times New Roman;sans-serif"/>
                <w:b w:val="false"/>
                <w:color w:val="000000"/>
                <w:sz w:val="20"/>
              </w:rPr>
              <w:t>2022</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70">
              <w:r>
                <w:rPr>
                  <w:rStyle w:val="InternetLink"/>
                  <w:rFonts w:ascii="Times New Roman;sans-serif" w:hAnsi="Times New Roman;sans-serif"/>
                  <w:b w:val="false"/>
                  <w:strike w:val="false"/>
                  <w:dstrike w:val="false"/>
                  <w:color w:val="000000"/>
                  <w:sz w:val="20"/>
                  <w:u w:val="none"/>
                  <w:effect w:val="none"/>
                </w:rPr>
                <w:t>54</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73">
              <w:r>
                <w:rPr>
                  <w:rStyle w:val="InternetLink"/>
                  <w:rFonts w:ascii="Times New Roman;sans-serif" w:hAnsi="Times New Roman;sans-serif"/>
                  <w:b w:val="false"/>
                  <w:strike w:val="false"/>
                  <w:dstrike w:val="false"/>
                  <w:color w:val="000080"/>
                  <w:sz w:val="20"/>
                  <w:u w:val="single"/>
                  <w:effect w:val="none"/>
                </w:rPr>
                <w:t xml:space="preserve">Consolidated Statements of Comprehensive Income — </w:t>
              </w:r>
            </w:hyperlink>
            <w:hyperlink w:anchor="i9d91c2c4fba94bfa9f95bd94c3585b6d_70">
              <w:r>
                <w:rPr>
                  <w:rStyle w:val="InternetLink"/>
                  <w:rFonts w:ascii="Times New Roman;sans-serif" w:hAnsi="Times New Roman;sans-serif"/>
                  <w:b w:val="false"/>
                  <w:strike w:val="false"/>
                  <w:dstrike w:val="false"/>
                  <w:color w:val="000080"/>
                  <w:sz w:val="20"/>
                  <w:u w:val="single"/>
                  <w:effect w:val="none"/>
                </w:rPr>
                <w:t>Years ended December 31,</w:t>
              </w:r>
            </w:hyperlink>
            <w:r>
              <w:rPr>
                <w:rFonts w:ascii="Times New Roman;sans-serif" w:hAnsi="Times New Roman;sans-serif"/>
                <w:b w:val="false"/>
                <w:color w:val="000000"/>
                <w:sz w:val="20"/>
              </w:rPr>
              <w:t xml:space="preserve"> 2023</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w:t>
              </w:r>
            </w:hyperlink>
            <w:r>
              <w:rPr>
                <w:rFonts w:ascii="Times New Roman;sans-serif" w:hAnsi="Times New Roman;sans-serif"/>
                <w:b w:val="false"/>
                <w:color w:val="000000"/>
                <w:sz w:val="20"/>
              </w:rPr>
              <w:t>2022</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73">
              <w:r>
                <w:rPr>
                  <w:rStyle w:val="InternetLink"/>
                  <w:rFonts w:ascii="Times New Roman;sans-serif" w:hAnsi="Times New Roman;sans-serif"/>
                  <w:b w:val="false"/>
                  <w:strike w:val="false"/>
                  <w:dstrike w:val="false"/>
                  <w:color w:val="000000"/>
                  <w:sz w:val="20"/>
                  <w:u w:val="none"/>
                  <w:effect w:val="none"/>
                </w:rPr>
                <w:t>55</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76">
              <w:r>
                <w:rPr>
                  <w:rStyle w:val="InternetLink"/>
                  <w:rFonts w:ascii="Times New Roman;sans-serif" w:hAnsi="Times New Roman;sans-serif"/>
                  <w:b w:val="false"/>
                  <w:strike w:val="false"/>
                  <w:dstrike w:val="false"/>
                  <w:color w:val="000000"/>
                  <w:sz w:val="20"/>
                  <w:u w:val="none"/>
                  <w:effect w:val="none"/>
                </w:rPr>
                <w:t xml:space="preserve">Consolidated Balance Sheets — December 31, </w:t>
              </w:r>
            </w:hyperlink>
            <w:r>
              <w:rPr>
                <w:rFonts w:ascii="Times New Roman;sans-serif" w:hAnsi="Times New Roman;sans-serif"/>
                <w:b w:val="false"/>
                <w:color w:val="000000"/>
                <w:sz w:val="20"/>
              </w:rPr>
              <w:t>2023</w:t>
            </w:r>
            <w:hyperlink w:anchor="i9d91c2c4fba94bfa9f95bd94c3585b6d_76">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76">
              <w:r>
                <w:rPr>
                  <w:rStyle w:val="InternetLink"/>
                  <w:rFonts w:ascii="Times New Roman;sans-serif" w:hAnsi="Times New Roman;sans-serif"/>
                  <w:b w:val="false"/>
                  <w:strike w:val="false"/>
                  <w:dstrike w:val="false"/>
                  <w:color w:val="000000"/>
                  <w:sz w:val="20"/>
                  <w:u w:val="none"/>
                  <w:effect w:val="none"/>
                </w:rPr>
                <w:t>56</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79">
              <w:r>
                <w:rPr>
                  <w:rStyle w:val="InternetLink"/>
                  <w:rFonts w:ascii="Times New Roman;sans-serif" w:hAnsi="Times New Roman;sans-serif"/>
                  <w:b w:val="false"/>
                  <w:strike w:val="false"/>
                  <w:dstrike w:val="false"/>
                  <w:color w:val="000080"/>
                  <w:sz w:val="20"/>
                  <w:u w:val="single"/>
                  <w:effect w:val="none"/>
                </w:rPr>
                <w:t xml:space="preserve">Consolidated Statements of Stockholders’ Equity — </w:t>
              </w:r>
            </w:hyperlink>
            <w:hyperlink w:anchor="i9d91c2c4fba94bfa9f95bd94c3585b6d_70">
              <w:r>
                <w:rPr>
                  <w:rStyle w:val="InternetLink"/>
                  <w:rFonts w:ascii="Times New Roman;sans-serif" w:hAnsi="Times New Roman;sans-serif"/>
                  <w:b w:val="false"/>
                  <w:strike w:val="false"/>
                  <w:dstrike w:val="false"/>
                  <w:color w:val="000080"/>
                  <w:sz w:val="20"/>
                  <w:u w:val="single"/>
                  <w:effect w:val="none"/>
                </w:rPr>
                <w:t>Years ended December 31,</w:t>
              </w:r>
            </w:hyperlink>
            <w:r>
              <w:rPr>
                <w:rFonts w:ascii="Times New Roman;sans-serif" w:hAnsi="Times New Roman;sans-serif"/>
                <w:b w:val="false"/>
                <w:color w:val="000000"/>
                <w:sz w:val="20"/>
              </w:rPr>
              <w:t xml:space="preserve"> 2023</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w:t>
              </w:r>
            </w:hyperlink>
            <w:r>
              <w:rPr>
                <w:rFonts w:ascii="Times New Roman;sans-serif" w:hAnsi="Times New Roman;sans-serif"/>
                <w:b w:val="false"/>
                <w:color w:val="000000"/>
                <w:sz w:val="20"/>
              </w:rPr>
              <w:t>2022</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79">
              <w:r>
                <w:rPr>
                  <w:rStyle w:val="InternetLink"/>
                  <w:rFonts w:ascii="Times New Roman;sans-serif" w:hAnsi="Times New Roman;sans-serif"/>
                  <w:b w:val="false"/>
                  <w:strike w:val="false"/>
                  <w:dstrike w:val="false"/>
                  <w:color w:val="000000"/>
                  <w:sz w:val="20"/>
                  <w:u w:val="none"/>
                  <w:effect w:val="none"/>
                </w:rPr>
                <w:t>57</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82">
              <w:r>
                <w:rPr>
                  <w:rStyle w:val="InternetLink"/>
                  <w:rFonts w:ascii="Times New Roman;sans-serif" w:hAnsi="Times New Roman;sans-serif"/>
                  <w:b w:val="false"/>
                  <w:strike w:val="false"/>
                  <w:dstrike w:val="false"/>
                  <w:color w:val="000080"/>
                  <w:sz w:val="20"/>
                  <w:u w:val="single"/>
                  <w:effect w:val="none"/>
                </w:rPr>
                <w:t xml:space="preserve">Consolidated Statements of Cash Flows — </w:t>
              </w:r>
            </w:hyperlink>
            <w:hyperlink w:anchor="i9d91c2c4fba94bfa9f95bd94c3585b6d_70">
              <w:r>
                <w:rPr>
                  <w:rStyle w:val="InternetLink"/>
                  <w:rFonts w:ascii="Times New Roman;sans-serif" w:hAnsi="Times New Roman;sans-serif"/>
                  <w:b w:val="false"/>
                  <w:strike w:val="false"/>
                  <w:dstrike w:val="false"/>
                  <w:color w:val="000080"/>
                  <w:sz w:val="20"/>
                  <w:u w:val="single"/>
                  <w:effect w:val="none"/>
                </w:rPr>
                <w:t>Years ended December 31,</w:t>
              </w:r>
            </w:hyperlink>
            <w:r>
              <w:rPr>
                <w:rFonts w:ascii="Times New Roman;sans-serif" w:hAnsi="Times New Roman;sans-serif"/>
                <w:b w:val="false"/>
                <w:color w:val="000000"/>
                <w:sz w:val="20"/>
              </w:rPr>
              <w:t xml:space="preserve"> 2023</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w:t>
              </w:r>
            </w:hyperlink>
            <w:r>
              <w:rPr>
                <w:rFonts w:ascii="Times New Roman;sans-serif" w:hAnsi="Times New Roman;sans-serif"/>
                <w:b w:val="false"/>
                <w:color w:val="000000"/>
                <w:sz w:val="20"/>
              </w:rPr>
              <w:t>2022</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82">
              <w:r>
                <w:rPr>
                  <w:rStyle w:val="InternetLink"/>
                  <w:rFonts w:ascii="Times New Roman;sans-serif" w:hAnsi="Times New Roman;sans-serif"/>
                  <w:b w:val="false"/>
                  <w:strike w:val="false"/>
                  <w:dstrike w:val="false"/>
                  <w:color w:val="000000"/>
                  <w:sz w:val="20"/>
                  <w:u w:val="none"/>
                  <w:effect w:val="none"/>
                </w:rPr>
                <w:t>58</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85">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85">
              <w:r>
                <w:rPr>
                  <w:rStyle w:val="InternetLink"/>
                  <w:rFonts w:ascii="Times New Roman;sans-serif" w:hAnsi="Times New Roman;sans-serif"/>
                  <w:b w:val="false"/>
                  <w:strike w:val="false"/>
                  <w:dstrike w:val="false"/>
                  <w:color w:val="000000"/>
                  <w:sz w:val="20"/>
                  <w:u w:val="none"/>
                  <w:effect w:val="none"/>
                </w:rPr>
                <w:t>60</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1c2c4fba94bfa9f95bd94c3585b6d_148">
              <w:r>
                <w:rPr>
                  <w:rStyle w:val="InternetLink"/>
                  <w:rFonts w:ascii="Times New Roman;sans-serif" w:hAnsi="Times New Roman;sans-serif"/>
                  <w:b w:val="false"/>
                  <w:strike w:val="false"/>
                  <w:dstrike w:val="false"/>
                  <w:color w:val="000080"/>
                  <w:sz w:val="20"/>
                  <w:u w:val="single"/>
                  <w:effect w:val="none"/>
                </w:rPr>
                <w:t xml:space="preserve">Schedule II — Valuation and Qualifying Accounts — </w:t>
              </w:r>
            </w:hyperlink>
            <w:hyperlink w:anchor="i9d91c2c4fba94bfa9f95bd94c3585b6d_70">
              <w:r>
                <w:rPr>
                  <w:rStyle w:val="InternetLink"/>
                  <w:rFonts w:ascii="Times New Roman;sans-serif" w:hAnsi="Times New Roman;sans-serif"/>
                  <w:b w:val="false"/>
                  <w:strike w:val="false"/>
                  <w:dstrike w:val="false"/>
                  <w:color w:val="000080"/>
                  <w:sz w:val="20"/>
                  <w:u w:val="single"/>
                  <w:effect w:val="none"/>
                </w:rPr>
                <w:t>Years ended December 31,</w:t>
              </w:r>
            </w:hyperlink>
            <w:r>
              <w:rPr>
                <w:rFonts w:ascii="Times New Roman;sans-serif" w:hAnsi="Times New Roman;sans-serif"/>
                <w:b w:val="false"/>
                <w:color w:val="000000"/>
                <w:sz w:val="20"/>
              </w:rPr>
              <w:t xml:space="preserve"> 2023</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w:t>
              </w:r>
            </w:hyperlink>
            <w:r>
              <w:rPr>
                <w:rFonts w:ascii="Times New Roman;sans-serif" w:hAnsi="Times New Roman;sans-serif"/>
                <w:b w:val="false"/>
                <w:color w:val="000000"/>
                <w:sz w:val="20"/>
              </w:rPr>
              <w:t>2022</w:t>
            </w:r>
            <w:hyperlink w:anchor="i9d91c2c4fba94bfa9f95bd94c3585b6d_70">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1c2c4fba94bfa9f95bd94c3585b6d_148">
              <w:r>
                <w:rPr>
                  <w:rStyle w:val="InternetLink"/>
                  <w:rFonts w:ascii="Times New Roman;sans-serif" w:hAnsi="Times New Roman;sans-serif"/>
                  <w:b w:val="false"/>
                  <w:strike w:val="false"/>
                  <w:dstrike w:val="false"/>
                  <w:color w:val="000000"/>
                  <w:sz w:val="20"/>
                  <w:u w:val="none"/>
                  <w:effect w:val="none"/>
                </w:rPr>
                <w:t>92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Amkor Technology, Inc.</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accompanying consolidated balance sheets of Amkor Technology, Inc. and its subsidiaries (the “Company”) as of December 31, 2023 and 2022, and the related consolidated statements of income, of comprehensive income, of stockholders’ equity and of cash flows for each of the three years in the period ended December 31, 2023, including the related notes and financial statement schedule of valuation and qualifying accounts for each of the three years in the period ended December 31, 2023 appearing under Item 8 (collectively referred to as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issued by the Committee of Sponsoring Organizations of the Treadway Commission (COSO).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issued by the COSO.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Accounting for Income Taxes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1 and 4 to the consolidated financial statements, the Company recorded income tax expense of $81.7 million for the year ended December 31, 2023, and net deferred tax assets of $61.6 million and unrecognized tax benefits of $31.5 million as of December 31, 2023. 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Management monitors on an ongoing basis its ability to utilize deferred tax assets and whether there is a need for a related valuation allowance. In evaluating the ability to recover deferred tax assets in the jurisdictions from which they arise, management considers all available positive and negative evidence, including scheduled reversals of deferred tax liabilities, projected future taxable income, tax-planning strategies and recent results of operations. The Company operates in and files income tax returns in various U.S. and foreign jurisdictions, which are subject to examination by tax authorities. Years open to examination contain matters that could be subject to differing interpretations of applicable tax laws and regulations related to the amount and/or timing of income, deductions and tax credits.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accounting for income taxes is a critical audit matter are the significant judgment by management in determining the income tax provision and other tax positions. This in turn led to a high degree of auditor judgment, subjectivity and effort in performing procedures and in evaluating audit evidence relating to income taxes. The audit effort involved the use of professionals with specialized skill and knowledge to assist in evaluating the audit evidence obtained.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Pr>
          <w:t xml:space="preserve">Table </w:t>
        </w:r>
      </w:hyperlink>
      <w:hyperlink w:anchor="i9d91c2c4fba94bfa9f95bd94c3585b6d_7">
        <w:r>
          <w:rPr>
            <w:rStyle w:val="InternetLink"/>
          </w:rPr>
          <w:t>of</w:t>
        </w:r>
      </w:hyperlink>
      <w:hyperlink w:anchor="i9d91c2c4fba94bfa9f95bd94c3585b6d_7">
        <w:r>
          <w:rPr>
            <w:rStyle w:val="InternetLink"/>
          </w:rPr>
          <w:t xml:space="preserve">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the controls addressing the completeness and accuracy of the data utilized. These procedures also included, among others (i) testing the income tax provision calculation and underlying data, including the effective tax rate reconciliation, significant return to provision adjustments, and permanent and temporary differences, (ii) evaluating management’s assessment of the realizability of deferred tax assets on a jurisdictional basis, (iii) evaluating the identification of reserves for unrecognized tax benefits and the reasonableness of the “more likely than not” determination considering the jurisdictions, court decisions, legislative actions, statute of limitations, and developments in tax examinations, and (iv) using professionals with specialized skill and knowledge to assist in evaluating the reasonableness of management’s judgment and estimates, including application of foreign and domestic tax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Phoenix, Arizona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16, 2024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We have served as the Company’s auditor since 2000.</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bl>
      <w:tblPr>
        <w:tblW w:w="9101" w:type="dxa"/>
        <w:jc w:val="left"/>
        <w:tblInd w:w="0" w:type="dxa"/>
        <w:tblLayout w:type="fixed"/>
        <w:tblCellMar>
          <w:top w:w="28" w:type="dxa"/>
          <w:left w:w="28" w:type="dxa"/>
          <w:bottom w:w="28" w:type="dxa"/>
          <w:right w:w="28" w:type="dxa"/>
        </w:tblCellMar>
      </w:tblPr>
      <w:tblGrid>
        <w:gridCol w:w="1934"/>
        <w:gridCol w:w="1280"/>
        <w:gridCol w:w="1300"/>
        <w:gridCol w:w="211"/>
        <w:gridCol w:w="976"/>
        <w:gridCol w:w="109"/>
        <w:gridCol w:w="109"/>
        <w:gridCol w:w="109"/>
        <w:gridCol w:w="109"/>
        <w:gridCol w:w="211"/>
        <w:gridCol w:w="976"/>
        <w:gridCol w:w="109"/>
        <w:gridCol w:w="109"/>
        <w:gridCol w:w="109"/>
        <w:gridCol w:w="109"/>
        <w:gridCol w:w="211"/>
        <w:gridCol w:w="976"/>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Amkor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Amkor per common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per common share amounts: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2212"/>
        <w:gridCol w:w="1918"/>
        <w:gridCol w:w="1937"/>
        <w:gridCol w:w="211"/>
        <w:gridCol w:w="826"/>
        <w:gridCol w:w="109"/>
        <w:gridCol w:w="109"/>
        <w:gridCol w:w="109"/>
        <w:gridCol w:w="109"/>
        <w:gridCol w:w="211"/>
        <w:gridCol w:w="826"/>
        <w:gridCol w:w="109"/>
        <w:gridCol w:w="109"/>
        <w:gridCol w:w="109"/>
        <w:gridCol w:w="109"/>
        <w:gridCol w:w="211"/>
        <w:gridCol w:w="826"/>
        <w:gridCol w:w="155"/>
      </w:tblGrid>
      <w:tr>
        <w:trPr/>
        <w:tc>
          <w:tcPr>
            <w:tcW w:w="221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net unrealized gains (losses) on available-for-sale debt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unrealized components of defined benefit pension plans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Amkor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19"/>
        <w:gridCol w:w="2327"/>
        <w:gridCol w:w="2334"/>
        <w:gridCol w:w="196"/>
        <w:gridCol w:w="871"/>
        <w:gridCol w:w="109"/>
        <w:gridCol w:w="109"/>
        <w:gridCol w:w="109"/>
        <w:gridCol w:w="109"/>
        <w:gridCol w:w="196"/>
        <w:gridCol w:w="871"/>
        <w:gridCol w:w="155"/>
      </w:tblGrid>
      <w:tr>
        <w:trPr/>
        <w:tc>
          <w:tcPr>
            <w:tcW w:w="281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br/>
              <w:t>except per share data)</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959,072 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 (amortized cost of $474,663 and $283,641,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$8,114 and $365,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1,365,504 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3,301,239 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6,821,757 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 and 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operating lease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1,662,411 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severance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3,122,056 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17)</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designated Series A, none issued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292,167 and 291,249 shares issued, and 245,888 and 245,091 shares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1,874,644 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46,279 and 46,158 shares,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Amkor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3,668,752 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3,699,701 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6,821,757 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2871" w:type="dxa"/>
        <w:jc w:val="left"/>
        <w:tblInd w:w="0" w:type="dxa"/>
        <w:tblLayout w:type="fixed"/>
        <w:tblCellMar>
          <w:top w:w="28" w:type="dxa"/>
          <w:left w:w="28" w:type="dxa"/>
          <w:bottom w:w="28" w:type="dxa"/>
          <w:right w:w="28" w:type="dxa"/>
        </w:tblCellMar>
      </w:tblPr>
      <w:tblGrid>
        <w:gridCol w:w="565"/>
        <w:gridCol w:w="220"/>
        <w:gridCol w:w="221"/>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9"/>
        <w:gridCol w:w="596"/>
        <w:gridCol w:w="121"/>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288,923 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27,270 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(46,094)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2,353,959 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 ($0.17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290,466 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1,977,134 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(46,151)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2,972,546 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767,042 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 ($0.225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291,249 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(46,158)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3,668,752 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3,699,701 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 ($0.30375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292,167 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2,008,170 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2,159,831 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16,350 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(46,279)</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(222,335)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3,962,308 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32,727 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3,995,035 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759" w:type="dxa"/>
        <w:jc w:val="left"/>
        <w:tblInd w:w="0" w:type="dxa"/>
        <w:tblLayout w:type="fixed"/>
        <w:tblCellMar>
          <w:top w:w="28" w:type="dxa"/>
          <w:left w:w="28" w:type="dxa"/>
          <w:bottom w:w="28" w:type="dxa"/>
          <w:right w:w="28" w:type="dxa"/>
        </w:tblCellMar>
      </w:tblPr>
      <w:tblGrid>
        <w:gridCol w:w="2097"/>
        <w:gridCol w:w="1839"/>
        <w:gridCol w:w="1853"/>
        <w:gridCol w:w="196"/>
        <w:gridCol w:w="871"/>
        <w:gridCol w:w="109"/>
        <w:gridCol w:w="109"/>
        <w:gridCol w:w="109"/>
        <w:gridCol w:w="109"/>
        <w:gridCol w:w="198"/>
        <w:gridCol w:w="747"/>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Year Ended December 31, </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debt issuance costs and premiums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fixed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severance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lease ROU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property, plant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foreign exchange forward contracts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foreign exchange forward contracts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short-term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(943,879)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revolving credit facilities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short-term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short-term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stock through share-based compensation plans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dividends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fluctuations on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8652" w:type="dxa"/>
        <w:jc w:val="center"/>
        <w:tblInd w:w="0" w:type="dxa"/>
        <w:tblLayout w:type="fixed"/>
        <w:tblCellMar>
          <w:top w:w="28" w:type="dxa"/>
          <w:left w:w="28" w:type="dxa"/>
          <w:bottom w:w="28" w:type="dxa"/>
          <w:right w:w="28" w:type="dxa"/>
        </w:tblCellMar>
      </w:tblPr>
      <w:tblGrid>
        <w:gridCol w:w="1845"/>
        <w:gridCol w:w="1623"/>
        <w:gridCol w:w="1632"/>
        <w:gridCol w:w="196"/>
        <w:gridCol w:w="646"/>
        <w:gridCol w:w="109"/>
        <w:gridCol w:w="109"/>
        <w:gridCol w:w="109"/>
        <w:gridCol w:w="109"/>
        <w:gridCol w:w="196"/>
        <w:gridCol w:w="646"/>
        <w:gridCol w:w="109"/>
        <w:gridCol w:w="109"/>
        <w:gridCol w:w="109"/>
        <w:gridCol w:w="109"/>
        <w:gridCol w:w="196"/>
        <w:gridCol w:w="646"/>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Year Ended December 31, </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included in capital expenditures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assets acquired through 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assets acquired through finance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and unpaid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1.Description of Business and Summary of Significant Accounting Policies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Amkor is one of the world’s leading providers of outsourced semiconductor packaging and test services. Amkor was a pioneer in the outsourcing of semiconductor packaging and test services, and over the years we have built a leading position by:</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Designing and developing innovative packaging and test technologies focused on advanced packaging solutions in high growth markets, including artificial intelligence;</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 xml:space="preserve">Building expertise in high-volume manufacturing processes and developing a reputation for high quality and solid execution; </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Cultivating long-standing relationships with our customers, which include many of the world’s leading semiconductor companies;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Collaborating with customers, foundries, OEMs and equipment and material suppliers;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Focusing on strategic end markets that offer solid growth potential;</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Providing a geographically diverse operating base with manufacturing facilities in multiple countries across Asia and in Europe; and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Developing a competitive cost structure through disciplined capital investment.</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include the accounts of Amkor Technology, Inc. and its subsidiaries. Our Consolidated Financial Statements reflect the elimination of all significant inter-company accounts and transactions. Our investments in variable interest entities in which we are the primary beneficiary are consolidated. We reflect the remaining portion of variable interest entities and foreign subsidiaries that are not wholly owned as noncontrolling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revenue recognition, income taxes, inventory and long-lived assets.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 including the impact of any deterioration in the global business and economic environment. Certain prior year amounts have been reclassified to conform to current year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Consolidation of Variable Interest Entities </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variable interests in certain Philippine realty corporations in which we have a 40% ownership. We lease land and buildings in the Philippines from these entities and we are the primary beneficiary of these arrangements. As of December 31, 2023, the combined book value of the assets and liabilities associated with these Philippine realty corporations included in our Consolidated Balance Sheet was $17.3 million and $0.1 million, respectively. The impact of consolidating these variable interest entities on our Consolidated Statements of Income was not significant, and other than our lease payments, we have not provided any significant assistance or other financial support to these variable interest entities for the years ended December 31, 2023, 2022 or 2021. The creditors of the Philippine realty corporations have no recourse to our general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dollar is the functional currency of our subsidiaries other than our Japan operations.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Japanese yen is the functional currency of our Japan operations. The asset and liability amounts of our Japan operations are translated into U.S. dollars at end-of-period exchange rates. Income and expenses are translated into U.S. dollars at the daily exchange rate. The resulting translation adjustments are reported as a component of accumulated other comprehensive income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(income) expense, net in the period in which they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and Concentrations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is concentrated with a small group of customers (Note 18). Direct sales to our largest customer accounted for 27.7% of our net sales for the year ended December 31, 2023.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for which we are subject to credit risk, consist principally of accounts receivable and cash, cash equivalents and short-term investments. With respect to accounts receivable, we mitigate our credit risk by selling primarily to well-established companies, performing ongoing credit evaluations and making frequent contact with customers. In addition, we may utilize non-recourse factoring to mitigate credit risk when considered appropriate. We have historically mitigated our credit risk with respect to cash and cash equivalents through diversification of our holdings into various high quality money market funds and bank deposit accounts. Our short-term investments are principally investments in debt securities with maximum duration of twenty-four months and range from AAA to BBB-rated financial instruments. Our short-term investments are primarily in corporate bonds, direct obligations of the U.S. Government or its agencies, asset-backed securities and commercial paper. At December 31, 2023, our cash and cash equivalents were primarily maintained in various U.S. and foreign bank operating and time deposit accounts and invested in various available-for-sale debt investments. See Note 6 for further discussion regarding our available-for-sale debt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Contingencies and Litigation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certain legal proceedings, lawsuits and other claims, as discussed in Note 17.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with a maturity of three months or less when purchased to be cash equivalents. Our cash and cash equivalents are primarily maintained in various U.S. and foreign bank operating and time deposit accounts and invested in various available-for-sale debt investments. See Note 6 for further discussion regarding our available-for-sale debt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 mainly consists of collateral to fulfill utility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Generally, we classify our short-term investments in fixed income securities as available-for-sale debt investments. All of our available-for-sale debt investments as of December 31, 2023 are available to fund current operations and are recorded at fair value (Note 6).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on an ongoing basis the market conditions, trends of earnings, financial condition, credit ratings, any underlying collateral and other key measures for our short-term investments in determining if and when a decline in value below the adjusted cost of our available-for-sale debt investments is an impairment. An impairment is considered if (i) we have the intent to sell the security, (ii) it is more likely than not that we will be required to sell the security before recovery of the entire amortized cost basis or (iii) we do not expect to recover the entire amortized cost basis of the security. If impairment is considered on condition (i) or (ii) above, the entire difference between the amortized cost and the fair value of the debt security is recognized in earnings. If impairment is considered based on condition (iii), the amount representing credit losses will be recognized in earnings and as an allowance for credit losses. The amount relating to all other factors will be recognized in other comprehensive income.</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raw materials and purchased components and are stated at the lower of cost and net realizable value. Cost is principally determined by standard cost or the weighted moving average method, both of which approximate actual cost. We review and set our standard costs as needed, but at a minimum on a quarterly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Current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 principally of prepaid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Depreciation is calculated by the straight-line method over the estimated useful lives of depreciable assets which are as follows:</w:t>
      </w:r>
    </w:p>
    <w:tbl>
      <w:tblPr>
        <w:tblW w:w="4590" w:type="dxa"/>
        <w:jc w:val="left"/>
        <w:tblInd w:w="0" w:type="dxa"/>
        <w:tblLayout w:type="fixed"/>
        <w:tblCellMar>
          <w:top w:w="28" w:type="dxa"/>
          <w:left w:w="28" w:type="dxa"/>
          <w:bottom w:w="28" w:type="dxa"/>
          <w:right w:w="28" w:type="dxa"/>
        </w:tblCellMar>
      </w:tblPr>
      <w:tblGrid>
        <w:gridCol w:w="1195"/>
        <w:gridCol w:w="1050"/>
        <w:gridCol w:w="1055"/>
        <w:gridCol w:w="378"/>
        <w:gridCol w:w="378"/>
        <w:gridCol w:w="53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to 40 years</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to 7 years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computer equipment</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to 10 years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and accumulated depreciation for property retired or disposed of are removed from the accounts, and any resulting gain or loss is included in earnings. Expenditures for maintenance and repairs are charged to expense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certain machinery and equipment, office space, and manufacturing facilities. Leases with an initial term of 12 months or less are not recorded on the balance sheet, and we recognize lease expense for these leases on a straight-line basis over the lease term. We combine lease components (e.g., fixed payments including rent, real estate taxes and insurance costs) with the non-lease components (e.g., common-area maintenance costs) for all asset classes. We use our incremental borrowing rate based on the information available at the lease commencement date to determine the lease liability. Our leases have remaining lease terms ranging from less than one year to 82 years. For purposes of calculating our lease liabilities, our lease terms include options to extend or terminate the lease when it is reasonably certain that we will exercise those options. Certain leases also include options to purchase the leased property. Total long-term finance lease liabilities as of December 31, 2023 and December 31, 2022 were $47.8 million and $54.8 million, respectively.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 The balance of goodwill in our Consolidated Balance Sheets reflects adjustments for foreign currency translation.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consist principally of deferred tax assets, refundable security deposits and advanced payments to vendors.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Derivatives</w:t>
      </w:r>
    </w:p>
    <w:p>
      <w:pPr>
        <w:pStyle w:val="TextBody"/>
        <w:bidi w:val="0"/>
        <w:spacing w:before="0" w:after="0"/>
        <w:jc w:val="both"/>
        <w:rPr/>
      </w:pPr>
      <w:r>
        <w:rPr/>
      </w:r>
    </w:p>
    <w:p>
      <w:pPr>
        <w:pStyle w:val="TextBody"/>
        <w:bidi w:val="0"/>
        <w:spacing w:lineRule="auto" w:line="288" w:before="0" w:after="180"/>
        <w:jc w:val="both"/>
        <w:rPr/>
      </w:pPr>
      <w:r>
        <w:rPr>
          <w:rFonts w:ascii="Times New Roman;sans-serif" w:hAnsi="Times New Roman;sans-serif"/>
          <w:b w:val="false"/>
          <w:color w:val="000000"/>
          <w:sz w:val="20"/>
        </w:rPr>
        <w:t>We use foreign exchange forward contracts, generally settled monthly, to manage a portion of our exposure to foreign exchange risk. The derivatives are recorded at the fair value either in other current assets or accrued expenses, with the associated gains and losses charged to other (income) expense, net in the period in which they occur. We do not apply hedge accounting to the derivatives. Gains and losses recognized on our derivatives are classified as operating activities and are included within other, net in our Consolidated Statements of Cash Flows.</w:t>
      </w:r>
      <w:r>
        <w:rPr>
          <w:color w:val="EE2724"/>
        </w:rPr>
        <w:t xml:space="preserve"> </w:t>
      </w:r>
      <w:r>
        <w:rPr>
          <w:rFonts w:ascii="Times New Roman;sans-serif" w:hAnsi="Times New Roman;sans-serif"/>
          <w:b w:val="false"/>
          <w:color w:val="000000"/>
          <w:sz w:val="20"/>
        </w:rPr>
        <w:t>See Note 15 for further discussion about the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16 for further discussion of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 </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Unbilled receivables are revenues that have been recognized for performance obligations that have been satisfied, or partially satisfied, in advance of billing the customer. Revenue may be recognized in advance of billing as our contracts provide us with an unconditional right to consideration for work that is performed. Total unbilled receivables as of December 31, 2023 and 2022 were $260.8 million and $301.7 million, respectively. These amounts are included in accounts receivable, net of allowances in our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times, the company receives cash payments from customers in advance of the company’s performance. In such cases, we record deferred revenue until the performance obligation is satisfied, which represents a contract liability and is included in accrued expenses and other non-current liabilities in the consolidated balance sheets. These contract liabilities are classified as either current or long-term based on the timing of when the company expects to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Contract liabilities were $135.5 million and $170.6 million as of December 31, 2023 and December 31, 2022, respectively. As of December 31, 2023 and December 31, 2022, the short-term portion of the liability was $71.1 million and $81.5 million, respectively. The remainder of the December 31, 2023 contract liability balance is expected to be recognized in revenue over the next 1-5 years. Revenue recognized during the year that was included in the contract liability balance at the beginning of the period was $66.9 million, $101.2 million, and $29.0 million, for 2023, 2022 and 2021,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labor, materials, supplies, depreciation and maintenance of research equipment, services provided by outside contractors and the allocable portions of facility costs such as rent, utilities, insurance, repairs and maintenance, depreciation and general support services. Costs associated with research and development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 With the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 See Note 4 for further discussion regarding unrecognized income tax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Issued Standards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December 2023, the Financial Accounting Standards Board (“FASB”) issued Accounting Standards Update (“ASU”) 2023-09,</w:t>
      </w:r>
      <w:r>
        <w:rPr>
          <w:color w:val="000000"/>
        </w:rPr>
        <w:t xml:space="preserve">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(“ASU 2023-09”). ASU 2023-09 requires disclosure of additional income tax information, primarily related to effective tax rate reconciliation and income taxes paid. ASU 2023-09 is effective for annual periods beginning after December 15, 2024. Early adoption is permitted. Adoption of this ASU should be applied on a prospective basis, but retrospective application is permitted. We are currently evaluating the impact of this new standard on our financial statements, which is expected to result in enhanced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Share-Based Compensation Plans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we recognized share-based compensation of $8.3 million, $13.6 million and $11.0 million, respectively, primarily in selling, general and administrative expenses. The amount of compensation expense to be recognized is adjusted for an estimated forfeiture rate which is based on historical data. The corresponding deferred income tax benefits are $0.7 million, $1.7 million and $1.4 million for 2023, 2022 and 2021, respectively. </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0"/>
        <w:jc w:val="both"/>
        <w:rPr/>
      </w:pPr>
      <w:r>
        <w:rPr>
          <w:rFonts w:ascii="Times New Roman;sans-serif" w:hAnsi="Times New Roman;sans-serif"/>
          <w:b w:val="false"/>
          <w:i/>
          <w:color w:val="000000"/>
          <w:sz w:val="20"/>
        </w:rPr>
        <w:t xml:space="preserve">Second Amended and Restated 2007 Equity Incentive Plan. </w:t>
      </w:r>
      <w:r>
        <w:rPr>
          <w:rFonts w:ascii="Times New Roman;sans-serif" w:hAnsi="Times New Roman;sans-serif"/>
          <w:b w:val="false"/>
          <w:color w:val="000000"/>
          <w:sz w:val="20"/>
        </w:rPr>
        <w:t>The Second Amended and Restated 2007 Equity Incentive Plan (as amended, the “2007 Plan”) provided for the grant of the following types of incentive awards: (i) stock options; (ii) restricted stock; (iii) restricted stock units; (iv) stock appreciation rights; (v) performance units and performance shares; and (vi) other stock or cash awards. Those eligible for awards included employees, directors and consultants who provide services to Amkor and its subsidiaries. There were originally 17.0 million shares of our common stock reserved for issuance under the 2007 Plan. No awards have been or will be granted under the 2007 Plan after the effective date of the 2021 Plan (as defined below), but all outstanding awards under the 2007 Plan will continue in full force and effect, subject to their original terms.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2021 Equity Incentive Plan. </w:t>
      </w:r>
      <w:r>
        <w:rPr>
          <w:rFonts w:ascii="Times New Roman;sans-serif" w:hAnsi="Times New Roman;sans-serif"/>
          <w:b w:val="false"/>
          <w:color w:val="000000"/>
          <w:sz w:val="20"/>
        </w:rPr>
        <w:t>On May 18, 2021, at our 2021 Annual Meeting of Stockholders (the “2021 Annual Meeting”), our stockholders approved the Amkor Technology, Inc. 2021 Equity Incentive Plan (as amended, the “2021 Plan”) to replace the 2007 Plan. The 2021 Plan provides for the grant of the following types of incentive awards: (i) stock options; (ii) restricted stock; (iii) restricted stock units; (iv) stock appreciation rights; (v) performance units and performance shares; and (vi) other stock or cash awards. Those eligible for awards include employees, directors and consultants who provide services to Amkor and its subsidiaries. The number of shares authorized and available for issuance under the 2021 Plan is 23,100,000 shares, reduced for certain awards granted under the 2007 Plan after December 31, 2020, but before May 18, 2021. There were originally 22.8 million shares of our common stock reserved for issuance under the 2021 Plan, and at December 31, 2023, there were 20.6 million shares available for grant under the 2021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 evaluations of historical and expected future employee exercise behavior and represents the period of time that options granted are expected to be outstanding. The risk-free interest rate for periods within the contractual life of the option is based on the U.S. Treasury yield curve in effect at the time of grant. The dividend yield is based on the annualized declared quarterly dividend rate divided by our closing stock price at the date of the grant.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stock option activity for the year ended December 31, 2023:</w:t>
      </w:r>
    </w:p>
    <w:tbl>
      <w:tblPr>
        <w:tblW w:w="10205" w:type="dxa"/>
        <w:jc w:val="left"/>
        <w:tblInd w:w="0" w:type="dxa"/>
        <w:tblLayout w:type="fixed"/>
        <w:tblCellMar>
          <w:top w:w="28" w:type="dxa"/>
          <w:left w:w="28" w:type="dxa"/>
          <w:bottom w:w="28" w:type="dxa"/>
          <w:right w:w="28" w:type="dxa"/>
        </w:tblCellMar>
      </w:tblPr>
      <w:tblGrid>
        <w:gridCol w:w="1481"/>
        <w:gridCol w:w="1299"/>
        <w:gridCol w:w="1307"/>
        <w:gridCol w:w="346"/>
        <w:gridCol w:w="346"/>
        <w:gridCol w:w="347"/>
        <w:gridCol w:w="109"/>
        <w:gridCol w:w="109"/>
        <w:gridCol w:w="109"/>
        <w:gridCol w:w="331"/>
        <w:gridCol w:w="968"/>
        <w:gridCol w:w="172"/>
        <w:gridCol w:w="109"/>
        <w:gridCol w:w="109"/>
        <w:gridCol w:w="109"/>
        <w:gridCol w:w="490"/>
        <w:gridCol w:w="490"/>
        <w:gridCol w:w="491"/>
        <w:gridCol w:w="109"/>
        <w:gridCol w:w="109"/>
        <w:gridCol w:w="109"/>
        <w:gridCol w:w="223"/>
        <w:gridCol w:w="766"/>
        <w:gridCol w:w="167"/>
      </w:tblGrid>
      <w:tr>
        <w:trPr/>
        <w:tc>
          <w:tcPr>
            <w:tcW w:w="14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br/>
              <w:t>(In thousands)</w:t>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at December 31, 2023 and expected to vest thereafter</w:t>
            </w:r>
          </w:p>
        </w:tc>
        <w:tc>
          <w:tcPr>
            <w:tcW w:w="10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46,029 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103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44,903 </w:t>
            </w:r>
          </w:p>
        </w:tc>
        <w:tc>
          <w:tcPr>
            <w:tcW w:w="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unrecognized compensation expense from stock options was $0.3 million as of December 31, 2023, which is expected to be recognized over a weighted-average period of approximately 0.79 years beginning January 1, 2024. The total intrinsic value of options exercised during fiscal years 2023, 2022, and 2021 was $5.8 million, $8.0 million, and $17.7 million, respectively.</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shares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shares granted to our non-employee directors vest on the earlier of the one year anniversary of the grant date or the date of the annual meeting of stockholders immediately following the grant date, subject to the recipient’s continued service as a director of Amkor on the applicable vesting date. Generally, other restricted shares vest ratably over three years, with 8.33% of the shares vesting in equal quarterly installments such that 100% of the shares will become vested on the third anniversary of the award, subject to the recipient’s continued employment with us on the applicable vesting date. In addition, provided that the restricted shares have not been forfeited earlier, under the terms and conditions of the applicable award agreements for certain grants, the restricted shares will vest upon the recipient’s death or disability, or upon a change in control of Amkor. The value of the restricted shares is determined based on the fair market value of the underlying shares on the date of the grant and is recognized ratably over the vesting period.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restricted share activity for the year ended December 31, 2023:</w:t>
      </w:r>
    </w:p>
    <w:tbl>
      <w:tblPr>
        <w:tblW w:w="5860" w:type="dxa"/>
        <w:jc w:val="left"/>
        <w:tblInd w:w="0" w:type="dxa"/>
        <w:tblLayout w:type="fixed"/>
        <w:tblCellMar>
          <w:top w:w="28" w:type="dxa"/>
          <w:left w:w="28" w:type="dxa"/>
          <w:bottom w:w="28" w:type="dxa"/>
          <w:right w:w="28" w:type="dxa"/>
        </w:tblCellMar>
      </w:tblPr>
      <w:tblGrid>
        <w:gridCol w:w="1038"/>
        <w:gridCol w:w="910"/>
        <w:gridCol w:w="916"/>
        <w:gridCol w:w="379"/>
        <w:gridCol w:w="379"/>
        <w:gridCol w:w="381"/>
        <w:gridCol w:w="109"/>
        <w:gridCol w:w="109"/>
        <w:gridCol w:w="109"/>
        <w:gridCol w:w="329"/>
        <w:gridCol w:w="961"/>
        <w:gridCol w:w="24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w:t>
              <w:br/>
              <w:t>Fair Value</w:t>
              <w:br/>
              <w:t>(Per Share)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forfeited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total fair value of our vested restricted shares was $2.9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and pursuant to the 2021 Plan, we grant time-vested restricted stock units (“RSUs”) to our non-employee directors and certain employees and performance-vested restricted stock units (“PSUs”) to certain employees. RSUs generally vest in four equal installments over a four-year period such that 100% of the RSUs will become vested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fourth anniversary of the award, subject to the recipient’s continued employment with us on the applicable vesting dates. In some circumstances, we have granted RSUs subject to different vesting conditions, including RSUs that vest in full in a single installment. Provided that the RSUs have not been forfeited earlier, they will generally vest upon the recipient’s retirement, death or disability, or upon a change in control of Amkor, in accordance with the terms and conditions of the applicable award agreement. The value of the RSUs is determined based on the fair market value of the underlying shares on the date of the grant, reduced by the present value of dividends or dividend equivalent rights expected to be paid on our common stock prior to vesting, and is recognized ratably over the vesting period.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PSUs generally vest in one installment after a two-year period such that any earned PSUs will become vested within 90 days of the second anniversary of the award, subject to the recipient’s continued employment with us on the applicable vesting date. Generally for PSUs, the number of shares of our common stock to be received at vesting will range from 0% to 200% of the target grant amount based on Cumulative Basic EPS (as defined in the applicable award agreement) over a two-year performance measurement period. In some circumstances, we have granted PSUs subject to different vesting conditions, including PSUs that vest in full upon the achievement of performance goals other than Cumulative Basic EPS. Provided the PSUs have not been forfeited earlier, the PSUs will generally vest upon the recipient’s retirement, death or disability, or upon a change of control of Amkor, in accordance with the terms and conditions of the applicable award agreement. The value of the PSUs is initially determined based on the fair market value of the underlying shares on the date of the grant, reduced by the present value of dividends expected to be paid on our common stock prior to vesting, and is recognized over the vesting period.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RSU and PSU activity:</w:t>
      </w:r>
    </w:p>
    <w:tbl>
      <w:tblPr>
        <w:tblW w:w="5860" w:type="dxa"/>
        <w:jc w:val="left"/>
        <w:tblInd w:w="0" w:type="dxa"/>
        <w:tblLayout w:type="fixed"/>
        <w:tblCellMar>
          <w:top w:w="28" w:type="dxa"/>
          <w:left w:w="28" w:type="dxa"/>
          <w:bottom w:w="28" w:type="dxa"/>
          <w:right w:w="28" w:type="dxa"/>
        </w:tblCellMar>
      </w:tblPr>
      <w:tblGrid>
        <w:gridCol w:w="1038"/>
        <w:gridCol w:w="910"/>
        <w:gridCol w:w="916"/>
        <w:gridCol w:w="379"/>
        <w:gridCol w:w="379"/>
        <w:gridCol w:w="381"/>
        <w:gridCol w:w="109"/>
        <w:gridCol w:w="109"/>
        <w:gridCol w:w="109"/>
        <w:gridCol w:w="329"/>
        <w:gridCol w:w="961"/>
        <w:gridCol w:w="24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w:t>
              <w:br/>
              <w:t>Fair Value</w:t>
              <w:br/>
              <w:t>(Per Share)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2020</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forfeited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forfeited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forfeited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unrecognized compensation expense from RSUs and PSUs was $12.1 million as of December 31, 2023, which is expected to be recognized over a weighted-average period of approximately 1.3 years beginning January 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total fair value of our vested RSUs and PSUs were $11.6 million and $0.5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3. Other Income and Expense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and expense consists of the following:</w:t>
      </w:r>
    </w:p>
    <w:tbl>
      <w:tblPr>
        <w:tblW w:w="6776" w:type="dxa"/>
        <w:jc w:val="left"/>
        <w:tblInd w:w="0" w:type="dxa"/>
        <w:tblLayout w:type="fixed"/>
        <w:tblCellMar>
          <w:top w:w="28" w:type="dxa"/>
          <w:left w:w="28" w:type="dxa"/>
          <w:bottom w:w="28" w:type="dxa"/>
          <w:right w:w="28" w:type="dxa"/>
        </w:tblCellMar>
      </w:tblPr>
      <w:tblGrid>
        <w:gridCol w:w="1027"/>
        <w:gridCol w:w="899"/>
        <w:gridCol w:w="908"/>
        <w:gridCol w:w="211"/>
        <w:gridCol w:w="796"/>
        <w:gridCol w:w="109"/>
        <w:gridCol w:w="109"/>
        <w:gridCol w:w="109"/>
        <w:gridCol w:w="109"/>
        <w:gridCol w:w="211"/>
        <w:gridCol w:w="796"/>
        <w:gridCol w:w="109"/>
        <w:gridCol w:w="109"/>
        <w:gridCol w:w="109"/>
        <w:gridCol w:w="109"/>
        <w:gridCol w:w="211"/>
        <w:gridCol w:w="691"/>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 loss,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retirement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4. Income Taxes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Geographic sources of income (loss) before taxes are as follows:</w:t>
      </w:r>
    </w:p>
    <w:tbl>
      <w:tblPr>
        <w:tblW w:w="5877" w:type="dxa"/>
        <w:jc w:val="left"/>
        <w:tblInd w:w="0" w:type="dxa"/>
        <w:tblLayout w:type="fixed"/>
        <w:tblCellMar>
          <w:top w:w="28" w:type="dxa"/>
          <w:left w:w="28" w:type="dxa"/>
          <w:bottom w:w="28" w:type="dxa"/>
          <w:right w:w="28" w:type="dxa"/>
        </w:tblCellMar>
      </w:tblPr>
      <w:tblGrid>
        <w:gridCol w:w="631"/>
        <w:gridCol w:w="553"/>
        <w:gridCol w:w="556"/>
        <w:gridCol w:w="211"/>
        <w:gridCol w:w="826"/>
        <w:gridCol w:w="109"/>
        <w:gridCol w:w="109"/>
        <w:gridCol w:w="109"/>
        <w:gridCol w:w="109"/>
        <w:gridCol w:w="211"/>
        <w:gridCol w:w="826"/>
        <w:gridCol w:w="109"/>
        <w:gridCol w:w="109"/>
        <w:gridCol w:w="109"/>
        <w:gridCol w:w="109"/>
        <w:gridCol w:w="211"/>
        <w:gridCol w:w="826"/>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(benefit) for income taxes are as follows:</w:t>
      </w:r>
    </w:p>
    <w:tbl>
      <w:tblPr>
        <w:tblW w:w="5546" w:type="dxa"/>
        <w:jc w:val="left"/>
        <w:tblInd w:w="0" w:type="dxa"/>
        <w:tblLayout w:type="fixed"/>
        <w:tblCellMar>
          <w:top w:w="28" w:type="dxa"/>
          <w:left w:w="28" w:type="dxa"/>
          <w:bottom w:w="28" w:type="dxa"/>
          <w:right w:w="28" w:type="dxa"/>
        </w:tblCellMar>
      </w:tblPr>
      <w:tblGrid>
        <w:gridCol w:w="644"/>
        <w:gridCol w:w="537"/>
        <w:gridCol w:w="543"/>
        <w:gridCol w:w="211"/>
        <w:gridCol w:w="721"/>
        <w:gridCol w:w="109"/>
        <w:gridCol w:w="109"/>
        <w:gridCol w:w="109"/>
        <w:gridCol w:w="109"/>
        <w:gridCol w:w="211"/>
        <w:gridCol w:w="721"/>
        <w:gridCol w:w="109"/>
        <w:gridCol w:w="109"/>
        <w:gridCol w:w="109"/>
        <w:gridCol w:w="109"/>
        <w:gridCol w:w="211"/>
        <w:gridCol w:w="72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between the U.S. federal statutory income tax rate of 21% and our effective tax rate is as follows:</w:t>
      </w:r>
    </w:p>
    <w:tbl>
      <w:tblPr>
        <w:tblW w:w="7698" w:type="dxa"/>
        <w:jc w:val="left"/>
        <w:tblInd w:w="0" w:type="dxa"/>
        <w:tblLayout w:type="fixed"/>
        <w:tblCellMar>
          <w:top w:w="28" w:type="dxa"/>
          <w:left w:w="28" w:type="dxa"/>
          <w:bottom w:w="28" w:type="dxa"/>
          <w:right w:w="28" w:type="dxa"/>
        </w:tblCellMar>
      </w:tblPr>
      <w:tblGrid>
        <w:gridCol w:w="1529"/>
        <w:gridCol w:w="1348"/>
        <w:gridCol w:w="1353"/>
        <w:gridCol w:w="255"/>
        <w:gridCol w:w="256"/>
        <w:gridCol w:w="334"/>
        <w:gridCol w:w="134"/>
        <w:gridCol w:w="134"/>
        <w:gridCol w:w="134"/>
        <w:gridCol w:w="291"/>
        <w:gridCol w:w="294"/>
        <w:gridCol w:w="334"/>
        <w:gridCol w:w="134"/>
        <w:gridCol w:w="134"/>
        <w:gridCol w:w="134"/>
        <w:gridCol w:w="255"/>
        <w:gridCol w:w="256"/>
        <w:gridCol w:w="389"/>
      </w:tblGrid>
      <w:tr>
        <w:trPr/>
        <w:tc>
          <w:tcPr>
            <w:tcW w:w="152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taxed at different rates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gain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credits generated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earnings and profits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derived intangible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and changes in uncertain tax positions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reversed $17.8 million of valuation allowance recorded against U.S. foreign tax credit carryforwards previously projected to expire unused due to the limitations to utilize the credits under current tax law. Realization of these carryforwards is dependent on generating sufficient taxable income to overcome the foreign tax credit limitation provisions. Although utilization of these carryforwards is not assured, in light of our current earnings and recent estimates of future taxable income, management believes sufficient positive evidence exists to conclude that the respective valuation allowances are no longer needed, resulting in the reversal of these valuation allowances.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certain capital investments, export commitments and employment levels, income from operations in Korea, the Philippines and Singapore was subject to reduced income tax rates and, in some cases, was exempt from income taxes. The most significant tax rate impact is in Singapore where we have been granted a conditional reduced tax rate that expires at the end of 2028. We recognized $18.6 million, $84.5 million and $56.7 million in tax benefits as a result of the conditional reduced tax rates in 2023, 2022 and 2021, respectively. The benefit of the conditional reduced tax rates on diluted earnings per share was approximately $0.08, $0.34 and $0.23 for 2023, 2022 and 2021,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components of our deferred tax assets and liabilities:</w:t>
      </w:r>
    </w:p>
    <w:tbl>
      <w:tblPr>
        <w:tblW w:w="6729" w:type="dxa"/>
        <w:jc w:val="left"/>
        <w:tblInd w:w="0" w:type="dxa"/>
        <w:tblLayout w:type="fixed"/>
        <w:tblCellMar>
          <w:top w:w="28" w:type="dxa"/>
          <w:left w:w="28" w:type="dxa"/>
          <w:bottom w:w="28" w:type="dxa"/>
          <w:right w:w="28" w:type="dxa"/>
        </w:tblCellMar>
      </w:tblPr>
      <w:tblGrid>
        <w:gridCol w:w="1551"/>
        <w:gridCol w:w="1360"/>
        <w:gridCol w:w="1364"/>
        <w:gridCol w:w="211"/>
        <w:gridCol w:w="721"/>
        <w:gridCol w:w="109"/>
        <w:gridCol w:w="109"/>
        <w:gridCol w:w="109"/>
        <w:gridCol w:w="109"/>
        <w:gridCol w:w="211"/>
        <w:gridCol w:w="721"/>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exchange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exchange gain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Valuation allowance against deferred tax assets consist of the following:</w:t>
      </w:r>
    </w:p>
    <w:tbl>
      <w:tblPr>
        <w:tblW w:w="4914" w:type="dxa"/>
        <w:jc w:val="center"/>
        <w:tblInd w:w="0" w:type="dxa"/>
        <w:tblLayout w:type="fixed"/>
        <w:tblCellMar>
          <w:top w:w="28" w:type="dxa"/>
          <w:left w:w="28" w:type="dxa"/>
          <w:bottom w:w="28" w:type="dxa"/>
          <w:right w:w="28" w:type="dxa"/>
        </w:tblCellMar>
      </w:tblPr>
      <w:tblGrid>
        <w:gridCol w:w="813"/>
        <w:gridCol w:w="716"/>
        <w:gridCol w:w="721"/>
        <w:gridCol w:w="211"/>
        <w:gridCol w:w="826"/>
        <w:gridCol w:w="109"/>
        <w:gridCol w:w="109"/>
        <w:gridCol w:w="109"/>
        <w:gridCol w:w="109"/>
        <w:gridCol w:w="211"/>
        <w:gridCol w:w="826"/>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valuation allowance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operating loss carryforwards are as follows:</w:t>
      </w:r>
    </w:p>
    <w:tbl>
      <w:tblPr>
        <w:tblW w:w="7355" w:type="dxa"/>
        <w:jc w:val="left"/>
        <w:tblInd w:w="0" w:type="dxa"/>
        <w:tblLayout w:type="fixed"/>
        <w:tblCellMar>
          <w:top w:w="28" w:type="dxa"/>
          <w:left w:w="28" w:type="dxa"/>
          <w:bottom w:w="28" w:type="dxa"/>
          <w:right w:w="28" w:type="dxa"/>
        </w:tblCellMar>
      </w:tblPr>
      <w:tblGrid>
        <w:gridCol w:w="1330"/>
        <w:gridCol w:w="1169"/>
        <w:gridCol w:w="1175"/>
        <w:gridCol w:w="211"/>
        <w:gridCol w:w="616"/>
        <w:gridCol w:w="109"/>
        <w:gridCol w:w="109"/>
        <w:gridCol w:w="109"/>
        <w:gridCol w:w="109"/>
        <w:gridCol w:w="211"/>
        <w:gridCol w:w="721"/>
        <w:gridCol w:w="109"/>
        <w:gridCol w:w="109"/>
        <w:gridCol w:w="109"/>
        <w:gridCol w:w="109"/>
        <w:gridCol w:w="307"/>
        <w:gridCol w:w="307"/>
        <w:gridCol w:w="436"/>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net operating loss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net operating loss carryforwards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2024-2036</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 carryforwards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2027-2031</w:t>
            </w:r>
          </w:p>
        </w:tc>
      </w:tr>
    </w:tbl>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a portion of our remaining U.S. federal net operating loss carryforwards was reserved with a valuation allowance due to ownership change limitations from a prior year acquisition as well as certain state net operating loss carryforwards expected to expire unused. Also, we have a valuation allowance against foreign net operating loss carryforwards that we do not expect to have sufficient taxable income to realize as of December 31, 2023 and 2022.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tax credit carryforwards are as follows:</w:t>
      </w:r>
    </w:p>
    <w:tbl>
      <w:tblPr>
        <w:tblW w:w="5901" w:type="dxa"/>
        <w:jc w:val="center"/>
        <w:tblInd w:w="0" w:type="dxa"/>
        <w:tblLayout w:type="fixed"/>
        <w:tblCellMar>
          <w:top w:w="28" w:type="dxa"/>
          <w:left w:w="28" w:type="dxa"/>
          <w:bottom w:w="28" w:type="dxa"/>
          <w:right w:w="28" w:type="dxa"/>
        </w:tblCellMar>
      </w:tblPr>
      <w:tblGrid>
        <w:gridCol w:w="766"/>
        <w:gridCol w:w="673"/>
        <w:gridCol w:w="676"/>
        <w:gridCol w:w="211"/>
        <w:gridCol w:w="721"/>
        <w:gridCol w:w="109"/>
        <w:gridCol w:w="109"/>
        <w:gridCol w:w="109"/>
        <w:gridCol w:w="109"/>
        <w:gridCol w:w="211"/>
        <w:gridCol w:w="721"/>
        <w:gridCol w:w="109"/>
        <w:gridCol w:w="109"/>
        <w:gridCol w:w="109"/>
        <w:gridCol w:w="109"/>
        <w:gridCol w:w="307"/>
        <w:gridCol w:w="307"/>
        <w:gridCol w:w="43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Foreign Tax Credits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2027-2033</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Other Tax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2026-2033</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2024-2033</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a portion of our U.S. and foreign tax credit carryforwards were reserved with a valuation allowance for the amount expected to expire unused. </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of cash to the U.S. as dividends generally will not be subject to U.S. federal income tax.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For the year ended December 31, 2023, we estimate that repatriation of these foreign earnings would generate withholding taxes and state income taxes of approximately $165.9 million.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and file income tax returns in various U.S. and foreign jurisdictions which are subject to examination by tax authorities. We have tax returns that are open to examination in various jurisdictions for tax years 2013-2023.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In certain circumstances where we elect to appeal the results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605" cy="14605"/>
                <wp:effectExtent l="0" t="0" r="0" b="0"/>
                <wp:wrapNone/>
                <wp:docPr id="74" name="Frame7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examination, we may be required to make tax assessment payments to proceed with the administrative appeal process. Current examinations include 2019-2022 Korean income tax returns, 2017-2021 Malaysia income tax returns and 2021 Philippine income tax return.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gross amount of unrecognized tax benefits is as follows:</w:t>
      </w:r>
    </w:p>
    <w:tbl>
      <w:tblPr>
        <w:tblW w:w="8727" w:type="dxa"/>
        <w:jc w:val="left"/>
        <w:tblInd w:w="0" w:type="dxa"/>
        <w:tblLayout w:type="fixed"/>
        <w:tblCellMar>
          <w:top w:w="28" w:type="dxa"/>
          <w:left w:w="28" w:type="dxa"/>
          <w:bottom w:w="28" w:type="dxa"/>
          <w:right w:w="28" w:type="dxa"/>
        </w:tblCellMar>
      </w:tblPr>
      <w:tblGrid>
        <w:gridCol w:w="1778"/>
        <w:gridCol w:w="1557"/>
        <w:gridCol w:w="1570"/>
        <w:gridCol w:w="211"/>
        <w:gridCol w:w="721"/>
        <w:gridCol w:w="109"/>
        <w:gridCol w:w="109"/>
        <w:gridCol w:w="109"/>
        <w:gridCol w:w="109"/>
        <w:gridCol w:w="211"/>
        <w:gridCol w:w="721"/>
        <w:gridCol w:w="109"/>
        <w:gridCol w:w="109"/>
        <w:gridCol w:w="109"/>
        <w:gridCol w:w="109"/>
        <w:gridCol w:w="211"/>
        <w:gridCol w:w="721"/>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related to settlements with tax authorities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from lapse of statutes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decrease in our unrecognized tax benefits was $1.7 million from December 31, 2022 to December 31, 2023. The decrease was primarily related to the lapse of statutes of limitations. At December 31, 2023, all of our gross unrecognized tax benefits would reduce our effective tax rate, if recognized. It is reasonably possible that unrecognized tax benefits related to income attribution will decrease in the next 12 months by up to $0.8 million due to the lapse of statutes of limitations in foreign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related to our unrecognized tax benefits, before interest and penalties, is $23.0 million as of December 31, 2023 and is reported as a component of other non-current liabilities. The unrecognized tax benefits presented in the table above also include positions that have reduced deferred tax assets by $8.5 million. The balance of accrued and unpaid interest and penalties is $4.5 million and $4.9 million as of December 31, 2023 and 2022, respectively, and is included as a component of other non-current liabilities in connection with our unrecognized tax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5. Earnings Per Share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is computed based on the weighted-average number of common shares outstanding plus the effect of dilutive potential common shares outstanding during the period. Dilutive potential common shares include outstanding stock options, PSUs, RSUs and unvested restricted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computations of basic and diluted EPS:</w:t>
      </w:r>
    </w:p>
    <w:tbl>
      <w:tblPr>
        <w:tblW w:w="9792" w:type="dxa"/>
        <w:jc w:val="left"/>
        <w:tblInd w:w="0" w:type="dxa"/>
        <w:tblLayout w:type="fixed"/>
        <w:tblCellMar>
          <w:top w:w="28" w:type="dxa"/>
          <w:left w:w="28" w:type="dxa"/>
          <w:bottom w:w="28" w:type="dxa"/>
          <w:right w:w="28" w:type="dxa"/>
        </w:tblCellMar>
      </w:tblPr>
      <w:tblGrid>
        <w:gridCol w:w="2049"/>
        <w:gridCol w:w="1801"/>
        <w:gridCol w:w="1805"/>
        <w:gridCol w:w="211"/>
        <w:gridCol w:w="826"/>
        <w:gridCol w:w="109"/>
        <w:gridCol w:w="109"/>
        <w:gridCol w:w="109"/>
        <w:gridCol w:w="109"/>
        <w:gridCol w:w="211"/>
        <w:gridCol w:w="826"/>
        <w:gridCol w:w="109"/>
        <w:gridCol w:w="109"/>
        <w:gridCol w:w="109"/>
        <w:gridCol w:w="109"/>
        <w:gridCol w:w="211"/>
        <w:gridCol w:w="826"/>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Amkor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 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 diluted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Amkor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potential shares of common stock that were excluded from diluted EPS, because the effect of including these potential shares was anti-dilutive:</w:t>
      </w:r>
    </w:p>
    <w:tbl>
      <w:tblPr>
        <w:tblW w:w="4601" w:type="dxa"/>
        <w:jc w:val="left"/>
        <w:tblInd w:w="0" w:type="dxa"/>
        <w:tblLayout w:type="fixed"/>
        <w:tblCellMar>
          <w:top w:w="28" w:type="dxa"/>
          <w:left w:w="28" w:type="dxa"/>
          <w:bottom w:w="28" w:type="dxa"/>
          <w:right w:w="28" w:type="dxa"/>
        </w:tblCellMar>
      </w:tblPr>
      <w:tblGrid>
        <w:gridCol w:w="614"/>
        <w:gridCol w:w="540"/>
        <w:gridCol w:w="541"/>
        <w:gridCol w:w="173"/>
        <w:gridCol w:w="173"/>
        <w:gridCol w:w="173"/>
        <w:gridCol w:w="173"/>
        <w:gridCol w:w="173"/>
        <w:gridCol w:w="173"/>
        <w:gridCol w:w="233"/>
        <w:gridCol w:w="233"/>
        <w:gridCol w:w="173"/>
        <w:gridCol w:w="173"/>
        <w:gridCol w:w="173"/>
        <w:gridCol w:w="173"/>
        <w:gridCol w:w="233"/>
        <w:gridCol w:w="233"/>
        <w:gridCol w:w="24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equivalents and available-for-sale debt investments:</w:t>
      </w:r>
    </w:p>
    <w:tbl>
      <w:tblPr>
        <w:tblW w:w="10205" w:type="dxa"/>
        <w:jc w:val="center"/>
        <w:tblInd w:w="0" w:type="dxa"/>
        <w:tblLayout w:type="fixed"/>
        <w:tblCellMar>
          <w:top w:w="28" w:type="dxa"/>
          <w:left w:w="28" w:type="dxa"/>
          <w:bottom w:w="28" w:type="dxa"/>
          <w:right w:w="28" w:type="dxa"/>
        </w:tblCellMar>
      </w:tblPr>
      <w:tblGrid>
        <w:gridCol w:w="630"/>
        <w:gridCol w:w="464"/>
        <w:gridCol w:w="467"/>
        <w:gridCol w:w="215"/>
        <w:gridCol w:w="844"/>
        <w:gridCol w:w="111"/>
        <w:gridCol w:w="109"/>
        <w:gridCol w:w="109"/>
        <w:gridCol w:w="109"/>
        <w:gridCol w:w="299"/>
        <w:gridCol w:w="663"/>
        <w:gridCol w:w="156"/>
        <w:gridCol w:w="109"/>
        <w:gridCol w:w="109"/>
        <w:gridCol w:w="109"/>
        <w:gridCol w:w="311"/>
        <w:gridCol w:w="717"/>
        <w:gridCol w:w="161"/>
        <w:gridCol w:w="109"/>
        <w:gridCol w:w="109"/>
        <w:gridCol w:w="109"/>
        <w:gridCol w:w="219"/>
        <w:gridCol w:w="857"/>
        <w:gridCol w:w="113"/>
        <w:gridCol w:w="109"/>
        <w:gridCol w:w="109"/>
        <w:gridCol w:w="109"/>
        <w:gridCol w:w="211"/>
        <w:gridCol w:w="826"/>
        <w:gridCol w:w="109"/>
        <w:gridCol w:w="109"/>
        <w:gridCol w:w="109"/>
        <w:gridCol w:w="109"/>
        <w:gridCol w:w="211"/>
        <w:gridCol w:w="826"/>
        <w:gridCol w:w="160"/>
      </w:tblGrid>
      <w:tr>
        <w:trPr/>
        <w:tc>
          <w:tcPr>
            <w:tcW w:w="63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4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(2)</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111,916 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386,756 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581,573 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434,957 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TextBody"/>
        <w:bidi w:val="0"/>
        <w:spacing w:before="10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2"/>
        <w:gridCol w:w="418"/>
        <w:gridCol w:w="420"/>
        <w:gridCol w:w="213"/>
        <w:gridCol w:w="837"/>
        <w:gridCol w:w="110"/>
        <w:gridCol w:w="109"/>
        <w:gridCol w:w="109"/>
        <w:gridCol w:w="109"/>
        <w:gridCol w:w="299"/>
        <w:gridCol w:w="577"/>
        <w:gridCol w:w="156"/>
        <w:gridCol w:w="109"/>
        <w:gridCol w:w="109"/>
        <w:gridCol w:w="109"/>
        <w:gridCol w:w="246"/>
        <w:gridCol w:w="758"/>
        <w:gridCol w:w="127"/>
        <w:gridCol w:w="109"/>
        <w:gridCol w:w="109"/>
        <w:gridCol w:w="109"/>
        <w:gridCol w:w="216"/>
        <w:gridCol w:w="845"/>
        <w:gridCol w:w="111"/>
        <w:gridCol w:w="109"/>
        <w:gridCol w:w="109"/>
        <w:gridCol w:w="109"/>
        <w:gridCol w:w="211"/>
        <w:gridCol w:w="826"/>
        <w:gridCol w:w="109"/>
        <w:gridCol w:w="109"/>
        <w:gridCol w:w="109"/>
        <w:gridCol w:w="109"/>
        <w:gridCol w:w="211"/>
        <w:gridCol w:w="826"/>
        <w:gridCol w:w="162"/>
      </w:tblGrid>
      <w:tr>
        <w:trPr/>
        <w:tc>
          <w:tcPr>
            <w:tcW w:w="89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7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(2)</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474,794 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340,656 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(2)During the years ended December 31, 2023, 2022, and 2021 we sold cash equivalent investments for proceeds of $47.0 million, $29.6 million and $12.8 million, respectively, and realized no gain or loss on such sales.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contractual maturities of our cash equivalents and available-for-sale debt investments as of December 31, 2023:</w:t>
      </w:r>
    </w:p>
    <w:tbl>
      <w:tblPr>
        <w:tblW w:w="6332" w:type="dxa"/>
        <w:jc w:val="left"/>
        <w:tblInd w:w="0" w:type="dxa"/>
        <w:tblLayout w:type="fixed"/>
        <w:tblCellMar>
          <w:top w:w="28" w:type="dxa"/>
          <w:left w:w="28" w:type="dxa"/>
          <w:bottom w:w="28" w:type="dxa"/>
          <w:right w:w="28" w:type="dxa"/>
        </w:tblCellMar>
      </w:tblPr>
      <w:tblGrid>
        <w:gridCol w:w="858"/>
        <w:gridCol w:w="754"/>
        <w:gridCol w:w="758"/>
        <w:gridCol w:w="109"/>
        <w:gridCol w:w="109"/>
        <w:gridCol w:w="109"/>
        <w:gridCol w:w="229"/>
        <w:gridCol w:w="898"/>
        <w:gridCol w:w="118"/>
        <w:gridCol w:w="109"/>
        <w:gridCol w:w="109"/>
        <w:gridCol w:w="109"/>
        <w:gridCol w:w="211"/>
        <w:gridCol w:w="826"/>
        <w:gridCol w:w="109"/>
        <w:gridCol w:w="109"/>
        <w:gridCol w:w="109"/>
        <w:gridCol w:w="109"/>
        <w:gridCol w:w="109"/>
        <w:gridCol w:w="109"/>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1 year through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amortized cost and fair market value of our held-to-maturity government bonds (Level 1) maturing within a year were $5.2 million. As of December 31, 2022 the amortized cost and fair market value of our held-to-maturity government bonds (Level 1) maturing within a year were $4.4 million and $4.3 million, respectively.</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7. Factoring of Accounts Receivable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years ended December 31, 2023 and 2022, we sold accounts receivable totaling $253.9 million and $386.5 million, net of discounts and fees of $1.3 million and $1.1 million,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8. Property, Plant and Equipment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 of the following:</w:t>
      </w:r>
    </w:p>
    <w:tbl>
      <w:tblPr>
        <w:tblW w:w="6654" w:type="dxa"/>
        <w:jc w:val="left"/>
        <w:tblInd w:w="0" w:type="dxa"/>
        <w:tblLayout w:type="fixed"/>
        <w:tblCellMar>
          <w:top w:w="28" w:type="dxa"/>
          <w:left w:w="28" w:type="dxa"/>
          <w:bottom w:w="28" w:type="dxa"/>
          <w:right w:w="28" w:type="dxa"/>
        </w:tblCellMar>
      </w:tblPr>
      <w:tblGrid>
        <w:gridCol w:w="1336"/>
        <w:gridCol w:w="1171"/>
        <w:gridCol w:w="1183"/>
        <w:gridCol w:w="211"/>
        <w:gridCol w:w="976"/>
        <w:gridCol w:w="109"/>
        <w:gridCol w:w="109"/>
        <w:gridCol w:w="109"/>
        <w:gridCol w:w="109"/>
        <w:gridCol w:w="211"/>
        <w:gridCol w:w="97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computer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3,135,614 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depreciation expense:</w:t>
      </w:r>
    </w:p>
    <w:tbl>
      <w:tblPr>
        <w:tblW w:w="6012" w:type="dxa"/>
        <w:jc w:val="center"/>
        <w:tblInd w:w="0" w:type="dxa"/>
        <w:tblLayout w:type="fixed"/>
        <w:tblCellMar>
          <w:top w:w="28" w:type="dxa"/>
          <w:left w:w="28" w:type="dxa"/>
          <w:bottom w:w="28" w:type="dxa"/>
          <w:right w:w="28" w:type="dxa"/>
        </w:tblCellMar>
      </w:tblPr>
      <w:tblGrid>
        <w:gridCol w:w="679"/>
        <w:gridCol w:w="597"/>
        <w:gridCol w:w="599"/>
        <w:gridCol w:w="211"/>
        <w:gridCol w:w="826"/>
        <w:gridCol w:w="109"/>
        <w:gridCol w:w="109"/>
        <w:gridCol w:w="109"/>
        <w:gridCol w:w="109"/>
        <w:gridCol w:w="211"/>
        <w:gridCol w:w="826"/>
        <w:gridCol w:w="109"/>
        <w:gridCol w:w="109"/>
        <w:gridCol w:w="109"/>
        <w:gridCol w:w="109"/>
        <w:gridCol w:w="211"/>
        <w:gridCol w:w="82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first phase of construction for our Vietnam Facility and transferred $244.3 million from construction in progress to buildings and improvements.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Leases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6506" w:type="dxa"/>
        <w:jc w:val="center"/>
        <w:tblInd w:w="0" w:type="dxa"/>
        <w:tblLayout w:type="fixed"/>
        <w:tblCellMar>
          <w:top w:w="28" w:type="dxa"/>
          <w:left w:w="28" w:type="dxa"/>
          <w:bottom w:w="28" w:type="dxa"/>
          <w:right w:w="28" w:type="dxa"/>
        </w:tblCellMar>
      </w:tblPr>
      <w:tblGrid>
        <w:gridCol w:w="895"/>
        <w:gridCol w:w="787"/>
        <w:gridCol w:w="792"/>
        <w:gridCol w:w="211"/>
        <w:gridCol w:w="826"/>
        <w:gridCol w:w="109"/>
        <w:gridCol w:w="109"/>
        <w:gridCol w:w="109"/>
        <w:gridCol w:w="109"/>
        <w:gridCol w:w="211"/>
        <w:gridCol w:w="826"/>
        <w:gridCol w:w="109"/>
        <w:gridCol w:w="109"/>
        <w:gridCol w:w="109"/>
        <w:gridCol w:w="109"/>
        <w:gridCol w:w="211"/>
        <w:gridCol w:w="72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10172" w:type="dxa"/>
        <w:jc w:val="center"/>
        <w:tblInd w:w="0" w:type="dxa"/>
        <w:tblLayout w:type="fixed"/>
        <w:tblCellMar>
          <w:top w:w="28" w:type="dxa"/>
          <w:left w:w="28" w:type="dxa"/>
          <w:bottom w:w="28" w:type="dxa"/>
          <w:right w:w="28" w:type="dxa"/>
        </w:tblCellMar>
      </w:tblPr>
      <w:tblGrid>
        <w:gridCol w:w="2123"/>
        <w:gridCol w:w="1866"/>
        <w:gridCol w:w="1875"/>
        <w:gridCol w:w="211"/>
        <w:gridCol w:w="721"/>
        <w:gridCol w:w="271"/>
        <w:gridCol w:w="109"/>
        <w:gridCol w:w="109"/>
        <w:gridCol w:w="109"/>
        <w:gridCol w:w="211"/>
        <w:gridCol w:w="721"/>
        <w:gridCol w:w="271"/>
        <w:gridCol w:w="109"/>
        <w:gridCol w:w="109"/>
        <w:gridCol w:w="109"/>
        <w:gridCol w:w="211"/>
        <w:gridCol w:w="721"/>
        <w:gridCol w:w="316"/>
      </w:tblGrid>
      <w:tr>
        <w:trPr/>
        <w:tc>
          <w:tcPr>
            <w:tcW w:w="212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Flows Information (in thousands)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were as follows:</w:t>
      </w:r>
    </w:p>
    <w:tbl>
      <w:tblPr>
        <w:tblW w:w="6102" w:type="dxa"/>
        <w:jc w:val="center"/>
        <w:tblInd w:w="0" w:type="dxa"/>
        <w:tblLayout w:type="fixed"/>
        <w:tblCellMar>
          <w:top w:w="28" w:type="dxa"/>
          <w:left w:w="28" w:type="dxa"/>
          <w:bottom w:w="28" w:type="dxa"/>
          <w:right w:w="28" w:type="dxa"/>
        </w:tblCellMar>
      </w:tblPr>
      <w:tblGrid>
        <w:gridCol w:w="1150"/>
        <w:gridCol w:w="1008"/>
        <w:gridCol w:w="1022"/>
        <w:gridCol w:w="276"/>
        <w:gridCol w:w="946"/>
        <w:gridCol w:w="143"/>
        <w:gridCol w:w="109"/>
        <w:gridCol w:w="109"/>
        <w:gridCol w:w="109"/>
        <w:gridCol w:w="218"/>
        <w:gridCol w:w="853"/>
        <w:gridCol w:w="159"/>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entered into additional lease agreements that have not yet commenced of approximately $8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Accrued Expenses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w:t>
      </w:r>
    </w:p>
    <w:tbl>
      <w:tblPr>
        <w:tblW w:w="6489" w:type="dxa"/>
        <w:jc w:val="left"/>
        <w:tblInd w:w="0" w:type="dxa"/>
        <w:tblLayout w:type="fixed"/>
        <w:tblCellMar>
          <w:top w:w="28" w:type="dxa"/>
          <w:left w:w="28" w:type="dxa"/>
          <w:bottom w:w="28" w:type="dxa"/>
          <w:right w:w="28" w:type="dxa"/>
        </w:tblCellMar>
      </w:tblPr>
      <w:tblGrid>
        <w:gridCol w:w="1384"/>
        <w:gridCol w:w="1218"/>
        <w:gridCol w:w="1223"/>
        <w:gridCol w:w="211"/>
        <w:gridCol w:w="826"/>
        <w:gridCol w:w="109"/>
        <w:gridCol w:w="109"/>
        <w:gridCol w:w="109"/>
        <w:gridCol w:w="109"/>
        <w:gridCol w:w="211"/>
        <w:gridCol w:w="82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customer advances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finance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 plan obligations (Note 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Debt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long-term debt consist of the following:</w:t>
      </w:r>
    </w:p>
    <w:tbl>
      <w:tblPr>
        <w:tblW w:w="10205" w:type="dxa"/>
        <w:jc w:val="left"/>
        <w:tblInd w:w="0" w:type="dxa"/>
        <w:tblLayout w:type="fixed"/>
        <w:tblCellMar>
          <w:top w:w="28" w:type="dxa"/>
          <w:left w:w="28" w:type="dxa"/>
          <w:bottom w:w="28" w:type="dxa"/>
          <w:right w:w="28" w:type="dxa"/>
        </w:tblCellMar>
      </w:tblPr>
      <w:tblGrid>
        <w:gridCol w:w="2626"/>
        <w:gridCol w:w="2303"/>
        <w:gridCol w:w="2310"/>
        <w:gridCol w:w="211"/>
        <w:gridCol w:w="976"/>
        <w:gridCol w:w="109"/>
        <w:gridCol w:w="109"/>
        <w:gridCol w:w="109"/>
        <w:gridCol w:w="109"/>
        <w:gridCol w:w="211"/>
        <w:gridCol w:w="976"/>
        <w:gridCol w:w="156"/>
      </w:tblGrid>
      <w:tr>
        <w:trPr/>
        <w:tc>
          <w:tcPr>
            <w:tcW w:w="262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of Amkor Technology, Inc.: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notes: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6.625% Senior notes, due September 2027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of subsidiaries: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Amkor Technology Korea, Inc.: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fixed rate at 1.85%, due April 2024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fixed rate at 2.12%, due December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Amkor Technology Japan, Inc.: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term loans, variable rate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1.30%, due July 2023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1.35%, due December 2024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1.20%, due December 2025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fixed rate at 1.23%, due December 2026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fixed rate at 1.59%, due December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fixed rate at 1.80%, due December 2028 (3)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Amkor Assembly &amp; Test (Shanghai) Co., Ltd.: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March 2024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June 2025 (4)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2025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1.40%, due December 2026 (5)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TAIFX plus the applicable bank rate, due December 2024 (Taiwan) (6)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applicable bank rate plus 1.75%, due March 2027 (Singapore) (7)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deferred debt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borrowings and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April 2021, we entered into a ₩80 billion term loan agreement with the option to borrow and re-borrow the funds up to six times per year through April 2024. Principal is payable at maturity, and interest is payable monthly. As of December 31, 2023, ₩80.0 billion, or approximately $62 million, was available to be drawn.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(2)We entered into various short-term term loans which mature semiannually. Principal and interest are payable in monthly installments. As of December 31, 2023, $7.7 million was available to be drawn.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 December 2023, we borrowed ¥17.5 billion (US$123.3 million) under a new term loan agreement due December 2028, guaranteed by Amkor Technology, Inc. and our subsidiary, ATSH. Principal is due in 20 equal, quarterly installments plus accrued interest, through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(4)In June 2023, Amkor Assembly &amp; Test (Shanghai) Co. Ltd. amended all term loans to replace London Interbank Offered Rate (“LIBOR”) with a Secured Overnight Financing Rate (“SOFR”) plus 0.75% annual base rate. This contractual amendment is treated as a modification with no recognized gain or loss.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(5)In December 2023, we entered into a $45.0 million term loan. Principal is payable in semiannual installments of $0.5 million, with the remaining balance due at maturity. Interest is payable quarterly.</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(6)In March 2022, ATT amended an existing revolving credit facility to reduce the availability from $36.0 million to $15.0 million. As of December 31, 2023, $15.0 million was available for future borrowings under such credit facility.</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(7)In March 2022, ATSH entered into the 2022 Singapore Revolver, which is guaranteed by Amkor Technology, Inc., ATT and AATT. The maximum borrowing capacity under the 2022 Singapore Revolver is limited to a base amount equal to the lesser of: (1) $600.0 million; or (2) $250.0 million plus a variable amount equal to 37.5% of our consolidated accounts receivable balance. As of December 31, 2023, $600.0 million was available for future borrowings under the 2022 Singapore Revolver.</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foreign debt is collateralized by the land, buildings, equipment and accounts receivable in the respective locations. As of December 31, 2023 the collateralized debt balance was $679.7 million, of which $326.5 million of assets were pledged as collateral.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payable semiannually on our senior notes and quarterly or monthly on our other fixed- and variable-rate debt. Refer to the table above for the interest rates on our fixed-rate debt and to the table below for the interest rates on our variable-rate debt.</w:t>
      </w:r>
    </w:p>
    <w:tbl>
      <w:tblPr>
        <w:tblW w:w="6195" w:type="dxa"/>
        <w:jc w:val="center"/>
        <w:tblInd w:w="0" w:type="dxa"/>
        <w:tblLayout w:type="fixed"/>
        <w:tblCellMar>
          <w:top w:w="28" w:type="dxa"/>
          <w:left w:w="28" w:type="dxa"/>
          <w:bottom w:w="28" w:type="dxa"/>
          <w:right w:w="28" w:type="dxa"/>
        </w:tblCellMar>
      </w:tblPr>
      <w:tblGrid>
        <w:gridCol w:w="1541"/>
        <w:gridCol w:w="1357"/>
        <w:gridCol w:w="1361"/>
        <w:gridCol w:w="255"/>
        <w:gridCol w:w="256"/>
        <w:gridCol w:w="271"/>
        <w:gridCol w:w="109"/>
        <w:gridCol w:w="109"/>
        <w:gridCol w:w="109"/>
        <w:gridCol w:w="255"/>
        <w:gridCol w:w="256"/>
        <w:gridCol w:w="316"/>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Japan, Inc:</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term loans, variable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Assembly &amp; Test (Shanghai) Co., Ltd.: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March 2024</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June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0.75%, due 2025</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SOFR plus 1.40%, due December 2026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Compliance with Debt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debt covenants at December 31, 2023 and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Maturities</w:t>
      </w:r>
    </w:p>
    <w:tbl>
      <w:tblPr>
        <w:tblW w:w="5315" w:type="dxa"/>
        <w:jc w:val="left"/>
        <w:tblInd w:w="0" w:type="dxa"/>
        <w:tblLayout w:type="fixed"/>
        <w:tblCellMar>
          <w:top w:w="28" w:type="dxa"/>
          <w:left w:w="28" w:type="dxa"/>
          <w:bottom w:w="28" w:type="dxa"/>
          <w:right w:w="28" w:type="dxa"/>
        </w:tblCellMar>
      </w:tblPr>
      <w:tblGrid>
        <w:gridCol w:w="1441"/>
        <w:gridCol w:w="1263"/>
        <w:gridCol w:w="1270"/>
        <w:gridCol w:w="211"/>
        <w:gridCol w:w="97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Debt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due for the year ending December 31,</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Pension and Severance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Korean Severance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subsidiary in Korea maintains an unfunded severance plan that covers certain employees that were employed prior to August 1, 2015. To the extent eligible employees are terminated, our subsidiary in Korea would be required to make lump-sum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to the balance of our accrued severance plan obligations are as follows:</w:t>
      </w:r>
    </w:p>
    <w:tbl>
      <w:tblPr>
        <w:tblW w:w="8537" w:type="dxa"/>
        <w:jc w:val="left"/>
        <w:tblInd w:w="0" w:type="dxa"/>
        <w:tblLayout w:type="fixed"/>
        <w:tblCellMar>
          <w:top w:w="28" w:type="dxa"/>
          <w:left w:w="28" w:type="dxa"/>
          <w:bottom w:w="28" w:type="dxa"/>
          <w:right w:w="28" w:type="dxa"/>
        </w:tblCellMar>
      </w:tblPr>
      <w:tblGrid>
        <w:gridCol w:w="2050"/>
        <w:gridCol w:w="1794"/>
        <w:gridCol w:w="1810"/>
        <w:gridCol w:w="230"/>
        <w:gridCol w:w="785"/>
        <w:gridCol w:w="118"/>
        <w:gridCol w:w="118"/>
        <w:gridCol w:w="118"/>
        <w:gridCol w:w="118"/>
        <w:gridCol w:w="230"/>
        <w:gridCol w:w="785"/>
        <w:gridCol w:w="118"/>
        <w:gridCol w:w="109"/>
        <w:gridCol w:w="154"/>
      </w:tblGrid>
      <w:tr>
        <w:trPr/>
        <w:tc>
          <w:tcPr>
            <w:tcW w:w="2050"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of severance benefits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payments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 loss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remaining with the National Pension Fund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severance plan obligations at December 31</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accrued severance plan obligations (Note 10)</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accrued severance plan obligations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Defined Benefit Pension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2023 and 2022:</w:t>
      </w:r>
    </w:p>
    <w:tbl>
      <w:tblPr>
        <w:tblW w:w="6373" w:type="dxa"/>
        <w:jc w:val="left"/>
        <w:tblInd w:w="0" w:type="dxa"/>
        <w:tblLayout w:type="fixed"/>
        <w:tblCellMar>
          <w:top w:w="28" w:type="dxa"/>
          <w:left w:w="28" w:type="dxa"/>
          <w:bottom w:w="28" w:type="dxa"/>
          <w:right w:w="28" w:type="dxa"/>
        </w:tblCellMar>
      </w:tblPr>
      <w:tblGrid>
        <w:gridCol w:w="1340"/>
        <w:gridCol w:w="1181"/>
        <w:gridCol w:w="1184"/>
        <w:gridCol w:w="211"/>
        <w:gridCol w:w="828"/>
        <w:gridCol w:w="109"/>
        <w:gridCol w:w="109"/>
        <w:gridCol w:w="109"/>
        <w:gridCol w:w="109"/>
        <w:gridCol w:w="211"/>
        <w:gridCol w:w="828"/>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projected benefit obligation:</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loss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curtailment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at December 31</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January 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gain (loss) on plan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December 31</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of the Plans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63" w:type="dxa"/>
        <w:jc w:val="left"/>
        <w:tblInd w:w="0" w:type="dxa"/>
        <w:tblLayout w:type="fixed"/>
        <w:tblCellMar>
          <w:top w:w="28" w:type="dxa"/>
          <w:left w:w="28" w:type="dxa"/>
          <w:bottom w:w="28" w:type="dxa"/>
          <w:right w:w="28" w:type="dxa"/>
        </w:tblCellMar>
      </w:tblPr>
      <w:tblGrid>
        <w:gridCol w:w="2193"/>
        <w:gridCol w:w="1928"/>
        <w:gridCol w:w="1938"/>
        <w:gridCol w:w="211"/>
        <w:gridCol w:w="796"/>
        <w:gridCol w:w="109"/>
        <w:gridCol w:w="109"/>
        <w:gridCol w:w="109"/>
        <w:gridCol w:w="109"/>
        <w:gridCol w:w="211"/>
        <w:gridCol w:w="796"/>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the Consolidated Balance Sheets consist of:</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benefit cost (included in 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 liability (included in pension and severance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 recognized at year end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as of December 31, 2023 and 2022 was $128.3 million and $125.6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5"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by component, the change in accumulated other comprehensive income (loss), net of tax related to our Plans:</w:t>
      </w:r>
    </w:p>
    <w:tbl>
      <w:tblPr>
        <w:tblW w:w="10205" w:type="dxa"/>
        <w:jc w:val="left"/>
        <w:tblInd w:w="0" w:type="dxa"/>
        <w:tblLayout w:type="fixed"/>
        <w:tblCellMar>
          <w:top w:w="28" w:type="dxa"/>
          <w:left w:w="28" w:type="dxa"/>
          <w:bottom w:w="28" w:type="dxa"/>
          <w:right w:w="28" w:type="dxa"/>
        </w:tblCellMar>
      </w:tblPr>
      <w:tblGrid>
        <w:gridCol w:w="2279"/>
        <w:gridCol w:w="1837"/>
        <w:gridCol w:w="1848"/>
        <w:gridCol w:w="252"/>
        <w:gridCol w:w="557"/>
        <w:gridCol w:w="129"/>
        <w:gridCol w:w="109"/>
        <w:gridCol w:w="109"/>
        <w:gridCol w:w="109"/>
        <w:gridCol w:w="315"/>
        <w:gridCol w:w="1080"/>
        <w:gridCol w:w="163"/>
        <w:gridCol w:w="109"/>
        <w:gridCol w:w="109"/>
        <w:gridCol w:w="109"/>
        <w:gridCol w:w="211"/>
        <w:gridCol w:w="721"/>
        <w:gridCol w:w="159"/>
      </w:tblGrid>
      <w:tr>
        <w:trPr/>
        <w:tc>
          <w:tcPr>
            <w:tcW w:w="2279"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 Service</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Actuarial Net Gain (Loss)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settlement gain included in net periodic pension cost</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arising during period</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unrealized components of defined benefit pension plan included in other comprehensive income (loss)</w:t>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settlement gain included in net periodic pension cost</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arising during period</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unrealized components of defined benefit pension plan included in other comprehensive income (loss)</w:t>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for pension plans with benefit obligations in excess of plan assets is as follows:</w:t>
      </w:r>
    </w:p>
    <w:tbl>
      <w:tblPr>
        <w:tblW w:w="8453" w:type="dxa"/>
        <w:jc w:val="left"/>
        <w:tblInd w:w="0" w:type="dxa"/>
        <w:tblLayout w:type="fixed"/>
        <w:tblCellMar>
          <w:top w:w="28" w:type="dxa"/>
          <w:left w:w="28" w:type="dxa"/>
          <w:bottom w:w="28" w:type="dxa"/>
          <w:right w:w="28" w:type="dxa"/>
        </w:tblCellMar>
      </w:tblPr>
      <w:tblGrid>
        <w:gridCol w:w="2137"/>
        <w:gridCol w:w="1876"/>
        <w:gridCol w:w="1881"/>
        <w:gridCol w:w="211"/>
        <w:gridCol w:w="826"/>
        <w:gridCol w:w="109"/>
        <w:gridCol w:w="109"/>
        <w:gridCol w:w="109"/>
        <w:gridCol w:w="109"/>
        <w:gridCol w:w="211"/>
        <w:gridCol w:w="721"/>
        <w:gridCol w:w="154"/>
      </w:tblGrid>
      <w:tr>
        <w:trPr/>
        <w:tc>
          <w:tcPr>
            <w:tcW w:w="213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Plans with underfunded or non-funded projected benefit obligation: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fair value of plan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Plans with underfunded or non-funded accumulated benefit obligation: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accumulated benefit obligation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fair value of plan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total pension expense:</w:t>
      </w:r>
    </w:p>
    <w:tbl>
      <w:tblPr>
        <w:tblW w:w="9492" w:type="dxa"/>
        <w:jc w:val="left"/>
        <w:tblInd w:w="0" w:type="dxa"/>
        <w:tblLayout w:type="fixed"/>
        <w:tblCellMar>
          <w:top w:w="28" w:type="dxa"/>
          <w:left w:w="28" w:type="dxa"/>
          <w:bottom w:w="28" w:type="dxa"/>
          <w:right w:w="28" w:type="dxa"/>
        </w:tblCellMar>
      </w:tblPr>
      <w:tblGrid>
        <w:gridCol w:w="2055"/>
        <w:gridCol w:w="1805"/>
        <w:gridCol w:w="1810"/>
        <w:gridCol w:w="211"/>
        <w:gridCol w:w="721"/>
        <w:gridCol w:w="109"/>
        <w:gridCol w:w="109"/>
        <w:gridCol w:w="109"/>
        <w:gridCol w:w="109"/>
        <w:gridCol w:w="211"/>
        <w:gridCol w:w="721"/>
        <w:gridCol w:w="109"/>
        <w:gridCol w:w="109"/>
        <w:gridCol w:w="109"/>
        <w:gridCol w:w="109"/>
        <w:gridCol w:w="211"/>
        <w:gridCol w:w="721"/>
        <w:gridCol w:w="154"/>
      </w:tblGrid>
      <w:tr>
        <w:trPr/>
        <w:tc>
          <w:tcPr>
            <w:tcW w:w="205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pension cost and total pension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Curtailment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(gain)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pension cost other than the service cost component are included in other (income) expense, net in our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6"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assumptions used in computing the net periodic pension cost and projected benefit obligations:</w:t>
      </w:r>
    </w:p>
    <w:tbl>
      <w:tblPr>
        <w:tblW w:w="9874" w:type="dxa"/>
        <w:jc w:val="left"/>
        <w:tblInd w:w="0" w:type="dxa"/>
        <w:tblLayout w:type="fixed"/>
        <w:tblCellMar>
          <w:top w:w="28" w:type="dxa"/>
          <w:left w:w="28" w:type="dxa"/>
          <w:bottom w:w="28" w:type="dxa"/>
          <w:right w:w="28" w:type="dxa"/>
        </w:tblCellMar>
      </w:tblPr>
      <w:tblGrid>
        <w:gridCol w:w="2459"/>
        <w:gridCol w:w="2165"/>
        <w:gridCol w:w="2171"/>
        <w:gridCol w:w="203"/>
        <w:gridCol w:w="203"/>
        <w:gridCol w:w="334"/>
        <w:gridCol w:w="134"/>
        <w:gridCol w:w="134"/>
        <w:gridCol w:w="134"/>
        <w:gridCol w:w="203"/>
        <w:gridCol w:w="203"/>
        <w:gridCol w:w="334"/>
        <w:gridCol w:w="134"/>
        <w:gridCol w:w="134"/>
        <w:gridCol w:w="134"/>
        <w:gridCol w:w="203"/>
        <w:gridCol w:w="203"/>
        <w:gridCol w:w="389"/>
      </w:tblGrid>
      <w:tr>
        <w:trPr/>
        <w:tc>
          <w:tcPr>
            <w:tcW w:w="245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determining net periodic pension cost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determining benefit obligations at December 31</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 for determining net periodic pension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 for determining benefit obligations at December 31</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rate of return on plan assets for determining net periodic</w:t>
              <w:br/>
              <w:t>pension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 </w:t>
      </w:r>
    </w:p>
    <w:tbl>
      <w:tblPr>
        <w:tblW w:w="5336" w:type="dxa"/>
        <w:jc w:val="center"/>
        <w:tblInd w:w="0" w:type="dxa"/>
        <w:tblLayout w:type="fixed"/>
        <w:tblCellMar>
          <w:top w:w="28" w:type="dxa"/>
          <w:left w:w="28" w:type="dxa"/>
          <w:bottom w:w="28" w:type="dxa"/>
          <w:right w:w="28" w:type="dxa"/>
        </w:tblCellMar>
      </w:tblPr>
      <w:tblGrid>
        <w:gridCol w:w="959"/>
        <w:gridCol w:w="844"/>
        <w:gridCol w:w="851"/>
        <w:gridCol w:w="180"/>
        <w:gridCol w:w="181"/>
        <w:gridCol w:w="271"/>
        <w:gridCol w:w="109"/>
        <w:gridCol w:w="109"/>
        <w:gridCol w:w="109"/>
        <w:gridCol w:w="180"/>
        <w:gridCol w:w="181"/>
        <w:gridCol w:w="326"/>
        <w:gridCol w:w="109"/>
        <w:gridCol w:w="109"/>
        <w:gridCol w:w="109"/>
        <w:gridCol w:w="180"/>
        <w:gridCol w:w="181"/>
        <w:gridCol w:w="34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Allocation</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defined benefit plan</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defined benefit plan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 defined benefit plan</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7"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pension plan assets, by asset category utilizing the fair value hierarchy as discussed in Note 16, is as follows:</w:t>
      </w:r>
    </w:p>
    <w:tbl>
      <w:tblPr>
        <w:tblW w:w="10205" w:type="dxa"/>
        <w:jc w:val="left"/>
        <w:tblInd w:w="0" w:type="dxa"/>
        <w:tblLayout w:type="fixed"/>
        <w:tblCellMar>
          <w:top w:w="28" w:type="dxa"/>
          <w:left w:w="28" w:type="dxa"/>
          <w:bottom w:w="28" w:type="dxa"/>
          <w:right w:w="28" w:type="dxa"/>
        </w:tblCellMar>
      </w:tblPr>
      <w:tblGrid>
        <w:gridCol w:w="479"/>
        <w:gridCol w:w="357"/>
        <w:gridCol w:w="359"/>
        <w:gridCol w:w="211"/>
        <w:gridCol w:w="721"/>
        <w:gridCol w:w="109"/>
        <w:gridCol w:w="109"/>
        <w:gridCol w:w="109"/>
        <w:gridCol w:w="109"/>
        <w:gridCol w:w="211"/>
        <w:gridCol w:w="721"/>
        <w:gridCol w:w="109"/>
        <w:gridCol w:w="109"/>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09"/>
        <w:gridCol w:w="211"/>
        <w:gridCol w:w="826"/>
        <w:gridCol w:w="109"/>
        <w:gridCol w:w="109"/>
        <w:gridCol w:w="109"/>
        <w:gridCol w:w="109"/>
        <w:gridCol w:w="109"/>
        <w:gridCol w:w="156"/>
      </w:tblGrid>
      <w:tr>
        <w:trPr/>
        <w:tc>
          <w:tcPr>
            <w:tcW w:w="47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bonds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and commingled funds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Guaranteed investment contracts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Taiwan retirement fund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pension plan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contributions of approximately $11 million during 2024. We closely monitor the funded status of the Plans with respect to legislative requirements. We intend to make at least the minimum contribution required by law each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benefit payments related to our foreign defined benefit plans are as follows:</w:t>
      </w:r>
    </w:p>
    <w:tbl>
      <w:tblPr>
        <w:tblW w:w="2399" w:type="dxa"/>
        <w:jc w:val="left"/>
        <w:tblInd w:w="0" w:type="dxa"/>
        <w:tblLayout w:type="fixed"/>
        <w:tblCellMar>
          <w:top w:w="28" w:type="dxa"/>
          <w:left w:w="28" w:type="dxa"/>
          <w:bottom w:w="28" w:type="dxa"/>
          <w:right w:w="28" w:type="dxa"/>
        </w:tblCellMar>
      </w:tblPr>
      <w:tblGrid>
        <w:gridCol w:w="440"/>
        <w:gridCol w:w="386"/>
        <w:gridCol w:w="388"/>
        <w:gridCol w:w="255"/>
        <w:gridCol w:w="744"/>
        <w:gridCol w:w="186"/>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to 2033</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Defined Contribution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defined contribution plans in Korea, Malaysia, Taiwan and the U.S. Total defined contribution expense was $27.0 million, $24.2 million and $21.8 million for 2023, 2022 and 2021,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8"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Dividends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our Board of Directors approved the initiation of a regular quarterly cash dividend on our common stock. Each quarter since the adoption of this dividend policy, the Company has declared and paid a quarterly dividend. In November 2023, our Board of Directors approved a quarterly dividend of $0.07875 per share, a 5% increase from the rate set in November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14. Accumulated Other Comprehensive Income (Loss)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changes in accumulated other comprehensive income (loss), net of tax:</w:t>
      </w:r>
    </w:p>
    <w:tbl>
      <w:tblPr>
        <w:tblW w:w="10205" w:type="dxa"/>
        <w:jc w:val="center"/>
        <w:tblInd w:w="0" w:type="dxa"/>
        <w:tblLayout w:type="fixed"/>
        <w:tblCellMar>
          <w:top w:w="28" w:type="dxa"/>
          <w:left w:w="28" w:type="dxa"/>
          <w:bottom w:w="28" w:type="dxa"/>
          <w:right w:w="28" w:type="dxa"/>
        </w:tblCellMar>
      </w:tblPr>
      <w:tblGrid>
        <w:gridCol w:w="1252"/>
        <w:gridCol w:w="795"/>
        <w:gridCol w:w="800"/>
        <w:gridCol w:w="558"/>
        <w:gridCol w:w="1674"/>
        <w:gridCol w:w="290"/>
        <w:gridCol w:w="109"/>
        <w:gridCol w:w="109"/>
        <w:gridCol w:w="109"/>
        <w:gridCol w:w="273"/>
        <w:gridCol w:w="934"/>
        <w:gridCol w:w="141"/>
        <w:gridCol w:w="109"/>
        <w:gridCol w:w="109"/>
        <w:gridCol w:w="109"/>
        <w:gridCol w:w="287"/>
        <w:gridCol w:w="981"/>
        <w:gridCol w:w="148"/>
        <w:gridCol w:w="109"/>
        <w:gridCol w:w="109"/>
        <w:gridCol w:w="109"/>
        <w:gridCol w:w="211"/>
        <w:gridCol w:w="721"/>
        <w:gridCol w:w="159"/>
      </w:tblGrid>
      <w:tr>
        <w:trPr/>
        <w:tc>
          <w:tcPr>
            <w:tcW w:w="125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(Losses) on Available-for-Sale Debt Investments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2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2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2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2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2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2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reclassified out of accumulated other comprehensive income (loss) are included as other (income) expense, net (Note 3).</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(2)Amounts reclassified out of accumulated other comprehensive income (loss) are included as a component of net periodic pension cost (Note 12) or other (income) expense, net (Note 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15. Derivatives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9" name="Frame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our foreign exchange forward contracts consisted of the following:</w:t>
      </w:r>
    </w:p>
    <w:tbl>
      <w:tblPr>
        <w:tblW w:w="10205" w:type="dxa"/>
        <w:jc w:val="center"/>
        <w:tblInd w:w="0" w:type="dxa"/>
        <w:tblLayout w:type="fixed"/>
        <w:tblCellMar>
          <w:top w:w="28" w:type="dxa"/>
          <w:left w:w="28" w:type="dxa"/>
          <w:bottom w:w="28" w:type="dxa"/>
          <w:right w:w="28" w:type="dxa"/>
        </w:tblCellMar>
      </w:tblPr>
      <w:tblGrid>
        <w:gridCol w:w="543"/>
        <w:gridCol w:w="419"/>
        <w:gridCol w:w="414"/>
        <w:gridCol w:w="214"/>
        <w:gridCol w:w="841"/>
        <w:gridCol w:w="110"/>
        <w:gridCol w:w="109"/>
        <w:gridCol w:w="109"/>
        <w:gridCol w:w="109"/>
        <w:gridCol w:w="267"/>
        <w:gridCol w:w="781"/>
        <w:gridCol w:w="138"/>
        <w:gridCol w:w="109"/>
        <w:gridCol w:w="109"/>
        <w:gridCol w:w="109"/>
        <w:gridCol w:w="442"/>
        <w:gridCol w:w="387"/>
        <w:gridCol w:w="388"/>
        <w:gridCol w:w="109"/>
        <w:gridCol w:w="109"/>
        <w:gridCol w:w="109"/>
        <w:gridCol w:w="214"/>
        <w:gridCol w:w="841"/>
        <w:gridCol w:w="110"/>
        <w:gridCol w:w="109"/>
        <w:gridCol w:w="109"/>
        <w:gridCol w:w="109"/>
        <w:gridCol w:w="267"/>
        <w:gridCol w:w="781"/>
        <w:gridCol w:w="138"/>
        <w:gridCol w:w="109"/>
        <w:gridCol w:w="109"/>
        <w:gridCol w:w="109"/>
        <w:gridCol w:w="408"/>
        <w:gridCol w:w="353"/>
        <w:gridCol w:w="514"/>
      </w:tblGrid>
      <w:tr>
        <w:trPr/>
        <w:tc>
          <w:tcPr>
            <w:tcW w:w="54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Japanese yen</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Korean won</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 peso</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dollar</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forward contracts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394,036 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427,954 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derivatives resulted in a net loss of $38.6 million, $60.2 million and $58.8 million, respectively, which were partially offset by the foreign currency gains associated with the underlying net assets or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16.</w:t>
      </w:r>
      <w:r>
        <w:rPr>
          <w:color w:val="000000"/>
        </w:rPr>
        <w:t xml:space="preserve"> </w:t>
      </w:r>
      <w:r>
        <w:rPr>
          <w:rFonts w:ascii="Times New Roman;sans-serif" w:hAnsi="Times New Roman;sans-serif"/>
          <w:b/>
          <w:color w:val="000000"/>
          <w:sz w:val="20"/>
        </w:rPr>
        <w:t xml:space="preserve">Fair Value Measurements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derivative financial instruments are valued using quoted market prices for similar assets. Counterparties to these derivative contracts are highly rated financial institutions.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measure certain assets and liabilities, including property, plant and equipment and goodwill, at fair value on a nonrecurring basis.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90" name="Frame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our debt for disclosure purposes. The following table presents the fair value of our debt:</w:t>
      </w:r>
    </w:p>
    <w:tbl>
      <w:tblPr>
        <w:tblW w:w="10205" w:type="dxa"/>
        <w:jc w:val="left"/>
        <w:tblInd w:w="0" w:type="dxa"/>
        <w:tblLayout w:type="fixed"/>
        <w:tblCellMar>
          <w:top w:w="28" w:type="dxa"/>
          <w:left w:w="28" w:type="dxa"/>
          <w:bottom w:w="28" w:type="dxa"/>
          <w:right w:w="28" w:type="dxa"/>
        </w:tblCellMar>
      </w:tblPr>
      <w:tblGrid>
        <w:gridCol w:w="1470"/>
        <w:gridCol w:w="1255"/>
        <w:gridCol w:w="126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7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(Level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 and term loans (Level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1,232,334 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17.</w:t>
      </w:r>
      <w:r>
        <w:rPr>
          <w:color w:val="000000"/>
        </w:rPr>
        <w:t xml:space="preserve"> </w:t>
      </w:r>
      <w:r>
        <w:rPr>
          <w:rFonts w:ascii="Times New Roman;sans-serif" w:hAnsi="Times New Roman;sans-serif"/>
          <w:b/>
          <w:color w:val="000000"/>
          <w:sz w:val="20"/>
        </w:rPr>
        <w:t xml:space="preserve">Commitments and Contingencies </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warrant that our services will be performed in a professional and workmanlike manner and in compliance with our customers’ specifications. We accrue costs for known warranty issues. Historically, our warranty costs have been immaterial.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18. Business Segments, Customer Concentrations and Geographic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are managed under a functionally-based organizational structure with the head of each function reporting directly to the CODM;</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assess performance, including incentive compensation, based on consolidated operating performance and financial results;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CODM allocates resources and makes other operating decisions based on specific customer business opportunities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have an integrated process for the design, development and manufacturing services we provide to all of our customers. We also have centralized sales and administrative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1"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 by product group consist of the following:</w:t>
      </w:r>
    </w:p>
    <w:tbl>
      <w:tblPr>
        <w:tblW w:w="6417" w:type="dxa"/>
        <w:jc w:val="center"/>
        <w:tblInd w:w="0" w:type="dxa"/>
        <w:tblLayout w:type="fixed"/>
        <w:tblCellMar>
          <w:top w:w="28" w:type="dxa"/>
          <w:left w:w="28" w:type="dxa"/>
          <w:bottom w:w="28" w:type="dxa"/>
          <w:right w:w="28" w:type="dxa"/>
        </w:tblCellMar>
      </w:tblPr>
      <w:tblGrid>
        <w:gridCol w:w="662"/>
        <w:gridCol w:w="582"/>
        <w:gridCol w:w="586"/>
        <w:gridCol w:w="211"/>
        <w:gridCol w:w="976"/>
        <w:gridCol w:w="109"/>
        <w:gridCol w:w="109"/>
        <w:gridCol w:w="109"/>
        <w:gridCol w:w="109"/>
        <w:gridCol w:w="211"/>
        <w:gridCol w:w="976"/>
        <w:gridCol w:w="109"/>
        <w:gridCol w:w="109"/>
        <w:gridCol w:w="109"/>
        <w:gridCol w:w="109"/>
        <w:gridCol w:w="211"/>
        <w:gridCol w:w="97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Mainstream Products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6,138,329 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(1)Advanced Products include flip chip, memory and wafer-level processing and related test services.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(2)Mainstream Products include all other wirebond packaging and related test services.</w:t>
      </w:r>
    </w:p>
    <w:p>
      <w:pPr>
        <w:pStyle w:val="TextBody"/>
        <w:bidi w:val="0"/>
        <w:spacing w:lineRule="auto" w:line="288" w:before="0" w:after="0"/>
        <w:jc w:val="left"/>
        <w:rPr/>
      </w:pPr>
      <w:r>
        <w:rPr>
          <w:rFonts w:ascii="Times New Roman;sans-serif" w:hAnsi="Times New Roman;sans-serif"/>
          <w:b w:val="false"/>
          <w:color w:val="000000"/>
          <w:sz w:val="20"/>
        </w:rPr>
        <w:t>Net sales by end market consist of the following</w:t>
      </w:r>
      <w:r>
        <w:rPr>
          <w:rFonts w:ascii="Times New Roman;sans-serif" w:hAnsi="Times New Roman;sans-serif"/>
          <w:b/>
          <w:color w:val="000000"/>
          <w:sz w:val="20"/>
        </w:rPr>
        <w:t>:</w:t>
      </w:r>
    </w:p>
    <w:tbl>
      <w:tblPr>
        <w:tblW w:w="9649" w:type="dxa"/>
        <w:jc w:val="center"/>
        <w:tblInd w:w="0" w:type="dxa"/>
        <w:tblLayout w:type="fixed"/>
        <w:tblCellMar>
          <w:top w:w="28" w:type="dxa"/>
          <w:left w:w="28" w:type="dxa"/>
          <w:bottom w:w="28" w:type="dxa"/>
          <w:right w:w="28" w:type="dxa"/>
        </w:tblCellMar>
      </w:tblPr>
      <w:tblGrid>
        <w:gridCol w:w="2314"/>
        <w:gridCol w:w="2036"/>
        <w:gridCol w:w="2040"/>
        <w:gridCol w:w="232"/>
        <w:gridCol w:w="234"/>
        <w:gridCol w:w="334"/>
        <w:gridCol w:w="134"/>
        <w:gridCol w:w="134"/>
        <w:gridCol w:w="134"/>
        <w:gridCol w:w="232"/>
        <w:gridCol w:w="234"/>
        <w:gridCol w:w="334"/>
        <w:gridCol w:w="134"/>
        <w:gridCol w:w="134"/>
        <w:gridCol w:w="134"/>
        <w:gridCol w:w="232"/>
        <w:gridCol w:w="234"/>
        <w:gridCol w:w="389"/>
      </w:tblGrid>
      <w:tr>
        <w:trPr/>
        <w:tc>
          <w:tcPr>
            <w:tcW w:w="231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6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 (smartphones, tablets)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industrial and other (ADAS, electrification, infotainment, safety)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Computing (data center, infrastructure, PC/laptop, storage)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(AR &amp; gaming, connected home, home electronics, wearables)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by region based on customer headquarters location consist of the following:</w:t>
      </w:r>
    </w:p>
    <w:tbl>
      <w:tblPr>
        <w:tblW w:w="7257" w:type="dxa"/>
        <w:jc w:val="left"/>
        <w:tblInd w:w="0" w:type="dxa"/>
        <w:tblLayout w:type="fixed"/>
        <w:tblCellMar>
          <w:top w:w="28" w:type="dxa"/>
          <w:left w:w="28" w:type="dxa"/>
          <w:bottom w:w="28" w:type="dxa"/>
          <w:right w:w="28" w:type="dxa"/>
        </w:tblCellMar>
      </w:tblPr>
      <w:tblGrid>
        <w:gridCol w:w="967"/>
        <w:gridCol w:w="850"/>
        <w:gridCol w:w="853"/>
        <w:gridCol w:w="211"/>
        <w:gridCol w:w="976"/>
        <w:gridCol w:w="109"/>
        <w:gridCol w:w="109"/>
        <w:gridCol w:w="109"/>
        <w:gridCol w:w="109"/>
        <w:gridCol w:w="211"/>
        <w:gridCol w:w="976"/>
        <w:gridCol w:w="109"/>
        <w:gridCol w:w="109"/>
        <w:gridCol w:w="109"/>
        <w:gridCol w:w="109"/>
        <w:gridCol w:w="211"/>
        <w:gridCol w:w="97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(excluding Japan)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countries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6,138,329 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2022 and 2021 one customer accounted for 27.7%, 20.6% and 13.7% of total net sales, respectively. In 2022, a second customer accounted for 10.1% of total net sales.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2" name="Frame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based on physical location, consist of the following:</w:t>
      </w:r>
    </w:p>
    <w:tbl>
      <w:tblPr>
        <w:tblW w:w="6368" w:type="dxa"/>
        <w:jc w:val="left"/>
        <w:tblInd w:w="0" w:type="dxa"/>
        <w:tblLayout w:type="fixed"/>
        <w:tblCellMar>
          <w:top w:w="28" w:type="dxa"/>
          <w:left w:w="28" w:type="dxa"/>
          <w:bottom w:w="28" w:type="dxa"/>
          <w:right w:w="28" w:type="dxa"/>
        </w:tblCellMar>
      </w:tblPr>
      <w:tblGrid>
        <w:gridCol w:w="1230"/>
        <w:gridCol w:w="1082"/>
        <w:gridCol w:w="1092"/>
        <w:gridCol w:w="211"/>
        <w:gridCol w:w="976"/>
        <w:gridCol w:w="109"/>
        <w:gridCol w:w="109"/>
        <w:gridCol w:w="109"/>
        <w:gridCol w:w="109"/>
        <w:gridCol w:w="211"/>
        <w:gridCol w:w="97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countries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3,135,614 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3" name="Frame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 — VALUATION AND QUALIFYING ACCOUNTS</w:t>
      </w:r>
    </w:p>
    <w:tbl>
      <w:tblPr>
        <w:tblW w:w="10205" w:type="dxa"/>
        <w:jc w:val="left"/>
        <w:tblInd w:w="0" w:type="dxa"/>
        <w:tblLayout w:type="fixed"/>
        <w:tblCellMar>
          <w:top w:w="28" w:type="dxa"/>
          <w:left w:w="28" w:type="dxa"/>
          <w:bottom w:w="28" w:type="dxa"/>
          <w:right w:w="28" w:type="dxa"/>
        </w:tblCellMar>
      </w:tblPr>
      <w:tblGrid>
        <w:gridCol w:w="1040"/>
        <w:gridCol w:w="916"/>
        <w:gridCol w:w="919"/>
        <w:gridCol w:w="211"/>
        <w:gridCol w:w="826"/>
        <w:gridCol w:w="109"/>
        <w:gridCol w:w="109"/>
        <w:gridCol w:w="109"/>
        <w:gridCol w:w="109"/>
        <w:gridCol w:w="895"/>
        <w:gridCol w:w="856"/>
        <w:gridCol w:w="859"/>
        <w:gridCol w:w="109"/>
        <w:gridCol w:w="109"/>
        <w:gridCol w:w="109"/>
        <w:gridCol w:w="337"/>
        <w:gridCol w:w="339"/>
        <w:gridCol w:w="286"/>
        <w:gridCol w:w="109"/>
        <w:gridCol w:w="109"/>
        <w:gridCol w:w="109"/>
        <w:gridCol w:w="109"/>
        <w:gridCol w:w="109"/>
        <w:gridCol w:w="109"/>
        <w:gridCol w:w="109"/>
        <w:gridCol w:w="211"/>
        <w:gridCol w:w="826"/>
        <w:gridCol w:w="158"/>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Beginning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(Credited) Charged to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End of Period</w:t>
            </w:r>
          </w:p>
        </w:tc>
      </w:tr>
      <w:tr>
        <w:trPr/>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2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195" w:type="dxa"/>
            <w:gridSpan w:val="3"/>
            <w:tcBorders/>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 valuation allowance: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at December 31, 2021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(17,762)</w:t>
            </w:r>
          </w:p>
        </w:tc>
        <w:tc>
          <w:tcPr>
            <w:tcW w:w="8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at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15,838 </w:t>
            </w:r>
          </w:p>
        </w:tc>
        <w:tc>
          <w:tcPr>
            <w:tcW w:w="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4"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1080"/>
        <w:jc w:val="left"/>
        <w:rPr/>
      </w:pPr>
      <w:r>
        <w:rPr>
          <w:rFonts w:ascii="Times New Roman;sans-serif" w:hAnsi="Times New Roman;sans-serif"/>
          <w:b/>
          <w:color w:val="000000"/>
          <w:sz w:val="20"/>
        </w:rPr>
        <w:t>Item 9.</w:t>
      </w:r>
      <w:r>
        <w:rPr>
          <w:rFonts w:ascii="Times New Roman;sans-serif" w:hAnsi="Times New Roman;sans-serif"/>
          <w:b/>
          <w:i/>
          <w:color w:val="000000"/>
          <w:sz w:val="20"/>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9A.</w:t>
      </w:r>
      <w:r>
        <w:rPr>
          <w:rFonts w:ascii="Times New Roman;sans-serif" w:hAnsi="Times New Roman;sans-serif"/>
          <w:b/>
          <w:i/>
          <w:color w:val="000000"/>
          <w:sz w:val="20"/>
        </w:rPr>
        <w:t>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2023, and concluded those disclosure controls and procedures were effective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conducted an assessment of the effectiveness of our internal control over financial reporting as of December 31, 2023,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2023, based on criteria in Internal Control — Integrated Framework (2013) issued by the COSO.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audited by PricewaterhouseCoopers LLP, an independent registered public accounting firm, as stated in their report which appears under Item 8 of this Form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5" name="Frame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d91c2c4fba94bfa9f95bd94c3585b6d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three months ended December 31, 2023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9B.</w:t>
      </w:r>
      <w:r>
        <w:rPr>
          <w:rFonts w:ascii="Times New Roman;sans-serif" w:hAnsi="Times New Roman;sans-serif"/>
          <w:b/>
          <w:i/>
          <w:color w:val="000000"/>
          <w:sz w:val="20"/>
        </w:rPr>
        <w:t>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Giel Rutten, Amkor’s President and Chief Executive Officer, adopted a “Rule 10b5-1 trading arrangement” as such term is defined in paragraph (a) of Item 408 of Regulation S-K promulgated under the Securities Act, which is intended to satisfy the affirmative defense of Rule 10b5-1(c). Mr. Rutten’s Rule 10b5-1 trading arrangement will terminate on the earliest of: (a) August 30, 2024; (b) the first date on which all trades have been executed or all trading orders relating to such trades have expired; and (c) the date on which Mr. Rutten gives notice to terminate his Rule 10b5-1 trading arrangement. 175,000 shares of our common stock are to be sold under Mr. Rutten’s 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9C.</w:t>
      </w:r>
      <w:r>
        <w:rPr>
          <w:rFonts w:ascii="Times New Roman;sans-serif" w:hAnsi="Times New Roman;sans-serif"/>
          <w:b/>
          <w:i/>
          <w:color w:val="000000"/>
          <w:sz w:val="20"/>
        </w:rPr>
        <w:t>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10.</w:t>
      </w:r>
      <w:r>
        <w:rPr>
          <w:rFonts w:ascii="Times New Roman;sans-serif" w:hAnsi="Times New Roman;sans-serif"/>
          <w:b/>
          <w:i/>
          <w:color w:val="000000"/>
          <w:sz w:val="20"/>
        </w:rPr>
        <w:t>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10, with the exception of information relating to our Code of Business Conduct (the “Code of Business Conduct”) as disclosed below, is incorporated herein by reference from the material included under the captions “Proposal One: Election of Directors,” “Corporate Governance,” “Executive Officers” and “Delinquent Section 16(a) Reports” in our definitive proxy statement to be filed with the SEC pursuant to Regulation 14A within 120 days after our fiscal year ended December 31, 2023 in connection with our 2024 Annual Meeting of Stockholders (the “Proxy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Code of Business Conduct is written and is applicable to all employees, including our Chief Executive Officer, Chief Financial Officer and Controller. The Code of Business Conduct and our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the Code of Business Conduct required to be disclosed pursuant to applicable rules and regulations.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11.</w:t>
      </w:r>
      <w:r>
        <w:rPr>
          <w:rFonts w:ascii="Times New Roman;sans-serif" w:hAnsi="Times New Roman;sans-serif"/>
          <w:b/>
          <w:i/>
          <w:color w:val="000000"/>
          <w:sz w:val="20"/>
        </w:rPr>
        <w:t>Executive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11 is incorporated herein by reference from the material included under the captions “Director Compensation,” “Executive Compensation,” “Compensation Committee Interlocks and Insider Participation” “Pay Ratio” and “Compensation Committee Report” in the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12.</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12, with the exception of the equity compensation plan information presented below, is incorporated herein by reference from the material included under the caption “Security Ownership of Certain Beneficial Owners and Management” in the Proxy Statement.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6" name="Frame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equity compensation plan as of December 31, 2023:</w:t>
      </w:r>
    </w:p>
    <w:tbl>
      <w:tblPr>
        <w:tblW w:w="10205" w:type="dxa"/>
        <w:jc w:val="left"/>
        <w:tblInd w:w="0" w:type="dxa"/>
        <w:tblLayout w:type="fixed"/>
        <w:tblCellMar>
          <w:top w:w="28" w:type="dxa"/>
          <w:left w:w="28" w:type="dxa"/>
          <w:bottom w:w="28" w:type="dxa"/>
          <w:right w:w="28" w:type="dxa"/>
        </w:tblCellMar>
      </w:tblPr>
      <w:tblGrid>
        <w:gridCol w:w="1358"/>
        <w:gridCol w:w="1191"/>
        <w:gridCol w:w="1197"/>
        <w:gridCol w:w="475"/>
        <w:gridCol w:w="425"/>
        <w:gridCol w:w="1060"/>
        <w:gridCol w:w="109"/>
        <w:gridCol w:w="109"/>
        <w:gridCol w:w="109"/>
        <w:gridCol w:w="469"/>
        <w:gridCol w:w="1376"/>
        <w:gridCol w:w="245"/>
        <w:gridCol w:w="109"/>
        <w:gridCol w:w="109"/>
        <w:gridCol w:w="109"/>
        <w:gridCol w:w="385"/>
        <w:gridCol w:w="370"/>
        <w:gridCol w:w="1000"/>
      </w:tblGrid>
      <w:tr>
        <w:trPr/>
        <w:tc>
          <w:tcPr>
            <w:tcW w:w="135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br/>
              <w:t>Number of</w:t>
              <w:br/>
              <w:t>Securities to be</w:t>
              <w:br/>
              <w:t>Issued Upon</w:t>
              <w:br/>
              <w:t>Exercise of</w:t>
              <w:br/>
              <w:t>Outstanding</w:t>
              <w:br/>
              <w:t>Options, Warrants and Rights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br/>
              <w:t>Weighted</w:t>
              <w:br/>
              <w:t>Average</w:t>
              <w:br/>
              <w:t>Exercise Price of</w:t>
              <w:br/>
              <w:t>Outstanding</w:t>
              <w:br/>
              <w:t>Options, Warrants and Rights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br/>
              <w:t>Number of Securities</w:t>
              <w:br/>
              <w:t>Remaining Available</w:t>
              <w:br/>
              <w:t>for Future Issuance</w:t>
              <w:br/>
              <w:t>Under Equity</w:t>
              <w:br/>
              <w:t>Compensation Plans</w:t>
              <w:br/>
              <w:t>(Excluding Securities</w:t>
              <w:br/>
              <w:t>Reflected in Column(a))</w:t>
              <w:br/>
              <w:t>(In thousands)</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 approved by stockholders (2)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20,582 </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compensation plans</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20,582 </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Calculated without taking into account shares of common stock subject to outstanding RSUs and PSUs that will become issuable as those units vest without any cash consideration or other payment required for such shares.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Consists of the 2007 Plan and the 2021 Plan.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Includes 1.3 million shares of common stock subject to RSUs and PSUs, which entitle each holder to one share of common stock for each unit that vests over the holder’s period of continued service or based on the achievement of certain performance criteria.</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Represents the number of shares of common stock available for issuance under the 2021 Plan, as adjusted to account for full-value awards, which reduce the shares of common stock available for future issuance at a fungible ratio of 1:1.5 for each full-value award previously awarded. The 2007 Plan terminated on the date of the 2021 Annual Meeting, and, accordingly, there were no shares available for future grants under the 2007 Plan as of December 31, 2023. However, if an award under the 2021 Plan or under the 2007 Plan is forfeited, terminated, canceled, expires or is paid in cash, the shares subject to such award, to the extent of the forfeiture, termination, cancellation, expiration or cash payment, may be added back to the shares available for issuance under the 2021 Plan on a 1:1 basis for options and stock appreciation rights and on a 1.5:1 basis for all other equity awards.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Plan, which was approved by our stockholders at the 2021 Annual Meeting, superseded and replaced the 2007 Plan. As of December 31, 2023, a total of 20.6 million shares were available for issuance under the 2021 Plan. Shares available for issuance under our 2021 Plan can be granted pursuant to stock options, restricted stock, RSUs, stock appreciation rights, PSUs and performance shares. For additional information regarding the 2007 Plan and the 2021 Plan, see Note 2 to our Consolidated Financial Statements in Part II, Item 8 of this Form 10-K.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13.</w:t>
      </w:r>
      <w:r>
        <w:rPr>
          <w:rFonts w:ascii="Times New Roman;sans-serif" w:hAnsi="Times New Roman;sans-serif"/>
          <w:b/>
          <w:i/>
          <w:color w:val="000000"/>
          <w:sz w:val="20"/>
        </w:rPr>
        <w:t>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13 is incorporated herein by reference from the material included under the captions “Corporate Governance - Certain Relationships and Related Transactions” and “Proposal One: Election of Directors” in the Proxy Statement.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14.</w:t>
      </w:r>
      <w:r>
        <w:rPr>
          <w:rFonts w:ascii="Times New Roman;sans-serif" w:hAnsi="Times New Roman;sans-serif"/>
          <w:b/>
          <w:i/>
          <w:color w:val="000000"/>
          <w:sz w:val="20"/>
        </w:rPr>
        <w:t>Principal Accountant Fees and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14 is incorporated herein by reference from the material included under the caption “Proposal Three: Ratification of Appointment of Independent Registered Public Accounting Firm”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7"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    </w:t>
      </w:r>
      <w:r>
        <w:rPr>
          <w:rFonts w:ascii="Times New Roman;sans-serif" w:hAnsi="Times New Roman;sans-serif"/>
          <w:b/>
          <w:i/>
          <w:color w:val="000000"/>
          <w:sz w:val="20"/>
        </w:rPr>
        <w:t>Exhibits and Financial Statement Schedules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 </w:t>
      </w:r>
      <w:r>
        <w:rPr>
          <w:rFonts w:ascii="Times New Roman;sans-serif" w:hAnsi="Times New Roman;sans-serif"/>
          <w:b w:val="false"/>
          <w:i/>
          <w:color w:val="000000"/>
          <w:sz w:val="20"/>
        </w:rPr>
        <w:t>Financial Statements, Financial Statement Schedules and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schedules filed as part of this Form 10-K are listed in the index under Part II, Item 8 of this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required by Item 601 of Regulation S-K that are filed with this Form 10-K or incorporated by reference herein are set forth below. Management contracts or compensatory plans or arrangements are identified by an asterisk. </w:t>
      </w:r>
    </w:p>
    <w:tbl>
      <w:tblPr>
        <w:tblW w:w="10205" w:type="dxa"/>
        <w:jc w:val="center"/>
        <w:tblInd w:w="0" w:type="dxa"/>
        <w:tblLayout w:type="fixed"/>
        <w:tblCellMar>
          <w:top w:w="28" w:type="dxa"/>
          <w:left w:w="28" w:type="dxa"/>
          <w:bottom w:w="28" w:type="dxa"/>
          <w:right w:w="28" w:type="dxa"/>
        </w:tblCellMar>
      </w:tblPr>
      <w:tblGrid>
        <w:gridCol w:w="328"/>
        <w:gridCol w:w="256"/>
        <w:gridCol w:w="257"/>
        <w:gridCol w:w="109"/>
        <w:gridCol w:w="109"/>
        <w:gridCol w:w="109"/>
        <w:gridCol w:w="1451"/>
        <w:gridCol w:w="1188"/>
        <w:gridCol w:w="1125"/>
        <w:gridCol w:w="109"/>
        <w:gridCol w:w="109"/>
        <w:gridCol w:w="109"/>
        <w:gridCol w:w="254"/>
        <w:gridCol w:w="254"/>
        <w:gridCol w:w="258"/>
        <w:gridCol w:w="109"/>
        <w:gridCol w:w="109"/>
        <w:gridCol w:w="109"/>
        <w:gridCol w:w="234"/>
        <w:gridCol w:w="234"/>
        <w:gridCol w:w="236"/>
        <w:gridCol w:w="109"/>
        <w:gridCol w:w="109"/>
        <w:gridCol w:w="109"/>
        <w:gridCol w:w="210"/>
        <w:gridCol w:w="210"/>
        <w:gridCol w:w="211"/>
        <w:gridCol w:w="109"/>
        <w:gridCol w:w="109"/>
        <w:gridCol w:w="109"/>
        <w:gridCol w:w="197"/>
        <w:gridCol w:w="197"/>
        <w:gridCol w:w="198"/>
        <w:gridCol w:w="109"/>
        <w:gridCol w:w="109"/>
        <w:gridCol w:w="109"/>
        <w:gridCol w:w="275"/>
        <w:gridCol w:w="275"/>
        <w:gridCol w:w="395"/>
      </w:tblGrid>
      <w:tr>
        <w:trPr/>
        <w:tc>
          <w:tcPr>
            <w:tcW w:w="3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Included Herewith</w:t>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Ending</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Sales Contract of Commodity Premises between Shanghai Waigaoqiao Free Trade Zone Xin Development Co., Ltd. and Amkor Assembly &amp; Test (Shanghai) Co., Ltd. dated May 7, 2004.</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6/30/04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8/6/04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Certificate of Correction to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Restated Bylaws as amended on November 5,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Indenture, dated March 15, 2019, by and between Amkor Technology, Inc. and U.S. Bank National Association, as trustee, regarding the 6.625% Senior Notes due 2027.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Form of Indemnification Agreement for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2009 Voting Agreement, dated as of March 26, 2009, between Amkor Technology, Inc., James J. Kim and 915 Investments,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Form of Stock Option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Form of Restricted Stock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Form of Outside Director Stock Option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Amendment One to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7">
              <w:r>
                <w:rPr>
                  <w:rStyle w:val="InternetLink"/>
                  <w:rFonts w:ascii="Times New Roman;sans-serif" w:hAnsi="Times New Roman;sans-serif"/>
                  <w:b w:val="false"/>
                  <w:color w:val="0000FF"/>
                  <w:sz w:val="20"/>
                  <w:u w:val="single"/>
                </w:rPr>
                <w:t>Form of Global Stock Option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8"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7"/>
        <w:gridCol w:w="261"/>
        <w:gridCol w:w="263"/>
        <w:gridCol w:w="109"/>
        <w:gridCol w:w="109"/>
        <w:gridCol w:w="109"/>
        <w:gridCol w:w="1710"/>
        <w:gridCol w:w="1077"/>
        <w:gridCol w:w="1082"/>
        <w:gridCol w:w="109"/>
        <w:gridCol w:w="109"/>
        <w:gridCol w:w="109"/>
        <w:gridCol w:w="170"/>
        <w:gridCol w:w="170"/>
        <w:gridCol w:w="171"/>
        <w:gridCol w:w="109"/>
        <w:gridCol w:w="109"/>
        <w:gridCol w:w="109"/>
        <w:gridCol w:w="240"/>
        <w:gridCol w:w="240"/>
        <w:gridCol w:w="241"/>
        <w:gridCol w:w="109"/>
        <w:gridCol w:w="109"/>
        <w:gridCol w:w="109"/>
        <w:gridCol w:w="210"/>
        <w:gridCol w:w="210"/>
        <w:gridCol w:w="211"/>
        <w:gridCol w:w="109"/>
        <w:gridCol w:w="109"/>
        <w:gridCol w:w="109"/>
        <w:gridCol w:w="201"/>
        <w:gridCol w:w="201"/>
        <w:gridCol w:w="202"/>
        <w:gridCol w:w="109"/>
        <w:gridCol w:w="109"/>
        <w:gridCol w:w="109"/>
        <w:gridCol w:w="281"/>
        <w:gridCol w:w="281"/>
        <w:gridCol w:w="404"/>
      </w:tblGrid>
      <w:tr>
        <w:trPr/>
        <w:tc>
          <w:tcPr>
            <w:tcW w:w="4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Included Herewith</w:t>
            </w:r>
          </w:p>
        </w:tc>
      </w:tr>
      <w:tr>
        <w:trPr/>
        <w:tc>
          <w:tcPr>
            <w:tcW w:w="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Ending</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Form of Global Restricted Stock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Form of Global Outside Director Nonstatutory Stock Option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Form of Global Outside Director Restricted Stock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1">
              <w:r>
                <w:rPr>
                  <w:rStyle w:val="InternetLink"/>
                  <w:rFonts w:ascii="Times New Roman;sans-serif" w:hAnsi="Times New Roman;sans-serif"/>
                  <w:b w:val="false"/>
                  <w:color w:val="0000FF"/>
                  <w:sz w:val="20"/>
                  <w:u w:val="single"/>
                </w:rPr>
                <w:t>Form of Global Performance-Vested Restricted Stock Unit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2">
              <w:r>
                <w:rPr>
                  <w:rStyle w:val="InternetLink"/>
                  <w:rFonts w:ascii="Times New Roman;sans-serif" w:hAnsi="Times New Roman;sans-serif"/>
                  <w:b w:val="false"/>
                  <w:color w:val="0000FF"/>
                  <w:sz w:val="20"/>
                  <w:u w:val="single"/>
                </w:rPr>
                <w:t>Form of Global Time-Vested Restricted Stock Unit Award Agreement under the Second Amended and Restated 2007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3">
              <w:r>
                <w:rPr>
                  <w:rStyle w:val="InternetLink"/>
                  <w:rFonts w:ascii="Times New Roman;sans-serif" w:hAnsi="Times New Roman;sans-serif"/>
                  <w:b w:val="false"/>
                  <w:color w:val="0000FF"/>
                  <w:sz w:val="20"/>
                  <w:u w:val="single"/>
                </w:rPr>
                <w:t>Amkor 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Amendment One to the Amkor 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Form of Global Non-Employee Director Nonstatutory Stock Option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Form of Global Non-Employee Director Restricted Stock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Form of Global Stock Option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Form of Global Restricted Stock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Form of Global Performance-Vested Restricted Stock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123123ex1021.htm">
              <w:r>
                <w:rPr>
                  <w:rStyle w:val="InternetLink"/>
                  <w:rFonts w:ascii="Times New Roman;sans-serif" w:hAnsi="Times New Roman;sans-serif"/>
                  <w:b w:val="false"/>
                  <w:color w:val="0000FF"/>
                  <w:sz w:val="20"/>
                  <w:u w:val="single"/>
                </w:rPr>
                <w:t>Global Performance-Vested Restricted Stock Unit Award Agreement Guillaume Marie Jean Rutten December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123123ex1022.htm">
              <w:r>
                <w:rPr>
                  <w:rStyle w:val="InternetLink"/>
                  <w:rFonts w:ascii="Times New Roman;sans-serif" w:hAnsi="Times New Roman;sans-serif"/>
                  <w:b w:val="false"/>
                  <w:color w:val="0000FF"/>
                  <w:sz w:val="20"/>
                  <w:u w:val="single"/>
                </w:rPr>
                <w:t>Form of Global Performance-Vested Restricted Stock Unit Award Agreement December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Form of Global Time-Vested Restricted Stock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Form of Global Non-Employee Director Time-Vested Restricted Stock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Second 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Amended and Restated Executive Incentive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Employment Letter Agreement, dated June 24, 2020, between Amkor Technology, Inc. and Guillaume Marie Jean Rutten.*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Separation Agreement and Release, effective July 4, 2020, between Amkor Technology, Inc. and Stephen D. Kelley.*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Separation and Release Agreement, dated September 27, 2021, between Amkor Technology, Inc. and John C. Stone*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9"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5"/>
        <w:gridCol w:w="257"/>
        <w:gridCol w:w="258"/>
        <w:gridCol w:w="109"/>
        <w:gridCol w:w="109"/>
        <w:gridCol w:w="109"/>
        <w:gridCol w:w="1412"/>
        <w:gridCol w:w="1261"/>
        <w:gridCol w:w="1248"/>
        <w:gridCol w:w="109"/>
        <w:gridCol w:w="109"/>
        <w:gridCol w:w="109"/>
        <w:gridCol w:w="170"/>
        <w:gridCol w:w="170"/>
        <w:gridCol w:w="171"/>
        <w:gridCol w:w="109"/>
        <w:gridCol w:w="109"/>
        <w:gridCol w:w="109"/>
        <w:gridCol w:w="235"/>
        <w:gridCol w:w="235"/>
        <w:gridCol w:w="237"/>
        <w:gridCol w:w="109"/>
        <w:gridCol w:w="109"/>
        <w:gridCol w:w="109"/>
        <w:gridCol w:w="210"/>
        <w:gridCol w:w="210"/>
        <w:gridCol w:w="211"/>
        <w:gridCol w:w="109"/>
        <w:gridCol w:w="109"/>
        <w:gridCol w:w="109"/>
        <w:gridCol w:w="197"/>
        <w:gridCol w:w="197"/>
        <w:gridCol w:w="199"/>
        <w:gridCol w:w="109"/>
        <w:gridCol w:w="109"/>
        <w:gridCol w:w="109"/>
        <w:gridCol w:w="276"/>
        <w:gridCol w:w="276"/>
        <w:gridCol w:w="398"/>
      </w:tblGrid>
      <w:tr>
        <w:trPr/>
        <w:tc>
          <w:tcPr>
            <w:tcW w:w="4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Included Herewith</w:t>
            </w:r>
          </w:p>
        </w:tc>
      </w:tr>
      <w:tr>
        <w:trPr/>
        <w:tc>
          <w:tcPr>
            <w:tcW w:w="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Ending</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Executive Severance Agreement, dated November 15, 2022, between Amkor Technology, Inc. and Giel Rutten*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Executive Severance Agreement, dated November 15, 2022, between Amkor Technology, Inc. and Megan Faust*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Executive Severance Agreement, dated November 15, 2022, between Amkor Technology, Inc. and Farshad Haghighi*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Executive Severance Agreement, dated November 15, 2022, between Amkor Technology, Inc. and Mark Rogers*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Executive Severance Agreement, dated February 13, 2023, between Amkor Technology, Inc. and Kevin Engel*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Executive Employment Agreement, effective January 1, 2023, between Amkor Technology Korea, Inc. and Steve Shin*†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Syndicated Loan Agreement among J-Devices Corporation, Sumitomo Mitsui Banking Corporation and other financial institutions, dated as of July 13, 2018 (English translation).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Guaranty by Amkor Technology, Inc. in favor of Sumitomo Mitsui Banking Corporation and other financial institutions, dated as of July 13, 2018 (English translation).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20"/>
                  <w:u w:val="single"/>
                </w:rPr>
                <w:t>Loan and Security Agreement, dated as of July 13, 2018, by and among Amkor Technology Singapore Holding Pte, Ltd., Bank of America, N.A. and other financial institutions.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20"/>
                  <w:u w:val="single"/>
                </w:rPr>
                <w:t>Amendment to Loan and Security Agreement, dated as of July 8, 2019, by and amount Amkor Technology Singapore Holding Pte, Ltd., Bank of America, N.A. and other financial institutions.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Guaranty and Security Agreement, dated as of July 13, 2018, by and among Amkor Technology, Inc., and Bank of America, N.A.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20"/>
                  <w:u w:val="single"/>
                </w:rPr>
                <w:t>Syndicated Loan Agreement among J-Devices Corporation, Sumitomo Mitsui Banking Corporation and other financial institutions, dated as of December 23, 2019 (English translation)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12/26/19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Guaranty by Amkor Technology, Inc. in favor of Sumitomo Mitsui Banking Corporation and other financial institutions, dated as of December 23, 2019 (English translation)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12/26/19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20"/>
                  <w:u w:val="single"/>
                </w:rPr>
                <w:t>Deed of Guaranty by Amkor Technology Singapore Holding Pte. Ltd. in favor of Sumitomo Mitsui Banking Corporation and other financial institutions, dated as of December 23, 2019 (English translation)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12/26/19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100"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8"/>
        <w:gridCol w:w="233"/>
        <w:gridCol w:w="234"/>
        <w:gridCol w:w="109"/>
        <w:gridCol w:w="109"/>
        <w:gridCol w:w="109"/>
        <w:gridCol w:w="2114"/>
        <w:gridCol w:w="1040"/>
        <w:gridCol w:w="1024"/>
        <w:gridCol w:w="109"/>
        <w:gridCol w:w="109"/>
        <w:gridCol w:w="109"/>
        <w:gridCol w:w="170"/>
        <w:gridCol w:w="170"/>
        <w:gridCol w:w="171"/>
        <w:gridCol w:w="109"/>
        <w:gridCol w:w="109"/>
        <w:gridCol w:w="109"/>
        <w:gridCol w:w="213"/>
        <w:gridCol w:w="213"/>
        <w:gridCol w:w="214"/>
        <w:gridCol w:w="109"/>
        <w:gridCol w:w="109"/>
        <w:gridCol w:w="109"/>
        <w:gridCol w:w="210"/>
        <w:gridCol w:w="210"/>
        <w:gridCol w:w="211"/>
        <w:gridCol w:w="109"/>
        <w:gridCol w:w="109"/>
        <w:gridCol w:w="109"/>
        <w:gridCol w:w="181"/>
        <w:gridCol w:w="181"/>
        <w:gridCol w:w="182"/>
        <w:gridCol w:w="109"/>
        <w:gridCol w:w="109"/>
        <w:gridCol w:w="109"/>
        <w:gridCol w:w="251"/>
        <w:gridCol w:w="251"/>
        <w:gridCol w:w="362"/>
      </w:tblGrid>
      <w:tr>
        <w:trPr/>
        <w:tc>
          <w:tcPr>
            <w:tcW w:w="4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Included Herewith</w:t>
            </w:r>
          </w:p>
        </w:tc>
      </w:tr>
      <w:tr>
        <w:trPr/>
        <w:tc>
          <w:tcPr>
            <w:tcW w:w="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Ending</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20"/>
                  <w:u w:val="single"/>
                </w:rPr>
                <w:t>Secured Facility Agreement, dated March 28, 2022, between Amkor Technology, Inc., as parent, Amkor Technology Singapore Holding Pte. Ltd., as borrower, the subsidiaries of the borrower set forth in the schedules thereto, as original guarantors, the Hongkong and Shanghai Banking Corporation Limited, Singapore Branch (“HSBC”) and DBS Bank Ltd., each as mandated lead arranger and bookrunner, the other financial institutions party thereto, as lenders, HSBC, as agent and offshore security trustee, and CTBC Bank Co., Ltd., as onshore security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123123ex211.htm">
              <w:r>
                <w:rPr>
                  <w:rStyle w:val="InternetLink"/>
                  <w:rFonts w:ascii="Times New Roman;sans-serif" w:hAnsi="Times New Roman;sans-serif"/>
                  <w:b w:val="false"/>
                  <w:color w:val="0000FF"/>
                  <w:sz w:val="20"/>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123123ex231.htm">
              <w:r>
                <w:rPr>
                  <w:rStyle w:val="InternetLink"/>
                  <w:rFonts w:ascii="Times New Roman;sans-serif" w:hAnsi="Times New Roman;sans-serif"/>
                  <w:b w:val="false"/>
                  <w:color w:val="0000FF"/>
                  <w:sz w:val="20"/>
                  <w:u w:val="single"/>
                </w:rPr>
                <w:t>Consent of PricewaterhouseCoopers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the Signatures page of this Report on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123123ex311.htm">
              <w:r>
                <w:rPr>
                  <w:rStyle w:val="InternetLink"/>
                  <w:rFonts w:ascii="Times New Roman;sans-serif" w:hAnsi="Times New Roman;sans-serif"/>
                  <w:b w:val="false"/>
                  <w:color w:val="0000FF"/>
                  <w:sz w:val="20"/>
                  <w:u w:val="single"/>
                </w:rPr>
                <w:t>Certification of Guillaume Marie Jean Rutten, Chief Executive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123123ex312.htm">
              <w:r>
                <w:rPr>
                  <w:rStyle w:val="InternetLink"/>
                  <w:rFonts w:ascii="Times New Roman;sans-serif" w:hAnsi="Times New Roman;sans-serif"/>
                  <w:b w:val="false"/>
                  <w:color w:val="0000FF"/>
                  <w:sz w:val="20"/>
                  <w:u w:val="single"/>
                </w:rPr>
                <w:t>Certification of Megan Faust, Chief Financial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123123ex321.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123123ex971.htm">
              <w:r>
                <w:rPr>
                  <w:rStyle w:val="InternetLink"/>
                  <w:rFonts w:ascii="Times New Roman;sans-serif" w:hAnsi="Times New Roman;sans-serif"/>
                  <w:b w:val="false"/>
                  <w:color w:val="0000FF"/>
                  <w:sz w:val="20"/>
                  <w:u w:val="single"/>
                </w:rPr>
                <w:t>Excess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Indicates management compensatory plan, contract or arrangement.</w:t>
      </w:r>
    </w:p>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00" w:after="283"/>
        <w:jc w:val="center"/>
        <w:rPr>
          <w:color w:val="000000"/>
        </w:rPr>
      </w:pPr>
      <w:r>
        <w:rPr>
          <w:color w:val="000000"/>
        </w:rPr>
        <w:t xml:space="preserve">† </w:t>
      </w:r>
      <w:r>
        <w:rPr>
          <w:rFonts w:ascii="Times New Roman;sans-serif" w:hAnsi="Times New Roman;sans-serif"/>
          <w:b w:val="false"/>
          <w:color w:val="000000"/>
          <w:sz w:val="20"/>
        </w:rPr>
        <w:t>Exhibit includes confidential information that has been redacted.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16.    </w:t>
      </w:r>
      <w:r>
        <w:rPr>
          <w:rFonts w:ascii="Times New Roman;sans-serif" w:hAnsi="Times New Roman;sans-serif"/>
          <w:b/>
          <w:i/>
          <w:color w:val="000000"/>
          <w:sz w:val="20"/>
        </w:rPr>
        <w:t>Form 10-K Summary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1"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w:t>
      </w:r>
    </w:p>
    <w:p>
      <w:pPr>
        <w:pStyle w:val="TextBody"/>
        <w:bidi w:val="0"/>
        <w:spacing w:lineRule="auto" w:line="288" w:before="5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INC.</w:t>
      </w:r>
    </w:p>
    <w:tbl>
      <w:tblPr>
        <w:tblW w:w="3630" w:type="dxa"/>
        <w:jc w:val="left"/>
        <w:tblInd w:w="0" w:type="dxa"/>
        <w:tblLayout w:type="fixed"/>
        <w:tblCellMar>
          <w:top w:w="28" w:type="dxa"/>
          <w:left w:w="28" w:type="dxa"/>
          <w:bottom w:w="28" w:type="dxa"/>
          <w:right w:w="28" w:type="dxa"/>
        </w:tblCellMar>
      </w:tblPr>
      <w:tblGrid>
        <w:gridCol w:w="151"/>
        <w:gridCol w:w="134"/>
        <w:gridCol w:w="135"/>
        <w:gridCol w:w="500"/>
        <w:gridCol w:w="500"/>
        <w:gridCol w:w="500"/>
        <w:gridCol w:w="500"/>
        <w:gridCol w:w="500"/>
        <w:gridCol w:w="71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Guillaume Marie Jean Rutten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Guillaume Marie Jean Rutten</w:t>
              <w:br/>
              <w:t>President and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bl>
    <w:p>
      <w:pPr>
        <w:pStyle w:val="TextBody"/>
        <w:bidi w:val="0"/>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Guillaume Marie Jean Rutten and Megan Faust, and each of them, his or her attorneys-in-fact, and agents, each with the power of substitution, for and in the name, place and stead of such person, in any and all capacities, to sign any and all amendments to this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conforming all that said attorneys-in-fact and agents of any of them, or his, her or their substitute or substitutes, may lawfully do or cause to be done by virtue hereof.</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Form 10-K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995"/>
        <w:gridCol w:w="873"/>
        <w:gridCol w:w="884"/>
        <w:gridCol w:w="109"/>
        <w:gridCol w:w="109"/>
        <w:gridCol w:w="109"/>
        <w:gridCol w:w="1721"/>
        <w:gridCol w:w="1718"/>
        <w:gridCol w:w="1740"/>
        <w:gridCol w:w="109"/>
        <w:gridCol w:w="109"/>
        <w:gridCol w:w="109"/>
        <w:gridCol w:w="471"/>
        <w:gridCol w:w="471"/>
        <w:gridCol w:w="678"/>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Guillaume Marie Jean Rutten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Guillaume Marie Jean Rutten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Megan Faust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Megan Faust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J.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J.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Y.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Y.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A. Alexander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A. Alexander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Roger A. Carolin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Roger A. Carolin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2" name="Frame10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tbl>
      <w:tblPr>
        <w:tblW w:w="5289" w:type="dxa"/>
        <w:jc w:val="left"/>
        <w:tblInd w:w="0" w:type="dxa"/>
        <w:tblLayout w:type="fixed"/>
        <w:tblCellMar>
          <w:top w:w="28" w:type="dxa"/>
          <w:left w:w="28" w:type="dxa"/>
          <w:bottom w:w="28" w:type="dxa"/>
          <w:right w:w="28" w:type="dxa"/>
        </w:tblCellMar>
      </w:tblPr>
      <w:tblGrid>
        <w:gridCol w:w="809"/>
        <w:gridCol w:w="709"/>
        <w:gridCol w:w="716"/>
        <w:gridCol w:w="109"/>
        <w:gridCol w:w="109"/>
        <w:gridCol w:w="109"/>
        <w:gridCol w:w="254"/>
        <w:gridCol w:w="254"/>
        <w:gridCol w:w="258"/>
        <w:gridCol w:w="109"/>
        <w:gridCol w:w="109"/>
        <w:gridCol w:w="109"/>
        <w:gridCol w:w="477"/>
        <w:gridCol w:w="477"/>
        <w:gridCol w:w="681"/>
      </w:tblGrid>
      <w:tr>
        <w:trPr/>
        <w:tc>
          <w:tcPr>
            <w:tcW w:w="8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Winston J. Churchill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Winston J. Churchill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Liao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Liao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MaryFrances McCourt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MaryFrances McCourt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R. Morse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R. Morse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Gil C. Tily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Gil C. Tily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3" name="Frame10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10.21</w:t>
      </w:r>
    </w:p>
    <w:p>
      <w:pPr>
        <w:pStyle w:val="TextBody"/>
        <w:bidi w:val="0"/>
        <w:spacing w:before="0" w:after="240"/>
        <w:jc w:val="right"/>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44" w:before="229" w:after="240"/>
        <w:jc w:val="center"/>
        <w:rPr>
          <w:rFonts w:ascii="Times New Roman;sans-serif" w:hAnsi="Times New Roman;sans-serif"/>
          <w:b/>
          <w:color w:val="000000"/>
          <w:sz w:val="20"/>
        </w:rPr>
      </w:pPr>
      <w:r>
        <w:rPr>
          <w:rFonts w:ascii="Times New Roman;sans-serif" w:hAnsi="Times New Roman;sans-serif"/>
          <w:b/>
          <w:color w:val="000000"/>
          <w:sz w:val="20"/>
        </w:rPr>
        <w:t>2021 EQUITY INCENTIVE PLAN</w:t>
      </w:r>
    </w:p>
    <w:p>
      <w:pPr>
        <w:pStyle w:val="TextBody"/>
        <w:bidi w:val="0"/>
        <w:spacing w:lineRule="auto" w:line="244" w:before="229" w:after="240"/>
        <w:jc w:val="center"/>
        <w:rPr>
          <w:rFonts w:ascii="Times New Roman;sans-serif" w:hAnsi="Times New Roman;sans-serif"/>
          <w:b/>
          <w:color w:val="000000"/>
          <w:sz w:val="20"/>
        </w:rPr>
      </w:pPr>
      <w:r>
        <w:rPr>
          <w:rFonts w:ascii="Times New Roman;sans-serif" w:hAnsi="Times New Roman;sans-serif"/>
          <w:b/>
          <w:color w:val="000000"/>
          <w:sz w:val="20"/>
        </w:rPr>
        <w:t>GLOBAL PERFORMANCE-VESTED RESTRICTED STOCK UNIT AWARD AGREEMENT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defined herein, each term used in this Global Performance-Vested Restricted Stock Unit Award Agreement, including the performance goals set forth in the Appendix A attached hereto, the general terms and conditions for all non-U.S. Participants and the additional terms and conditions for certain countries, all as set forth in the Appendix B attached hereto (Appendices A and B, together with the Global Performance-Vested Restricted Stock Unit Award Agreement, the “Award Agreement”) and defined in the Amkor Technology, Inc. 2021 Equity Incentive Plan (the “Plan”) will have the same meaning as is given to such term in the Plan.</w:t>
      </w:r>
    </w:p>
    <w:p>
      <w:pPr>
        <w:pStyle w:val="TextBody"/>
        <w:bidi w:val="0"/>
        <w:spacing w:lineRule="auto" w:line="244" w:before="332" w:after="240"/>
        <w:jc w:val="left"/>
        <w:rPr/>
      </w:pPr>
      <w:r>
        <w:rPr>
          <w:rFonts w:ascii="Times New Roman;sans-serif" w:hAnsi="Times New Roman;sans-serif"/>
          <w:b/>
          <w:color w:val="000000"/>
          <w:sz w:val="20"/>
        </w:rPr>
        <w:t xml:space="preserve">Participant Name: </w:t>
      </w:r>
      <w:r>
        <w:rPr>
          <w:rFonts w:ascii="Times New Roman;sans-serif" w:hAnsi="Times New Roman;sans-serif"/>
          <w:b w:val="false"/>
          <w:color w:val="000000"/>
          <w:sz w:val="20"/>
        </w:rPr>
        <w:t>Guillaume Marie Jean Rutten</w:t>
      </w:r>
    </w:p>
    <w:p>
      <w:pPr>
        <w:pStyle w:val="TextBody"/>
        <w:bidi w:val="0"/>
        <w:spacing w:lineRule="auto" w:line="259" w:before="113" w:after="240"/>
        <w:ind w:left="0" w:right="0" w:firstLine="432"/>
        <w:jc w:val="left"/>
        <w:rPr>
          <w:rFonts w:ascii="Times New Roman;sans-serif" w:hAnsi="Times New Roman;sans-serif"/>
          <w:b w:val="false"/>
          <w:color w:val="000000"/>
          <w:sz w:val="20"/>
        </w:rPr>
      </w:pPr>
      <w:r>
        <w:rPr>
          <w:rFonts w:ascii="Times New Roman;sans-serif" w:hAnsi="Times New Roman;sans-serif"/>
          <w:b w:val="false"/>
          <w:color w:val="000000"/>
          <w:sz w:val="20"/>
        </w:rPr>
        <w:t>You have been granted the right to receive an Award of Performance-Vested Restricted Stock Units, subject to the terms and conditions of the Plan and this Award Agreement, as follows:</w:t>
      </w:r>
    </w:p>
    <w:p>
      <w:pPr>
        <w:pStyle w:val="TextBody"/>
        <w:bidi w:val="0"/>
        <w:spacing w:lineRule="auto" w:line="244" w:before="251" w:after="240"/>
        <w:jc w:val="left"/>
        <w:rPr/>
      </w:pPr>
      <w:r>
        <w:rPr>
          <w:rFonts w:ascii="Times New Roman;sans-serif" w:hAnsi="Times New Roman;sans-serif"/>
          <w:b w:val="false"/>
          <w:color w:val="000000"/>
          <w:sz w:val="20"/>
        </w:rPr>
        <w:t>Grant Number    </w:t>
      </w:r>
      <w:r>
        <w:rPr>
          <w:color w:val="000000"/>
          <w:u w:val="single"/>
        </w:rPr>
        <w:t>        </w:t>
      </w:r>
    </w:p>
    <w:p>
      <w:pPr>
        <w:pStyle w:val="TextBody"/>
        <w:bidi w:val="0"/>
        <w:spacing w:lineRule="auto" w:line="244" w:before="255" w:after="240"/>
        <w:jc w:val="left"/>
        <w:rPr/>
      </w:pPr>
      <w:r>
        <w:rPr>
          <w:rFonts w:ascii="Times New Roman;sans-serif" w:hAnsi="Times New Roman;sans-serif"/>
          <w:b w:val="false"/>
          <w:color w:val="000000"/>
          <w:sz w:val="20"/>
        </w:rPr>
        <w:t>Date of Grant    </w:t>
      </w:r>
      <w:r>
        <w:rPr>
          <w:color w:val="000000"/>
          <w:u w:val="single"/>
        </w:rPr>
        <w:t>        </w:t>
      </w:r>
    </w:p>
    <w:p>
      <w:pPr>
        <w:pStyle w:val="TextBody"/>
        <w:bidi w:val="0"/>
        <w:spacing w:lineRule="auto" w:line="232" w:before="266" w:after="240"/>
        <w:jc w:val="left"/>
        <w:rPr/>
      </w:pPr>
      <w:r>
        <w:rPr>
          <w:rFonts w:ascii="Times New Roman;sans-serif" w:hAnsi="Times New Roman;sans-serif"/>
          <w:b w:val="false"/>
          <w:color w:val="000000"/>
          <w:sz w:val="20"/>
        </w:rPr>
        <w:t>Number of Restricted Stock Units Granted    </w:t>
      </w:r>
      <w:r>
        <w:rPr>
          <w:color w:val="000000"/>
          <w:u w:val="single"/>
        </w:rPr>
        <w:t>        </w:t>
      </w:r>
    </w:p>
    <w:p>
      <w:pPr>
        <w:pStyle w:val="TextBody"/>
        <w:bidi w:val="0"/>
        <w:spacing w:lineRule="auto" w:line="240" w:before="0" w:after="20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Grant</w:t>
      </w:r>
      <w:r>
        <w:rPr>
          <w:rFonts w:ascii="Times New Roman;sans-serif" w:hAnsi="Times New Roman;sans-serif"/>
          <w:b w:val="false"/>
          <w:color w:val="000000"/>
          <w:sz w:val="20"/>
        </w:rPr>
        <w:t>. The Company hereby grants to the individual named above (“Participant”) under the Plan as a separate incentive and not in lieu of any salary or other compensation for the Participant’s services, an Award of Restricted Stock Units (the “Award”),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pStyle w:val="TextBody"/>
        <w:bidi w:val="0"/>
        <w:spacing w:lineRule="auto" w:line="240" w:before="0" w:after="20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Except as may be otherwise provided in Section 4 or Section 5 of this Award Agreement, the Award shall vest on the Determination Date (as defined below) (a) if the Participant’s continuous status as a Service Provider has not terminated prior to the Determination Date and (b) to the extent that one or both of the Performance Goals (as defined in Appendix A) have been attained and all the other conditions for the vesting of the Restricted Stock Units have been satisfied, as determined on or prior to the Determination Date by the Administrator, whose good faith determination shall be final, binding and conclusive on all persons, including, but not limited to, the Company and the Participant. The Determination Date shall be the date on which the Administrator determines and certifies in writing that the corresponding Performance Goal(s) and all other conditions for the vesting of the Restricted Stock Units have been satisfied, which date shall not be more than ninety (90) days after the last day of the Performance Period (“Determination Date”).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unless otherwise set forth in Section 4 of this Award Agreement, employment or other service during only a portion of the vesting period until the Determination Date shall not entitle the Participant to vest in a pro rata portion of the Restricted Stock Units scheduled to vest on such date.</w:t>
      </w:r>
    </w:p>
    <w:p>
      <w:pPr>
        <w:pStyle w:val="TextBody"/>
        <w:bidi w:val="0"/>
        <w:spacing w:lineRule="auto" w:line="240" w:before="0" w:after="20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Settlement</w:t>
      </w:r>
      <w:r>
        <w:rPr>
          <w:rFonts w:ascii="Times New Roman;sans-serif" w:hAnsi="Times New Roman;sans-serif"/>
          <w:b w:val="false"/>
          <w:color w:val="000000"/>
          <w:sz w:val="20"/>
        </w:rPr>
        <w:t>. Subject to Sections 7 and 22 hereof, promptly following each applicable vesting date (including any accelerated vesting date under Section 4), and in any event within forty-five (45) days thereof, the Company shall, in the Administrator’s sole discretion, either (i) pay to Participant an amount in cash equal to the Fair Market Value of the Shares represented by the RSUs that vested as of the most recent vesting date, or (ii) (a) issue and deliver to the Participant the number of Shares equal to the number of vested Restricted Stock Units and (b) enter the Participant’s name on the books of the Company as the stockholder of record with respect to the Shares delivered to the Participant.</w:t>
      </w:r>
    </w:p>
    <w:p>
      <w:pPr>
        <w:pStyle w:val="TextBody"/>
        <w:bidi w:val="0"/>
        <w:spacing w:lineRule="auto" w:line="240" w:before="0" w:after="20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Termination of Status as a Service Provider.</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Termination Due to Death or Disabilit</w:t>
      </w:r>
      <w:r>
        <w:rPr>
          <w:rFonts w:ascii="Times New Roman;sans-serif" w:hAnsi="Times New Roman;sans-serif"/>
          <w:b w:val="false"/>
          <w:color w:val="000000"/>
          <w:sz w:val="20"/>
        </w:rPr>
        <w:t xml:space="preserve">y. If the Participant’s termination as a Service Provider is due to death or Disability and such termination occurs before the Determination Date, the Participant shall become vested at the time of the Determination Date in a number of Restricted Stock Units equal to the product of (i) the </w:t>
      </w:r>
    </w:p>
    <w:p>
      <w:pPr>
        <w:pStyle w:val="TextBody"/>
        <w:bidi w:val="0"/>
        <w:spacing w:before="0" w:after="24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66420"/>
                <wp:effectExtent l="0" t="0" r="0" b="0"/>
                <wp:wrapNone/>
                <wp:docPr id="104" name="Frame103"/>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number of Restricted Stock Units that the Participant would have become vested in accordance with Section 2 had the Participant’s continuous status as a Service Provider had continued through the Determination Date and (ii) a fraction, the numerator of which is the number of days during the Performance Period that the Participant provided services as a Service Provider and the denominator of which is the total number of days in the Performance Period.</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Termination Due to Retirement</w:t>
      </w:r>
      <w:r>
        <w:rPr>
          <w:rFonts w:ascii="Times New Roman;sans-serif" w:hAnsi="Times New Roman;sans-serif"/>
          <w:b w:val="false"/>
          <w:color w:val="000000"/>
          <w:sz w:val="20"/>
        </w:rPr>
        <w:t>. If the Participant’s termination as a Service Provider is due to Retirement (as defined herein), and such Retirement occurs before the Determination Date, the Participant shall become vested at the time of the Determination Date in a number of Restricted Stock Units equal to the product of (i) the number of Restricted Stock Units that the Participant would have earned in accordance with Section 2 had the Participant remained as a Service Provider through the end of the Performance Period and (ii) a fraction, the numerator of which is the number of days during the Performance Period that the Participant provided services as a Service Provider during such year and the denominator of which is the total number of days in the Performance Period. Notwithstanding the preceding sentence, if such Retirement occurred within six (6) months following the Date of Grant, all the Restricted Stock Units will be forfeited (with no consideration due the Participant), and Participant will have no further rights thereunder. “Retirement” for purposes of this Award Agreement shall mean the Participant’s resignation from the Company (or the Subsidiary employing or retaining Participant) on or after the date on which the sum of (i) the Participant’s age (rounded down to the nearest whole month) plus (ii) the number of years (rounded down to the nearest whole month) that the Participant has provided services as a Service Provider to the Company equals or is greater than seventy-five (75).</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if the Company receives a legal opinion that there has been a legal judgment and/or legal development in Participant’s jurisdiction that likely would result in the favorable treatment that applies to the Restricted Stock Units when Participant’s status as a Service Provider terminates as a result of Participant’s Retirement being deemed unlawful and/or discriminatory, the provisions of this Section 4(b) regarding the treatment of the Restricted Stock Units when Participant’s status as a Service Provider terminates as a result of Participant’s Retirement will not be applicable to Participant and the remaining provisions of this Award Agreement will govern.</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Termination Without Cause</w:t>
      </w:r>
      <w:r>
        <w:rPr>
          <w:rFonts w:ascii="Times New Roman;sans-serif" w:hAnsi="Times New Roman;sans-serif"/>
          <w:b w:val="false"/>
          <w:color w:val="000000"/>
          <w:sz w:val="20"/>
        </w:rPr>
        <w:t>. If Participant’s status as a Service Provider is terminated by the Company without Cause before this Award is vested in full, the Award shall automatically and immediately vest in full.</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Chan</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e in Control</w:t>
      </w:r>
      <w:r>
        <w:rPr>
          <w:rFonts w:ascii="Times New Roman;sans-serif" w:hAnsi="Times New Roman;sans-serif"/>
          <w:b w:val="false"/>
          <w:color w:val="000000"/>
          <w:sz w:val="20"/>
        </w:rPr>
        <w:t>. If a Change in Control occurs, the Award is assumed by the successor in connection with the Change in Control and the Participant either (i) remains a Service Provider through the Determination Date or (ii) the Participant’s continuous status as a Service Provider is terminated prior to the Determination Date (A) by the Company (or the Subsidiary employing or retaining Participant) for any reason other than Cause or (B) by the Participant for Good Reason, the Participant shall become vested at the time of the Determination Date in a number of Restricted Stock Units equal to the greater of (i) the amount of Restricted Stock Units that the Participant would have received had the Performance Goal been attained at the 100% attainment level and (ii) the actual attainment level of the Performance Goal measured as of the time of the Change in Control. For purposes of this Award Agreement, “Good Reason” shall mean: (i) a material reduction in the Participant’s authority, duties or responsibilities; (ii) a material reduction in the Participant’s base salary or bonus opportunity (other than a general reduction in base salary that affects all similarly situated executives in substantially the same proportions); or (iii) any material breach by the Company of any material provision of this Agreement. However, Good Reason shall not be deemed to exist unless (x) Participant shall have given written notice to the Company specifying in reasonable detail the circumstances that Participant alleges constitute Good Reason within thirty (30) calendar days of learning of such act or omission and (y) the Company has failed to cure any such circumstances within thirty (30) calendar days of receipt of such written notice.</w:t>
      </w:r>
    </w:p>
    <w:p>
      <w:pPr>
        <w:pStyle w:val="TextBody"/>
        <w:bidi w:val="0"/>
        <w:spacing w:lineRule="auto" w:line="240" w:before="0" w:after="20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Forfeiture upon Termination of Status as a Service Provider</w:t>
      </w:r>
      <w:r>
        <w:rPr>
          <w:rFonts w:ascii="Times New Roman;sans-serif" w:hAnsi="Times New Roman;sans-serif"/>
          <w:b w:val="false"/>
          <w:color w:val="000000"/>
          <w:sz w:val="20"/>
        </w:rPr>
        <w:t>. Notwithstanding any contrary provision of this Award Agreement, but subject to the vesting provisions set forth in this Award Agreement and Section 4 above, the balance of the Restricted Stock Units that have not vested at the time of Participant’s termination as a Service Provider for any reason will be forfeited (with no consideration due to Participant) and automatically transferred to and reacquired by the Company at no cost to the Company upon the date of such termination and Participant will have no further rights thereunder.</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the Restricted Stock Units, Participant’s status as a Service Provider will be deemed terminated as of the date Participant is no longer actively providing services to the Company or one of its Subsidiaries (regardless of the reason for such termination and whether or not later found to be invalid or in breach of labor laws in the jurisdiction where Participant is providing service or the terms of Participant’s employment or other service agreement, if any) and such date will not be extended by any notice period (e.g., Participant’s period of service would not include any contractual notice period or any period of “garden leave” or similar period mandated under labor laws in the jurisdiction where the Participant is providing service or the terms of Participant’s employment or other service agreement, if any). The Administrator shall have the exclusive discretion to determine when Participant </w:t>
      </w:r>
    </w:p>
    <w:p>
      <w:pPr>
        <w:pStyle w:val="TextBody"/>
        <w:bidi w:val="0"/>
        <w:spacing w:before="0" w:after="24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66420"/>
                <wp:effectExtent l="0" t="0" r="0" b="0"/>
                <wp:wrapNone/>
                <wp:docPr id="105" name="Frame104"/>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is no longer actively provides services for purposes of the Restricted Stock (including whether Participant may still be considered to be providing services while on a leave of absence).</w:t>
      </w:r>
    </w:p>
    <w:p>
      <w:pPr>
        <w:pStyle w:val="TextBody"/>
        <w:bidi w:val="0"/>
        <w:spacing w:lineRule="auto" w:line="240" w:before="0" w:after="20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Clawback</w:t>
      </w:r>
      <w:r>
        <w:rPr>
          <w:rFonts w:ascii="Times New Roman;sans-serif" w:hAnsi="Times New Roman;sans-serif"/>
          <w:b w:val="false"/>
          <w:color w:val="000000"/>
          <w:sz w:val="20"/>
        </w:rPr>
        <w:t>. Notwithstanding any provision of this Award Agreement to the contrary, the Award is subject in all respects to the Amkor Technology, Inc. Excess Compensation Recovery Policy, as amended from time to time (the “Policy”). In the event of an “Accounting Restatement” (as defined in the Policy), the Award (or any portion thereof) may be subject to recovery by the Company if the Award (or any portion thereof) is determined to be “Erroneously Awarded Compensation” (as defined in the Policy). In addition, the Award is subject to recovery by the Company if the Company is required to restate its financial statements resulting in the financial results being reduced such that the Award (or any portion thereof) would not have been paid, if the Company determines, in its sole discretion, that the Participant engaged in intentional misconduct or fraud that resulted in such restatement.</w:t>
      </w:r>
    </w:p>
    <w:p>
      <w:pPr>
        <w:pStyle w:val="TextBody"/>
        <w:bidi w:val="0"/>
        <w:spacing w:lineRule="auto" w:line="240" w:before="0" w:after="20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Death of Participant</w:t>
      </w:r>
      <w:r>
        <w:rPr>
          <w:rFonts w:ascii="Times New Roman;sans-serif" w:hAnsi="Times New Roman;sans-serif"/>
          <w:b w:val="false"/>
          <w:color w:val="000000"/>
          <w:sz w:val="20"/>
        </w:rPr>
        <w:t>. Notwithstanding any provision of this Award Agreement to the contrary,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lineRule="auto" w:line="240" w:before="0" w:after="20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Responsibility for Taxes.</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Participant acknowledges and agrees that, regardless of any action taken by the Company or, if different, the Subsidiary to which Participant is providing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or vesting of Restricted Stock Units, or the subsequent sale of Shares acquired at vesting and the receipt of any dividends;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 combination of the following: (i) withholding from Participant’s salary, wages or other compensation payable to Participant by the Company and/or the Service Recipient; (ii) withholding from proceeds of the sale of the Shares subject to the Restricted Stock Units either through a voluntary sale or through a mandatory sale arranged by the Company (on Participant’s behalf pursuant to this authorization without further consent); (iii) withholding Shares subject to the Restricted Stock Units;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Restricted Stock Units (except in the case of U.S. Federal Insurance Contribution Act taxes or other Tax-Related Items which become payable in a year prior to the year in which the Shares are issued).</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Company and/or the Service Recipient may withhold or account for Tax-Related Items by considering statutory withholding amounts or other applicable withholding rates, including maximum rates applicable in Participant’s jurisdiction(s).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Shares, for tax purposes, Participant is deemed to have received the full number of Shares subject to the vested Restricted Stock Units, notwithstanding that a number of the Shares is held back solely for the purpose of paying the Tax-Related Items.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 agrees to pay to the Company or the Service Recipient any amount of Tax-Related Items that the Company or the Service Recipient may be required to withhold or account for as a result of Participant’s </w:t>
      </w:r>
    </w:p>
    <w:p>
      <w:pPr>
        <w:pStyle w:val="TextBody"/>
        <w:bidi w:val="0"/>
        <w:spacing w:before="0" w:after="24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66420"/>
                <wp:effectExtent l="0" t="0" r="0" b="0"/>
                <wp:wrapNone/>
                <wp:docPr id="106" name="Frame105"/>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participation in the Plan that cannot be satisfied by the means previously described. The Company may refuse to issue or deliver the Shares or the proceeds of the sale of the Shares acquired upon vesting of the Restricted Stock Units, if Participant fails to comply with his or her obligations in connection with the Tax-Related Items.</w:t>
      </w:r>
    </w:p>
    <w:p>
      <w:pPr>
        <w:pStyle w:val="TextBody"/>
        <w:bidi w:val="0"/>
        <w:spacing w:lineRule="auto" w:line="240" w:before="0" w:after="20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Rights as Stockholder</w:t>
      </w:r>
      <w:r>
        <w:rPr>
          <w:rFonts w:ascii="Times New Roman;sans-serif" w:hAnsi="Times New Roman;sans-serif"/>
          <w:b w:val="false"/>
          <w:color w:val="000000"/>
          <w:sz w:val="20"/>
        </w:rPr>
        <w:t>. Neither Participant nor any person claiming under or through Participant will have any of the rights or privileges of a stockholder of the Company in respect of any Shares deliverable hereunder unless and until the Restricted Stock Units have vested and are settled by the issuance of Shares in accordance with Section 3, the Share issuance is recorded on the records of the Company or its transfer agents or registrars, and certificates representing such Shares have been issued (if the Shares are certificated or evidence of book entry if the Shares are not certificated) and delivered to Participant. After such vesting, settlement, issuance, recordation and delivery, Participant will have all the rights of a stockholder of the Company with respect to such Shares for which such conditions are met, including voting and receipt of dividends and distributions on such Shares. The Participant shall not be entitled to any Dividend Equivalents with respect to the Restricted Stock Units to reflect any dividends payable on Shares.</w:t>
      </w:r>
    </w:p>
    <w:p>
      <w:pPr>
        <w:pStyle w:val="TextBody"/>
        <w:bidi w:val="0"/>
        <w:spacing w:lineRule="auto" w:line="240" w:before="0" w:after="20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No Guarantee of Continued Service</w:t>
      </w:r>
      <w:r>
        <w:rPr>
          <w:rFonts w:ascii="Times New Roman;sans-serif" w:hAnsi="Times New Roman;sans-serif"/>
          <w:b w:val="false"/>
          <w:color w:val="000000"/>
          <w:sz w:val="20"/>
        </w:rPr>
        <w:t>. PARTICIPANT ACKNOWLEDGES AND AGREES THAT THE VESTING OF THE RESTRICTED STOCK UNITS PURSUANT TO THE VESTING SCHEDULE HEREOF IS EARNED ONLY BY CONTINUING AS A SERVICE PROVIDER AND NOT THROUGH THE ACT OF BEING HIRED, BEING GRANTED THESE RESTRICTED STOCK UNITS OR ACQUIRING SHARES HEREUNDER. PARTICIPANT FURTHER ACKNOWLEDGES AND AGREES THAT THIS AWARD AGREEMENT, THE TRANSACTIONS CONTEMPLATED HEREUNDER AND THE VESTING AND SETTLEMENT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AS APPLICABLE. TO TERMINATE PARTICIPANT’S RELATIONSHIP AS A SERVICE PROVIDER AT ANY TIME, WITH OR WITHOUT CAUSE.</w:t>
      </w:r>
    </w:p>
    <w:p>
      <w:pPr>
        <w:pStyle w:val="TextBody"/>
        <w:bidi w:val="0"/>
        <w:spacing w:lineRule="auto" w:line="240" w:before="0" w:after="20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Appendix B</w:t>
      </w:r>
      <w:r>
        <w:rPr>
          <w:rFonts w:ascii="Times New Roman;sans-serif" w:hAnsi="Times New Roman;sans-serif"/>
          <w:b w:val="false"/>
          <w:color w:val="000000"/>
          <w:sz w:val="20"/>
        </w:rPr>
        <w:t>. For Participants outside the United States, the Restricted Stock Units shall be subject to the general terms and conditions for all non-U.S. Participants and the additional terms and conditions for certain countries set forth in the Appendix B attached hereto. Moreover, if Participant relocates from the U.S. to one of the countries included in the Appendix B or if Participant relocates between countries included in the Appendix B during the vesting period of the Restricted Stock Units, the general terms and conditions for non-U.S. Participants and the additional terms and conditions for such country shall apply to Participant, to the extent the Company determines that the application of such terms and conditions is necessary or advisable for legal or administrative reasons. The Appendix B constitutes part of this Award Agreement.</w:t>
      </w:r>
    </w:p>
    <w:p>
      <w:pPr>
        <w:pStyle w:val="TextBody"/>
        <w:bidi w:val="0"/>
        <w:spacing w:lineRule="auto" w:line="240" w:before="0" w:after="20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No Advice Re</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ardin</w:t>
      </w:r>
      <w:r>
        <w:rPr>
          <w:rFonts w:ascii="Times New Roman;sans-serif" w:hAnsi="Times New Roman;sans-serif"/>
          <w:b w:val="false"/>
          <w:color w:val="000000"/>
          <w:sz w:val="20"/>
        </w:rPr>
        <w:t>g</w:t>
      </w:r>
      <w:r>
        <w:rPr>
          <w:color w:val="000000"/>
          <w:u w:val="single"/>
        </w:rPr>
        <w:t xml:space="preserve"> </w:t>
      </w:r>
      <w:r>
        <w:rPr>
          <w:rFonts w:ascii="Times New Roman;sans-serif" w:hAnsi="Times New Roman;sans-serif"/>
          <w:b w:val="false"/>
          <w:color w:val="000000"/>
          <w:sz w:val="20"/>
          <w:u w:val="single"/>
        </w:rPr>
        <w:t>Grant</w:t>
      </w:r>
      <w:r>
        <w:rPr>
          <w:rFonts w:ascii="Times New Roman;sans-serif" w:hAnsi="Times New Roman;sans-serif"/>
          <w:b w:val="false"/>
          <w:color w:val="000000"/>
          <w:sz w:val="20"/>
        </w:rPr>
        <w:t>. The Company is not providing any tax, legal or financial advice, nor is the Company making any recommendations 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Restricted Stock Units.</w:t>
      </w:r>
    </w:p>
    <w:p>
      <w:pPr>
        <w:pStyle w:val="TextBody"/>
        <w:bidi w:val="0"/>
        <w:spacing w:lineRule="auto" w:line="240" w:before="0" w:after="20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Address for Notices</w:t>
      </w:r>
      <w:r>
        <w:rPr>
          <w:rFonts w:ascii="Times New Roman;sans-serif" w:hAnsi="Times New Roman;sans-serif"/>
          <w:b w:val="false"/>
          <w:color w:val="000000"/>
          <w:sz w:val="20"/>
        </w:rPr>
        <w:t>. Any notice to be given to the Company under the terms of this Award Agreement will be addressed to the Company, in care of its General Counsel at Amkor Technology, Inc., 2045 East Innovation Circle, Tempe, AZ 85284, or at such other address as the Company may hereafter designate in writing.</w:t>
      </w:r>
    </w:p>
    <w:p>
      <w:pPr>
        <w:pStyle w:val="TextBody"/>
        <w:bidi w:val="0"/>
        <w:spacing w:lineRule="auto" w:line="240" w:before="0" w:after="20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Waivers</w:t>
      </w:r>
      <w:r>
        <w:rPr>
          <w:rFonts w:ascii="Times New Roman;sans-serif" w:hAnsi="Times New Roman;sans-serif"/>
          <w:b w:val="false"/>
          <w:color w:val="000000"/>
          <w:sz w:val="20"/>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pStyle w:val="TextBody"/>
        <w:bidi w:val="0"/>
        <w:spacing w:lineRule="auto" w:line="240" w:before="0" w:after="20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Grant is Not Transferable</w:t>
      </w:r>
      <w:r>
        <w:rPr>
          <w:rFonts w:ascii="Times New Roman;sans-serif" w:hAnsi="Times New Roman;sans-serif"/>
          <w:b w:val="false"/>
          <w:color w:val="000000"/>
          <w:sz w:val="20"/>
        </w:rPr>
        <w:t>. Except to the limited extent provided in Section 6, the unvested Restricted Stock Units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Restricted Stock Units subject to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lineRule="auto" w:line="240" w:before="0" w:after="200"/>
        <w:jc w:val="both"/>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Bindin</w:t>
      </w:r>
      <w:r>
        <w:rPr>
          <w:rFonts w:ascii="Times New Roman;sans-serif" w:hAnsi="Times New Roman;sans-serif"/>
          <w:b w:val="false"/>
          <w:color w:val="000000"/>
          <w:sz w:val="20"/>
        </w:rPr>
        <w:t>g</w:t>
      </w:r>
      <w:r>
        <w:rPr>
          <w:color w:val="000000"/>
          <w:u w:val="single"/>
        </w:rPr>
        <w:t xml:space="preserve"> </w:t>
      </w:r>
      <w:r>
        <w:rPr>
          <w:rFonts w:ascii="Times New Roman;sans-serif" w:hAnsi="Times New Roman;sans-serif"/>
          <w:b w:val="false"/>
          <w:color w:val="000000"/>
          <w:sz w:val="20"/>
          <w:u w:val="single"/>
        </w:rPr>
        <w:t>Agreement</w:t>
      </w:r>
      <w:r>
        <w:rPr>
          <w:rFonts w:ascii="Times New Roman;sans-serif" w:hAnsi="Times New Roman;sans-serif"/>
          <w:b w:val="false"/>
          <w:color w:val="000000"/>
          <w:sz w:val="20"/>
        </w:rPr>
        <w:t>. Subject to the limitation on the transferability of this grant contained herein, this Award Agreement will be binding upon and inure to the benefit of the heirs, legatees, legal representatives, successors and assigns of the parties hereto (provided that neither the Restricted Stock Units nor this Award Agreement may be assigned by Participant).</w:t>
      </w:r>
    </w:p>
    <w:p>
      <w:pPr>
        <w:pStyle w:val="TextBody"/>
        <w:bidi w:val="0"/>
        <w:spacing w:before="0" w:after="24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66420"/>
                <wp:effectExtent l="0" t="0" r="0" b="0"/>
                <wp:wrapNone/>
                <wp:docPr id="107" name="Frame106"/>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200"/>
        <w:jc w:val="both"/>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Additional Conditions</w:t>
      </w:r>
      <w:r>
        <w:rPr>
          <w:rFonts w:ascii="Times New Roman;sans-serif" w:hAnsi="Times New Roman;sans-serif"/>
          <w:b w:val="false"/>
          <w:color w:val="000000"/>
          <w:sz w:val="20"/>
        </w:rPr>
        <w:t>. The Company will not be required to issue any certificate or certificates (or evidence of book entry) for Shares hereunder prior to fulfillment of all the following conditions: (a) 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 clearance from any U.S. or non-U.S. governmental agency, which the Administrator, in its absolute discretion, determines to be necessary or advisable; and (d) the lapse of such reasonable period of time following the date of grant of the Restricted Stock Units as the Administrator may establish from time to time for reasons of administrative convenience. Participant understands that the Company is under no obligation to register or qualify the Shares subject to the Restricted Stock Units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 In addition, Participant acknowledges and agrees that the Award is subject to all legal requirements and stock exchange listing rules as currently in effect and as revised from time to time.</w:t>
      </w:r>
    </w:p>
    <w:p>
      <w:pPr>
        <w:pStyle w:val="TextBody"/>
        <w:bidi w:val="0"/>
        <w:spacing w:lineRule="auto" w:line="240" w:before="0" w:after="200"/>
        <w:jc w:val="both"/>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Administrator Authorit</w:t>
      </w:r>
      <w:r>
        <w:rPr>
          <w:rFonts w:ascii="Times New Roman;sans-serif" w:hAnsi="Times New Roman;sans-serif"/>
          <w:b w:val="false"/>
          <w:color w:val="000000"/>
          <w:sz w:val="20"/>
        </w:rPr>
        <w:t>y.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lineRule="auto" w:line="240" w:before="0" w:after="200"/>
        <w:jc w:val="both"/>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Electronic Deliver</w:t>
      </w:r>
      <w:r>
        <w:rPr>
          <w:rFonts w:ascii="Times New Roman;sans-serif" w:hAnsi="Times New Roman;sans-serif"/>
          <w:b w:val="false"/>
          <w:color w:val="000000"/>
          <w:sz w:val="20"/>
        </w:rPr>
        <w:t>y</w:t>
      </w:r>
      <w:r>
        <w:rPr>
          <w:color w:val="000000"/>
          <w:u w:val="single"/>
        </w:rPr>
        <w:t xml:space="preserve"> </w:t>
      </w:r>
      <w:r>
        <w:rPr>
          <w:rFonts w:ascii="Times New Roman;sans-serif" w:hAnsi="Times New Roman;sans-serif"/>
          <w:b w:val="false"/>
          <w:color w:val="000000"/>
          <w:sz w:val="20"/>
          <w:u w:val="single"/>
        </w:rPr>
        <w:t>and Acceptance</w:t>
      </w:r>
      <w:r>
        <w:rPr>
          <w:rFonts w:ascii="Times New Roman;sans-serif" w:hAnsi="Times New Roman;sans-serif"/>
          <w:b w:val="false"/>
          <w:color w:val="000000"/>
          <w:sz w:val="20"/>
        </w:rPr>
        <w:t>. The Company may, in its sole discretion, decide to deliver any documents related to the Restricted Stock Units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40" w:before="0" w:after="200"/>
        <w:jc w:val="both"/>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Captions</w:t>
      </w:r>
      <w:r>
        <w:rPr>
          <w:rFonts w:ascii="Times New Roman;sans-serif" w:hAnsi="Times New Roman;sans-serif"/>
          <w:b w:val="false"/>
          <w:color w:val="000000"/>
          <w:sz w:val="20"/>
        </w:rPr>
        <w:t>. Captions provided herein are for convenience only and are not to serve as a basis for interpretation or construction of this Award Agreement.</w:t>
      </w:r>
    </w:p>
    <w:p>
      <w:pPr>
        <w:pStyle w:val="TextBody"/>
        <w:bidi w:val="0"/>
        <w:spacing w:lineRule="auto" w:line="240" w:before="0" w:after="200"/>
        <w:jc w:val="both"/>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Agreement Severable</w:t>
      </w:r>
      <w:r>
        <w:rPr>
          <w:rFonts w:ascii="Times New Roman;sans-serif" w:hAnsi="Times New Roman;sans-serif"/>
          <w:b w:val="false"/>
          <w:color w:val="000000"/>
          <w:sz w:val="20"/>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pStyle w:val="TextBody"/>
        <w:bidi w:val="0"/>
        <w:spacing w:lineRule="auto" w:line="240" w:before="0" w:after="20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Modifications to the Award A</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reement</w:t>
      </w:r>
      <w:r>
        <w:rPr>
          <w:rFonts w:ascii="Times New Roman;sans-serif" w:hAnsi="Times New Roman;sans-serif"/>
          <w:b w:val="false"/>
          <w:color w:val="000000"/>
          <w:sz w:val="20"/>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pStyle w:val="TextBody"/>
        <w:bidi w:val="0"/>
        <w:spacing w:lineRule="auto" w:line="240" w:before="0" w:after="200"/>
        <w:jc w:val="both"/>
        <w:rPr/>
      </w:pPr>
      <w:r>
        <w:rPr>
          <w:rFonts w:ascii="Times New Roman;sans-serif" w:hAnsi="Times New Roman;sans-serif"/>
          <w:b w:val="false"/>
          <w:color w:val="000000"/>
          <w:sz w:val="20"/>
        </w:rPr>
        <w:t>23.</w:t>
      </w:r>
      <w:r>
        <w:rPr>
          <w:rFonts w:ascii="Times New Roman;sans-serif" w:hAnsi="Times New Roman;sans-serif"/>
          <w:b w:val="false"/>
          <w:color w:val="000000"/>
          <w:sz w:val="20"/>
          <w:u w:val="single"/>
        </w:rPr>
        <w:t>Code Section 409A</w:t>
      </w:r>
      <w:r>
        <w:rPr>
          <w:rFonts w:ascii="Times New Roman;sans-serif" w:hAnsi="Times New Roman;sans-serif"/>
          <w:b w:val="false"/>
          <w:color w:val="000000"/>
          <w:sz w:val="20"/>
        </w:rPr>
        <w:t>. The Award Agreement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 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 Participant or any other person in the event that the Plan or the Award Agreement is not exempt from, or compliant with, Code Section 409A.</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notwithstanding anything in this Award Agreement to the contrary, any Restricted Stock Units that become vested under this Agreement as of the date or at a time that is by reference to Participant’s termination as a Service Provider and that constitute an item of non-qualified deferred compensation subject to Code Section 409A shall not be settled unless Participant experiences a “separation from service” within the meaning of Code Section 409A (a “Separation from Service”); provided that if Participant is a “specified employee” within the meaning of Code Section 409A as of the date of the Separation from Service (as determined according to the methodology established by the Company as in effect on the date of Participant’s termination as a Service Provider), the Restricted Stock Units shall instead be settled on the first business day that is after the earlier of (i) the date that is six months following the date of the Separation from Service or (ii) the date of Participant’s death, to the extent </w:t>
      </w:r>
    </w:p>
    <w:p>
      <w:pPr>
        <w:pStyle w:val="TextBody"/>
        <w:bidi w:val="0"/>
        <w:spacing w:before="0" w:after="24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66420"/>
                <wp:effectExtent l="0" t="0" r="0" b="0"/>
                <wp:wrapNone/>
                <wp:docPr id="108" name="Frame107"/>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delayed payment is otherwise required in order to avoid a prohibited distribution under Section 409A(a)(2) of the Code, or any successor provision thereto.</w:t>
      </w:r>
    </w:p>
    <w:p>
      <w:pPr>
        <w:pStyle w:val="TextBody"/>
        <w:bidi w:val="0"/>
        <w:spacing w:lineRule="auto" w:line="240" w:before="0" w:after="200"/>
        <w:jc w:val="both"/>
        <w:rPr/>
      </w:pPr>
      <w:r>
        <w:rPr>
          <w:rFonts w:ascii="Times New Roman;sans-serif" w:hAnsi="Times New Roman;sans-serif"/>
          <w:b w:val="false"/>
          <w:color w:val="000000"/>
          <w:sz w:val="20"/>
        </w:rPr>
        <w:t>24.</w:t>
      </w:r>
      <w:r>
        <w:rPr>
          <w:rFonts w:ascii="Times New Roman;sans-serif" w:hAnsi="Times New Roman;sans-serif"/>
          <w:b w:val="false"/>
          <w:color w:val="000000"/>
          <w:sz w:val="20"/>
          <w:u w:val="single"/>
        </w:rPr>
        <w:t>Effect of Plan</w:t>
      </w:r>
      <w:r>
        <w:rPr>
          <w:rFonts w:ascii="Times New Roman;sans-serif" w:hAnsi="Times New Roman;sans-serif"/>
          <w:b w:val="false"/>
          <w:color w:val="000000"/>
          <w:sz w:val="20"/>
        </w:rPr>
        <w:t>. By accepting the Restricted Stock Units, Participant expressly warrants that he or she has received an Award of Restricted Stock Units under the Plan, and has received, read and understands the Plan. Participant understands that the Plan is discretionary in nature and may be amended, suspended or terminated by the Company at any time, to the extent permitted by the Plan.</w:t>
      </w:r>
    </w:p>
    <w:p>
      <w:pPr>
        <w:pStyle w:val="TextBody"/>
        <w:bidi w:val="0"/>
        <w:spacing w:lineRule="auto" w:line="240" w:before="0" w:after="200"/>
        <w:jc w:val="both"/>
        <w:rPr/>
      </w:pPr>
      <w:r>
        <w:rPr>
          <w:rFonts w:ascii="Times New Roman;sans-serif" w:hAnsi="Times New Roman;sans-serif"/>
          <w:b w:val="false"/>
          <w:color w:val="000000"/>
          <w:sz w:val="20"/>
        </w:rPr>
        <w:t>25.</w:t>
      </w:r>
      <w:r>
        <w:rPr>
          <w:rFonts w:ascii="Times New Roman;sans-serif" w:hAnsi="Times New Roman;sans-serif"/>
          <w:b w:val="false"/>
          <w:color w:val="000000"/>
          <w:sz w:val="20"/>
          <w:u w:val="single"/>
        </w:rPr>
        <w:t>Governing Law; Venue</w:t>
      </w:r>
      <w:r>
        <w:rPr>
          <w:rFonts w:ascii="Times New Roman;sans-serif" w:hAnsi="Times New Roman;sans-serif"/>
          <w:b w:val="false"/>
          <w:color w:val="000000"/>
          <w:sz w:val="20"/>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exclusive jurisdiction of the State of Arizona and agree that such litigation will be conducted solely in the courts of Maricopa County, Arizona, or the federal courts for the United States for the District of Arizona in Maricopa County, Arizona, and no other courts.</w:t>
      </w:r>
    </w:p>
    <w:p>
      <w:pPr>
        <w:pStyle w:val="TextBody"/>
        <w:bidi w:val="0"/>
        <w:spacing w:lineRule="auto" w:line="240" w:before="0" w:after="200"/>
        <w:jc w:val="both"/>
        <w:rPr/>
      </w:pPr>
      <w:r>
        <w:rPr>
          <w:rFonts w:ascii="Times New Roman;sans-serif" w:hAnsi="Times New Roman;sans-serif"/>
          <w:b w:val="false"/>
          <w:color w:val="000000"/>
          <w:sz w:val="20"/>
        </w:rPr>
        <w:t>26.</w:t>
      </w:r>
      <w:r>
        <w:rPr>
          <w:rFonts w:ascii="Times New Roman;sans-serif" w:hAnsi="Times New Roman;sans-serif"/>
          <w:b w:val="false"/>
          <w:color w:val="000000"/>
          <w:sz w:val="20"/>
          <w:u w:val="single"/>
        </w:rPr>
        <w:t>Insider Tradin</w:t>
      </w:r>
      <w:r>
        <w:rPr>
          <w:rFonts w:ascii="Times New Roman;sans-serif" w:hAnsi="Times New Roman;sans-serif"/>
          <w:b w:val="false"/>
          <w:color w:val="000000"/>
          <w:sz w:val="20"/>
        </w:rPr>
        <w:t>g</w:t>
      </w:r>
      <w:r>
        <w:rPr>
          <w:color w:val="000000"/>
          <w:u w:val="single"/>
        </w:rPr>
        <w:t xml:space="preserve"> </w:t>
      </w:r>
      <w:r>
        <w:rPr>
          <w:rFonts w:ascii="Times New Roman;sans-serif" w:hAnsi="Times New Roman;sans-serif"/>
          <w:b w:val="false"/>
          <w:color w:val="000000"/>
          <w:sz w:val="20"/>
          <w:u w:val="single"/>
        </w:rPr>
        <w:t>Restrictions/Market Abuse Laws</w:t>
      </w:r>
      <w:r>
        <w:rPr>
          <w:rFonts w:ascii="Times New Roman;sans-serif" w:hAnsi="Times New Roman;sans-serif"/>
          <w:b w:val="false"/>
          <w:color w:val="000000"/>
          <w:sz w:val="20"/>
        </w:rPr>
        <w:t>. By accepting the Restricted Stock Units,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pStyle w:val="TextBody"/>
        <w:bidi w:val="0"/>
        <w:spacing w:lineRule="auto" w:line="240" w:before="0" w:after="200"/>
        <w:jc w:val="both"/>
        <w:rPr/>
      </w:pPr>
      <w:r>
        <w:rPr>
          <w:rFonts w:ascii="Times New Roman;sans-serif" w:hAnsi="Times New Roman;sans-serif"/>
          <w:b w:val="false"/>
          <w:color w:val="000000"/>
          <w:sz w:val="20"/>
        </w:rPr>
        <w:t>27.</w:t>
      </w:r>
      <w:r>
        <w:rPr>
          <w:rFonts w:ascii="Times New Roman;sans-serif" w:hAnsi="Times New Roman;sans-serif"/>
          <w:b w:val="false"/>
          <w:color w:val="000000"/>
          <w:sz w:val="20"/>
          <w:u w:val="single"/>
        </w:rPr>
        <w:t>Agreement</w:t>
      </w:r>
      <w:r>
        <w:rPr>
          <w:rFonts w:ascii="Times New Roman;sans-serif" w:hAnsi="Times New Roman;sans-serif"/>
          <w:b w:val="false"/>
          <w:color w:val="000000"/>
          <w:sz w:val="20"/>
        </w:rPr>
        <w:t>. Participant’s acceptance of the Restricted Stock Units by signing below or by otherwise accepting the Restricted Stock Units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Units unless Participant has signed this Award Agreement or otherwise accepted the Restricted Stock Units following such procedures as established by the Company (including an online acceptance process).</w:t>
      </w:r>
    </w:p>
    <w:p>
      <w:pPr>
        <w:pStyle w:val="TextBody"/>
        <w:bidi w:val="0"/>
        <w:spacing w:lineRule="auto" w:line="237" w:before="249" w:after="240"/>
        <w:jc w:val="left"/>
        <w:rPr>
          <w:rFonts w:ascii="Times New Roman;sans-serif" w:hAnsi="Times New Roman;sans-serif"/>
          <w:b/>
          <w:color w:val="000000"/>
          <w:sz w:val="20"/>
        </w:rPr>
      </w:pPr>
      <w:r>
        <w:rPr>
          <w:rFonts w:ascii="Times New Roman;sans-serif" w:hAnsi="Times New Roman;sans-serif"/>
          <w:b/>
          <w:color w:val="000000"/>
          <w:sz w:val="20"/>
        </w:rPr>
        <w:t>PARTICIPANT    AMKOR TECHNOLOGY, INC.</w:t>
      </w:r>
    </w:p>
    <w:p>
      <w:pPr>
        <w:pStyle w:val="TextBody"/>
        <w:bidi w:val="0"/>
        <w:spacing w:lineRule="auto" w:line="247" w:before="234"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Signature: __________________________    By: ________________________________</w:t>
      </w:r>
    </w:p>
    <w:p>
      <w:pPr>
        <w:pStyle w:val="TextBody"/>
        <w:bidi w:val="0"/>
        <w:spacing w:lineRule="auto" w:line="422"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Print Name:    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6420"/>
                <wp:effectExtent l="0" t="0" r="0" b="0"/>
                <wp:wrapNone/>
                <wp:docPr id="109" name="Frame108"/>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59" w:before="120" w:after="240"/>
        <w:jc w:val="center"/>
        <w:rPr>
          <w:rFonts w:ascii="Times New Roman;sans-serif" w:hAnsi="Times New Roman;sans-serif"/>
          <w:b/>
          <w:color w:val="000000"/>
          <w:sz w:val="20"/>
        </w:rPr>
      </w:pPr>
      <w:r>
        <w:rPr>
          <w:rFonts w:ascii="Times New Roman;sans-serif" w:hAnsi="Times New Roman;sans-serif"/>
          <w:b/>
          <w:color w:val="000000"/>
          <w:sz w:val="20"/>
        </w:rPr>
        <w:t xml:space="preserve">APPENDIX B TO </w:t>
        <w:br/>
        <w:t xml:space="preserve">AMKOR TECHNOLOGY, INC. </w:t>
        <w:br/>
        <w:t xml:space="preserve">2021 EQUITY INCENTIVE PLAN </w:t>
        <w:br/>
        <w:t>GLOBAL PERFORMANCE-VESTED RESTRICTED STOCK UNIT AWARD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terms used but not defined in this Appendix B shall have the same meanings assigned to them in the Plan and/or the Global Performance-Vested Restricted Stock Unit Award Agreement.</w:t>
      </w:r>
    </w:p>
    <w:p>
      <w:pPr>
        <w:pStyle w:val="TextBody"/>
        <w:bidi w:val="0"/>
        <w:spacing w:lineRule="auto" w:line="247" w:before="332" w:after="240"/>
        <w:jc w:val="left"/>
        <w:rPr>
          <w:rFonts w:ascii="Times New Roman;sans-serif" w:hAnsi="Times New Roman;sans-serif"/>
          <w:b/>
          <w:i/>
          <w:color w:val="000000"/>
          <w:sz w:val="20"/>
        </w:rPr>
      </w:pPr>
      <w:r>
        <w:rPr>
          <w:rFonts w:ascii="Times New Roman;sans-serif" w:hAnsi="Times New Roman;sans-serif"/>
          <w:b/>
          <w:i/>
          <w:color w:val="000000"/>
          <w:sz w:val="20"/>
        </w:rPr>
        <w:t>Terms and Conditions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Appendix B includes general terms and conditions for all non-U.S. Participants and additional terms and conditions that govern the Restricted Stock Units if Participant works and/or resides in one of the countries listed below. 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Company will, in its discretion, determine the extent to which the terms and conditions contained herein will apply to Participant.</w:t>
      </w:r>
    </w:p>
    <w:p>
      <w:pPr>
        <w:pStyle w:val="TextBody"/>
        <w:bidi w:val="0"/>
        <w:spacing w:lineRule="auto" w:line="247" w:before="332" w:after="240"/>
        <w:jc w:val="left"/>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Appendix B also includes information regarding certain other issues of which Participant should be aware with respect to Participant’s participation in the Plan. The information is based on the securities, exchange control and other laws in effect in the respective countries as of March 2021.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Units vest or Participant sells any Shares acquired under the Plan.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information contained in this Appendix B may not be applicable to Participant in the same manner.</w:t>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6420"/>
                <wp:effectExtent l="0" t="0" r="0" b="0"/>
                <wp:wrapNone/>
                <wp:docPr id="110" name="Frame109"/>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GENERAL TERMS AND CONDITIONS APPLICABLE TO ALL NON-U.S. PARTICIPANTS</w:t>
      </w:r>
    </w:p>
    <w:p>
      <w:pPr>
        <w:pStyle w:val="TextBody"/>
        <w:bidi w:val="0"/>
        <w:spacing w:lineRule="auto" w:line="240" w:before="0" w:after="200"/>
        <w:jc w:val="both"/>
        <w:rPr/>
      </w:pPr>
      <w:r>
        <w:rPr>
          <w:rFonts w:ascii="Times New Roman;sans-serif" w:hAnsi="Times New Roman;sans-serif"/>
          <w:b w:val="false"/>
          <w:color w:val="000000"/>
          <w:sz w:val="19"/>
        </w:rPr>
        <w:t>1.</w:t>
      </w:r>
      <w:r>
        <w:rPr>
          <w:rFonts w:ascii="Times New Roman;sans-serif" w:hAnsi="Times New Roman;sans-serif"/>
          <w:b w:val="false"/>
          <w:color w:val="000000"/>
          <w:sz w:val="20"/>
        </w:rPr>
        <w:t>Data Privacy Information and Consent.</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Data Collection and Usa</w:t>
      </w:r>
      <w:r>
        <w:rPr>
          <w:rFonts w:ascii="Times New Roman;sans-serif" w:hAnsi="Times New Roman;sans-serif"/>
          <w:b w:val="false"/>
          <w:color w:val="000000"/>
          <w:sz w:val="20"/>
        </w:rPr>
        <w:t>ge. The Company and the Service Recipient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Stock Plan Administration Service Providers</w:t>
      </w:r>
      <w:r>
        <w:rPr>
          <w:rFonts w:ascii="Times New Roman;sans-serif" w:hAnsi="Times New Roman;sans-serif"/>
          <w:b w:val="false"/>
          <w:color w:val="000000"/>
          <w:sz w:val="20"/>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International Data Transfers</w:t>
      </w:r>
      <w:r>
        <w:rPr>
          <w:rFonts w:ascii="Times New Roman;sans-serif" w:hAnsi="Times New Roman;sans-serif"/>
          <w:b w:val="false"/>
          <w:color w:val="000000"/>
          <w:sz w:val="20"/>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Data Retention</w:t>
      </w:r>
      <w:r>
        <w:rPr>
          <w:rFonts w:ascii="Times New Roman;sans-serif" w:hAnsi="Times New Roman;sans-serif"/>
          <w:b w:val="false"/>
          <w:color w:val="000000"/>
          <w:sz w:val="20"/>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and/or the Service Recipient no longer need Data for any of the above purposes, they will cease processing it in this context and remove it from all of their systems used for such purposes to the fullest extent practicable.</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Voluntariness and Conse</w:t>
      </w:r>
      <w:r>
        <w:rPr>
          <w:rFonts w:ascii="Times New Roman;sans-serif" w:hAnsi="Times New Roman;sans-serif"/>
          <w:b w:val="false"/>
          <w:color w:val="000000"/>
          <w:sz w:val="20"/>
        </w:rPr>
        <w:t>q</w:t>
      </w:r>
      <w:r>
        <w:rPr>
          <w:rFonts w:ascii="Times New Roman;sans-serif" w:hAnsi="Times New Roman;sans-serif"/>
          <w:b w:val="false"/>
          <w:color w:val="000000"/>
          <w:sz w:val="20"/>
          <w:u w:val="single"/>
        </w:rPr>
        <w:t>uences of Consent Denial or Withdrawal</w:t>
      </w:r>
      <w:r>
        <w:rPr>
          <w:rFonts w:ascii="Times New Roman;sans-serif" w:hAnsi="Times New Roman;sans-serif"/>
          <w:b w:val="false"/>
          <w:color w:val="000000"/>
          <w:sz w:val="20"/>
        </w:rPr>
        <w:t>. Participation in the Plan is voluntary and Participant is providing the consents herein on a purely voluntary basis. If Participant does not consent, or if Participant later seeks to revoke his or her consent, Participant’s salary from or employment or service with the Service Recipient will not be affected; the only consequence of refusing or withdrawing consent is that the Company would not be able to grant the Restricted Stock Units or other equity awards to Participant under the Plan or administer or maintain such awards.</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Data Sub</w:t>
      </w:r>
      <w:r>
        <w:rPr>
          <w:rFonts w:ascii="Times New Roman;sans-serif" w:hAnsi="Times New Roman;sans-serif"/>
          <w:b w:val="false"/>
          <w:color w:val="000000"/>
          <w:sz w:val="20"/>
        </w:rPr>
        <w:t>j</w:t>
      </w:r>
      <w:r>
        <w:rPr>
          <w:rFonts w:ascii="Times New Roman;sans-serif" w:hAnsi="Times New Roman;sans-serif"/>
          <w:b w:val="false"/>
          <w:color w:val="000000"/>
          <w:sz w:val="20"/>
          <w:u w:val="single"/>
        </w:rPr>
        <w:t>ect Ri</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hts.</w:t>
      </w:r>
      <w:r>
        <w:rPr>
          <w:color w:val="000000"/>
        </w:rPr>
        <w:t xml:space="preserve"> </w:t>
      </w:r>
      <w:r>
        <w:rPr>
          <w:rFonts w:ascii="Times New Roman;sans-serif" w:hAnsi="Times New Roman;sans-serif"/>
          <w:b w:val="false"/>
          <w:color w:val="000000"/>
          <w:sz w:val="20"/>
        </w:rPr>
        <w:t>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Other Le</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al Basis and Additional Consent</w:t>
      </w:r>
      <w:r>
        <w:rPr>
          <w:rFonts w:ascii="Times New Roman;sans-serif" w:hAnsi="Times New Roman;sans-serif"/>
          <w:b w:val="false"/>
          <w:color w:val="000000"/>
          <w:sz w:val="20"/>
        </w:rPr>
        <w:t>. Participant understands that the Company may rely on a different legal basis for the collection, processing or transfer of Data in the future and/or request Participant to provide another data privacy consent. If applicable, upon request of the Company or the Service Recipient, Participant will provide a separate executed data privacy agreement (or any other agreements or consents) that the Company and/or the Service Recipient may deem necessary to obtain from Participant for the purpose of 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 and/or the Service Recipient.</w:t>
      </w:r>
    </w:p>
    <w:p>
      <w:pPr>
        <w:pStyle w:val="TextBody"/>
        <w:bidi w:val="0"/>
        <w:spacing w:lineRule="auto" w:line="240" w:before="0" w:after="20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Nature of Grant</w:t>
      </w:r>
      <w:r>
        <w:rPr>
          <w:rFonts w:ascii="Times New Roman;sans-serif" w:hAnsi="Times New Roman;sans-serif"/>
          <w:b w:val="false"/>
          <w:color w:val="000000"/>
          <w:sz w:val="20"/>
        </w:rPr>
        <w:t>. By accepting the Restricted Stock Units, Participant acknowledges, understands, and agrees that:</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all decisions with respect to future restricted stock unit or other grants, if any, will be at the sole discretion of the Company;</w:t>
      </w:r>
    </w:p>
    <w:p>
      <w:pPr>
        <w:pStyle w:val="TextBody"/>
        <w:bidi w:val="0"/>
        <w:spacing w:before="0" w:after="24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6420"/>
                <wp:effectExtent l="0" t="0" r="0" b="0"/>
                <wp:wrapNone/>
                <wp:docPr id="111" name="Frame110"/>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Participant is voluntarily participating in the Plan;</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Restricted Stock Units and any Shares subject to the Restricted Stock Units, and the income from and value of same, are not intended to replace any pension rights or compensation;</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unless otherwise agreed with the Company, the Restricted Stock Units and the Shares subject to the Restricted Stock Units, and the income from and value of same, are not granted as consideration for, or in connection with, the service Participant may provide as a director of a Subsidiary;</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the Restricted Stock Units and any Shares subject to the Restricted Stock Units, and the income from and value of same, are not part of normal or expected compensation for any purpose, including, without limitation to, calculating any severance, resignation, termination, redundancy, dismissal, end-of-service payments, bonuses, long-service awards, holiday pay, pension or retirement or welfare benefits or similar mandatory payments;</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 future value of the Shares underlying the Restricted Stock Units is unknown, indeterminable, and cannot be predicted with certainty;</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no claim or entitlement to compensation or damages shall arise from forfeiture of the Restricted Stock Units resulting from the termination of Participant’s status as a Service Provider (for any reason whatsoever, whether or not later found to be invalid or in breach of labor laws in the jurisdiction where the Participant is providing service or the terms of the Participant’s employment or other service agreement, if any);</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neither the Company, the Service Recipient nor any other Subsidiary shall be liable for any foreign exchange rate fluctuation between Participant’s local currency and the U.S. dollar that may affect the value of the Restricted Stock Units or of any amounts due to Participant pursuant to the Restricted Stock or the subsequent sale of any Shares subject to the Restricted Stock Units.</w:t>
      </w:r>
    </w:p>
    <w:p>
      <w:pPr>
        <w:pStyle w:val="TextBody"/>
        <w:bidi w:val="0"/>
        <w:spacing w:lineRule="auto" w:line="240" w:before="0" w:after="20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Language</w:t>
      </w:r>
      <w:r>
        <w:rPr>
          <w:rFonts w:ascii="Times New Roman;sans-serif" w:hAnsi="Times New Roman;sans-serif"/>
          <w:b w:val="false"/>
          <w:color w:val="000000"/>
          <w:sz w:val="20"/>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Units and/or the Plan translated into a language other than English and if the meaning of the translated version is different than the English version, the English version will control.</w:t>
      </w:r>
    </w:p>
    <w:p>
      <w:pPr>
        <w:pStyle w:val="TextBody"/>
        <w:bidi w:val="0"/>
        <w:spacing w:lineRule="auto" w:line="240" w:before="0" w:after="20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Forei</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n Asset/Account, Exchan</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e Control and Tax Reportin</w:t>
      </w:r>
      <w:r>
        <w:rPr>
          <w:rFonts w:ascii="Times New Roman;sans-serif" w:hAnsi="Times New Roman;sans-serif"/>
          <w:b w:val="false"/>
          <w:color w:val="000000"/>
          <w:sz w:val="20"/>
        </w:rPr>
        <w:t>g. Participant may be subject to foreign asset/account, exchange control, tax reporting or other requirements which may affect Participant’s ability acquire or hold Restricted Stock Units, Shares or cash received from participating in the Plan (including dividends and the proceeds arising from the sale of Shares) in a brokerage/bank account outside Participant’s country. The applicable laws of Participant’s country may require that he or she report such Restricted Stock Units,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6420"/>
                <wp:effectExtent l="0" t="0" r="0" b="0"/>
                <wp:wrapNone/>
                <wp:docPr id="112" name="Frame111"/>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ADDITIONAL TERMS AND CONDITIONS FOR CERTAIN COUNTRIES</w:t>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KOREA</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lineRule="auto" w:line="240" w:before="0" w:after="240"/>
        <w:jc w:val="both"/>
        <w:rPr/>
      </w:pPr>
      <w:r>
        <w:rPr>
          <w:rFonts w:ascii="Times New Roman;sans-serif" w:hAnsi="Times New Roman;sans-serif"/>
          <w:b w:val="false"/>
          <w:color w:val="000000"/>
          <w:sz w:val="20"/>
          <w:u w:val="single"/>
        </w:rPr>
        <w:t>Forei</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n Asset/Account Reportin</w:t>
      </w:r>
      <w:r>
        <w:rPr>
          <w:rFonts w:ascii="Times New Roman;sans-serif" w:hAnsi="Times New Roman;sans-serif"/>
          <w:b w:val="false"/>
          <w:color w:val="000000"/>
          <w:sz w:val="20"/>
        </w:rPr>
        <w:t>g</w:t>
      </w:r>
      <w:r>
        <w:rPr>
          <w:color w:val="000000"/>
          <w:u w:val="single"/>
        </w:rPr>
        <w:t xml:space="preserve"> </w:t>
      </w:r>
      <w:r>
        <w:rPr>
          <w:rFonts w:ascii="Times New Roman;sans-serif" w:hAnsi="Times New Roman;sans-serif"/>
          <w:b w:val="false"/>
          <w:color w:val="000000"/>
          <w:sz w:val="20"/>
          <w:u w:val="single"/>
        </w:rPr>
        <w:t>Information</w:t>
      </w:r>
      <w:r>
        <w:rPr>
          <w:rFonts w:ascii="Times New Roman;sans-serif" w:hAnsi="Times New Roman;sans-serif"/>
          <w:b w:val="false"/>
          <w:color w:val="000000"/>
          <w:sz w:val="20"/>
        </w:rPr>
        <w:t>. Korean residents must declare all foreign financial accounts (</w:t>
      </w:r>
      <w:r>
        <w:rPr>
          <w:rFonts w:ascii="Times New Roman;sans-serif" w:hAnsi="Times New Roman;sans-serif"/>
          <w:b w:val="false"/>
          <w:i/>
          <w:color w:val="000000"/>
          <w:sz w:val="20"/>
        </w:rPr>
        <w:t xml:space="preserve">e.g., </w:t>
      </w:r>
      <w:r>
        <w:rPr>
          <w:rFonts w:ascii="Times New Roman;sans-serif" w:hAnsi="Times New Roman;sans-serif"/>
          <w:b w:val="false"/>
          <w:color w:val="000000"/>
          <w:sz w:val="20"/>
        </w:rPr>
        <w:t>non-Korean bank accounts, brokerage accounts) to the Korean tax authorities and file a report with respect to such accounts if the monthly balance of such accounts exceeds KRW 500 million (or an equivalent amount in foreign currency) on any month-end during a calendar year. Participant should consult with his or her personal tax advisor to determine his or her personal reporting obligations.</w:t>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SINGAPORE </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Terms and Conditions</w:t>
      </w:r>
    </w:p>
    <w:p>
      <w:pPr>
        <w:pStyle w:val="TextBody"/>
        <w:bidi w:val="0"/>
        <w:spacing w:lineRule="auto" w:line="240" w:before="0" w:after="240"/>
        <w:jc w:val="both"/>
        <w:rPr/>
      </w:pPr>
      <w:r>
        <w:rPr>
          <w:rFonts w:ascii="Times New Roman;sans-serif" w:hAnsi="Times New Roman;sans-serif"/>
          <w:b w:val="false"/>
          <w:color w:val="000000"/>
          <w:sz w:val="20"/>
          <w:u w:val="single"/>
        </w:rPr>
        <w:t>Restriction on Sale of Shares</w:t>
      </w:r>
      <w:r>
        <w:rPr>
          <w:rFonts w:ascii="Times New Roman;sans-serif" w:hAnsi="Times New Roman;sans-serif"/>
          <w:b w:val="false"/>
          <w:color w:val="000000"/>
          <w:sz w:val="20"/>
        </w:rPr>
        <w:t>. The Restricted Stock Units are subject to section 257 of the Securities and Futures Act (Chapter 289, 2006 Ed.) (“SFA”) and Participant will not be able to make any subsequent offer to sell or sale of the Shares in Singapore, unless such offer or sale is made (1) after six (6) months from the Date of Grant, (2) pursuant to the exemptions under Part XIII Division (1) Subdivision (4) (other than section 280) of the SFA or (3) pursuant to, and in accordance with, the conditions of any other applicable exemptions under the SFA.</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lineRule="auto" w:line="240" w:before="0" w:after="240"/>
        <w:jc w:val="both"/>
        <w:rPr/>
      </w:pPr>
      <w:r>
        <w:rPr>
          <w:rFonts w:ascii="Times New Roman;sans-serif" w:hAnsi="Times New Roman;sans-serif"/>
          <w:b w:val="false"/>
          <w:color w:val="000000"/>
          <w:sz w:val="20"/>
          <w:u w:val="single"/>
        </w:rPr>
        <w:t>Securities Law Information</w:t>
      </w:r>
      <w:r>
        <w:rPr>
          <w:rFonts w:ascii="Times New Roman;sans-serif" w:hAnsi="Times New Roman;sans-serif"/>
          <w:b w:val="false"/>
          <w:color w:val="000000"/>
          <w:sz w:val="20"/>
        </w:rPr>
        <w:t>. The offer of the Plan, the grant of the Restricted Stock Units, and the issuance of the Shares subject to the Restricted Stock Units are being made pursuant to the “Qualifying Person” exemption under section 273(1)(f) of the SFA. The Plan has not been lodged or registered as a prospectus with the Monetary Authority of Singapore.</w:t>
      </w:r>
    </w:p>
    <w:p>
      <w:pPr>
        <w:pStyle w:val="TextBody"/>
        <w:bidi w:val="0"/>
        <w:spacing w:lineRule="auto" w:line="240" w:before="0" w:after="240"/>
        <w:jc w:val="both"/>
        <w:rPr/>
      </w:pPr>
      <w:r>
        <w:rPr>
          <w:rFonts w:ascii="Times New Roman;sans-serif" w:hAnsi="Times New Roman;sans-serif"/>
          <w:b w:val="false"/>
          <w:color w:val="000000"/>
          <w:sz w:val="20"/>
          <w:u w:val="single"/>
        </w:rPr>
        <w:t>Director Notification</w:t>
      </w:r>
      <w:r>
        <w:rPr>
          <w:rFonts w:ascii="Times New Roman;sans-serif" w:hAnsi="Times New Roman;sans-serif"/>
          <w:b w:val="false"/>
          <w:color w:val="000000"/>
          <w:sz w:val="20"/>
        </w:rPr>
        <w:t>. Participant understands and acknowledges that if Participant is a director, associate director or shadow director of a Singapore Subsidiary, Participant is subject to certain notification requirements under the Singapore Companies Act, regardless of whether Participant is a Singapore resident or providing services in Singapore. Among these requirements is an obligation to notify the Singapore Subsidiary in writing when Participant receives an interest (</w:t>
      </w:r>
      <w:r>
        <w:rPr>
          <w:rFonts w:ascii="Times New Roman;sans-serif" w:hAnsi="Times New Roman;sans-serif"/>
          <w:b w:val="false"/>
          <w:i/>
          <w:color w:val="000000"/>
          <w:sz w:val="20"/>
        </w:rPr>
        <w:t>e.g.</w:t>
      </w:r>
      <w:r>
        <w:rPr>
          <w:rFonts w:ascii="Times New Roman;sans-serif" w:hAnsi="Times New Roman;sans-serif"/>
          <w:b w:val="false"/>
          <w:color w:val="000000"/>
          <w:sz w:val="20"/>
        </w:rPr>
        <w:t>, Restricted Stock Units) in the Company. In addition, Participant must notify the Singapore Subsidiary when Participant sells Shares (including when Participant sells Shares acquired under the Plan). These notifications must be made within two days of acquiring or disposing of any interest in the Company. In addition, a notification must be made of Participant’s interests in the Company within two days of becoming a director, associate director or shadow director.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6420"/>
                <wp:effectExtent l="0" t="0" r="0" b="0"/>
                <wp:wrapNone/>
                <wp:docPr id="113" name="Frame112"/>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0" w:after="0"/>
        <w:jc w:val="right"/>
        <w:rPr/>
      </w:pPr>
      <w:r>
        <w:rPr>
          <w:rFonts w:ascii="Times New Roman;sans-serif" w:hAnsi="Times New Roman;sans-serif"/>
          <w:b/>
          <w:color w:val="000000"/>
          <w:sz w:val="20"/>
        </w:rPr>
        <w:t xml:space="preserve">Exhibit </w:t>
      </w:r>
      <w:r>
        <w:rPr>
          <w:rFonts w:ascii="Times New Roman;sans-serif" w:hAnsi="Times New Roman;sans-serif"/>
          <w:b/>
          <w:color w:val="000000"/>
          <w:sz w:val="22"/>
        </w:rPr>
        <w:t>10.22</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71" w:before="229" w:after="283"/>
        <w:jc w:val="center"/>
        <w:rPr>
          <w:rFonts w:ascii="Times New Roman;sans-serif" w:hAnsi="Times New Roman;sans-serif"/>
          <w:b/>
          <w:color w:val="000000"/>
          <w:sz w:val="20"/>
        </w:rPr>
      </w:pPr>
      <w:r>
        <w:rPr>
          <w:rFonts w:ascii="Times New Roman;sans-serif" w:hAnsi="Times New Roman;sans-serif"/>
          <w:b/>
          <w:color w:val="000000"/>
          <w:sz w:val="20"/>
        </w:rPr>
        <w:t>2021 EQUITY INCENTIVE PLAN</w:t>
      </w:r>
    </w:p>
    <w:p>
      <w:pPr>
        <w:pStyle w:val="TextBody"/>
        <w:bidi w:val="0"/>
        <w:spacing w:lineRule="auto" w:line="271" w:before="229" w:after="283"/>
        <w:jc w:val="center"/>
        <w:rPr>
          <w:rFonts w:ascii="Times New Roman;sans-serif" w:hAnsi="Times New Roman;sans-serif"/>
          <w:b/>
          <w:color w:val="000000"/>
          <w:sz w:val="20"/>
        </w:rPr>
      </w:pPr>
      <w:r>
        <w:rPr>
          <w:rFonts w:ascii="Times New Roman;sans-serif" w:hAnsi="Times New Roman;sans-serif"/>
          <w:b/>
          <w:color w:val="000000"/>
          <w:sz w:val="20"/>
        </w:rPr>
        <w:t>GLOBAL PERFORMANCE-VESTED RESTRICTED STOCK UNIT AWARD AGREEMENT</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defined herein, each term used in this Global Performance-Vested Restricted Stock Unit Award Agreement, including the performance goals set forth in the Appendix A attached hereto, the general terms and conditions for all non-U.S. Participants and the additional terms and conditions for certain countries, all as set forth in the Appendix B attached hereto (Appendices A and B, together with the Global Performance-Vested Restricted Stock Unit Award Agreement, the “Award Agreement”) and defined in the Amkor Technology, Inc. 2021 Equity Incentive Plan (the “Plan”) will have the same meaning as is given to such term in the Plan. </w:t>
      </w:r>
    </w:p>
    <w:p>
      <w:pPr>
        <w:pStyle w:val="TextBody"/>
        <w:bidi w:val="0"/>
        <w:spacing w:lineRule="auto" w:line="240"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Participant Name: </w:t>
      </w:r>
    </w:p>
    <w:p>
      <w:pPr>
        <w:pStyle w:val="TextBody"/>
        <w:bidi w:val="0"/>
        <w:spacing w:lineRule="auto" w:line="240" w:before="0" w:after="200"/>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You have been granted the right to receive an Award of Performance-Vested Restricted Stock Units, subject to the terms and conditions of the Plan and this Award Agreement, as follows:</w:t>
      </w:r>
    </w:p>
    <w:p>
      <w:pPr>
        <w:pStyle w:val="TextBody"/>
        <w:bidi w:val="0"/>
        <w:spacing w:lineRule="auto" w:line="240" w:before="0" w:after="200"/>
        <w:jc w:val="both"/>
        <w:rPr/>
      </w:pPr>
      <w:r>
        <w:rPr>
          <w:rFonts w:ascii="Times New Roman;sans-serif" w:hAnsi="Times New Roman;sans-serif"/>
          <w:b w:val="false"/>
          <w:color w:val="000000"/>
          <w:sz w:val="20"/>
        </w:rPr>
        <w:t>Grant Number                </w:t>
      </w:r>
      <w:r>
        <w:rPr>
          <w:color w:val="000000"/>
          <w:u w:val="single"/>
        </w:rPr>
        <w:t>        </w:t>
      </w:r>
    </w:p>
    <w:p>
      <w:pPr>
        <w:pStyle w:val="TextBody"/>
        <w:bidi w:val="0"/>
        <w:spacing w:lineRule="auto" w:line="240" w:before="0" w:after="200"/>
        <w:jc w:val="both"/>
        <w:rPr/>
      </w:pPr>
      <w:r>
        <w:rPr>
          <w:rFonts w:ascii="Times New Roman;sans-serif" w:hAnsi="Times New Roman;sans-serif"/>
          <w:b w:val="false"/>
          <w:color w:val="000000"/>
          <w:sz w:val="20"/>
        </w:rPr>
        <w:t>Date of Grant                </w:t>
      </w:r>
      <w:r>
        <w:rPr>
          <w:color w:val="000000"/>
          <w:u w:val="single"/>
        </w:rPr>
        <w:t>        </w:t>
      </w:r>
    </w:p>
    <w:p>
      <w:pPr>
        <w:pStyle w:val="TextBody"/>
        <w:bidi w:val="0"/>
        <w:spacing w:lineRule="auto" w:line="240" w:before="0" w:after="200"/>
        <w:jc w:val="both"/>
        <w:rPr/>
      </w:pPr>
      <w:r>
        <w:rPr>
          <w:rFonts w:ascii="Times New Roman;sans-serif" w:hAnsi="Times New Roman;sans-serif"/>
          <w:b w:val="false"/>
          <w:color w:val="000000"/>
          <w:sz w:val="20"/>
        </w:rPr>
        <w:t>Number of Restricted Stock Units Granted    </w:t>
      </w:r>
      <w:r>
        <w:rPr>
          <w:color w:val="000000"/>
          <w:u w:val="single"/>
        </w:rPr>
        <w:t>        </w:t>
      </w:r>
    </w:p>
    <w:p>
      <w:pPr>
        <w:pStyle w:val="TextBody"/>
        <w:bidi w:val="0"/>
        <w:spacing w:lineRule="auto" w:line="240" w:before="0" w:after="200"/>
        <w:jc w:val="both"/>
        <w:rPr/>
      </w:pPr>
      <w:r>
        <w:rPr>
          <w:rFonts w:ascii="Times New Roman;sans-serif" w:hAnsi="Times New Roman;sans-serif"/>
          <w:b w:val="false"/>
          <w:color w:val="000000"/>
          <w:sz w:val="20"/>
        </w:rPr>
        <w:t>1.            </w:t>
      </w:r>
      <w:r>
        <w:rPr>
          <w:rFonts w:ascii="Times New Roman;sans-serif" w:hAnsi="Times New Roman;sans-serif"/>
          <w:b w:val="false"/>
          <w:color w:val="000000"/>
          <w:sz w:val="20"/>
          <w:u w:val="single"/>
        </w:rPr>
        <w:t>Grant</w:t>
      </w:r>
      <w:r>
        <w:rPr>
          <w:rFonts w:ascii="Times New Roman;sans-serif" w:hAnsi="Times New Roman;sans-serif"/>
          <w:b w:val="false"/>
          <w:color w:val="000000"/>
          <w:sz w:val="20"/>
        </w:rPr>
        <w:t>. The Company hereby grants to the individual named above (“Participant”) under the Plan as a separate incentive and not in lieu of any salary or other compensation for the Participant’s services, an Award of Restricted Stock Units (the “Award”),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pStyle w:val="TextBody"/>
        <w:bidi w:val="0"/>
        <w:spacing w:lineRule="auto" w:line="240" w:before="0" w:after="200"/>
        <w:jc w:val="both"/>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Except as may be otherwise provided in Section 4 or Section 5 of this Award Agreement, the Award shall vest on the Determination Date (as defined below) (a) if the Participant’s continuous status as a Service Provider has not terminated prior to the Determination Date and (b) to the extent that one or both of the Performance Goals (as defined in Appendix A) have been attained and all the other conditions for the vesting of the Restricted Stock Units have been satisfied, as determined on or prior to the Determination Date by the Administrator, whose good faith determination shall be final, binding and conclusive on all persons, including, but not limited to, the Company and the Participant. The Determination Date shall be the date on which the Administrator determines and certifies in writing that the corresponding Performance Goal(s) and all other conditions for the vesting of the Restricted Stock Units have been satisfied, which date shall not be more than ninety (90) days after the last day of the Performance Period (“Determination Date”).</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unless otherwise set forth in Section 4 of this Award Agreement, employment or other service during only a portion of the vesting period until the Determination Date shall not entitle the Participant to vest in a pro rata portion of the Restricted Stock Units scheduled to vest on such date.</w:t>
      </w:r>
    </w:p>
    <w:p>
      <w:pPr>
        <w:pStyle w:val="TextBody"/>
        <w:bidi w:val="0"/>
        <w:spacing w:lineRule="auto" w:line="240" w:before="0" w:after="200"/>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Settlement</w:t>
      </w:r>
      <w:r>
        <w:rPr>
          <w:rFonts w:ascii="Times New Roman;sans-serif" w:hAnsi="Times New Roman;sans-serif"/>
          <w:b w:val="false"/>
          <w:color w:val="000000"/>
          <w:sz w:val="20"/>
        </w:rPr>
        <w:t>. Subject to Sections 7 and 22 hereof, promptly following each applicable vesting date (including any accelerated vesting date under Section 4), and in any event within forty-five (45) days thereof, the Company shall, in the Administrator’s sole discretion, either (i) pay to Participant an amount in cash equal to the Fair Market Value of the Shares represented by the RSUs that vested as of the most recent vesting date, or (ii) (a) issue and deliver to the Participant the number of Shares equal to the number of vested Restricted Stock Units and (b) enter the Participant’s name on the books of the Company as the stockholder of record with respect to the Shares delivered to the Participant.</w:t>
      </w:r>
    </w:p>
    <w:p>
      <w:pPr>
        <w:pStyle w:val="TextBody"/>
        <w:bidi w:val="0"/>
        <w:spacing w:lineRule="auto" w:line="240" w:before="0" w:after="200"/>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Termination of Status as a Service Provider.</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Termination Due to Death or Disabilit</w:t>
      </w:r>
      <w:r>
        <w:rPr>
          <w:rFonts w:ascii="Times New Roman;sans-serif" w:hAnsi="Times New Roman;sans-serif"/>
          <w:b w:val="false"/>
          <w:color w:val="000000"/>
          <w:sz w:val="20"/>
        </w:rPr>
        <w:t>y. If the Participant’s termination as a Service Provider is due to death or Disability and such termination occurs before the Determination Date, the Participant shall become vested at the time of the Determination Date in a number of Restricted Stock Units equal to the product of (i) the number of Restricted Stock Units that the Participant would have become vested in accordance with Section 2 had the Participant’s continuous status as a Service Provider had continued through the Determination Date and (ii) a fraction, the numerator of which is the number of days during the Performance Period that the Participant provided services as a Service Provider and the denominator of which is the total number of days in the Performance Period.</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55650"/>
                <wp:effectExtent l="0" t="0" r="0" b="0"/>
                <wp:wrapNone/>
                <wp:docPr id="114" name="Frame113"/>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Termination Due to Retirement</w:t>
      </w:r>
      <w:r>
        <w:rPr>
          <w:rFonts w:ascii="Times New Roman;sans-serif" w:hAnsi="Times New Roman;sans-serif"/>
          <w:b w:val="false"/>
          <w:color w:val="000000"/>
          <w:sz w:val="20"/>
        </w:rPr>
        <w:t>. If the Participant’s termination as a Service Provider is due to Retirement (as defined herein), and such Retirement occurs before the Determination Date, the Participant shall become vested at the time of the Determination Date in a number of Restricted Stock Units equal to the product of (i) the number of Restricted Stock Units that the Participant would have earned in accordance with Section 2 had the Participant remained as a Service Provider through the end of the Performance Period and (ii) a fraction, the numerator of which is the number of days during the Performance Period that the Participant provided services as a Service Provider during such year and the denominator of which is the total number of days in the Performance Period. Notwithstanding the preceding sentence, if such Retirement occurred within six (6) months following the Date of Grant, all the Restricted Stock Units will be forfeited (with no consideration due the Participant), and Participant will have no further rights thereunder. “Retirement” for purposes of this Award Agreement shall mean the Participant’s resignation from the Company (or the Subsidiary employing or retaining Participant) on or after the date on which the sum of (i) the Participant’s age (rounded down to the nearest whole month) plus (ii) the number of years (rounded down to the nearest whole month) that the Participant has provided services as a Service Provider to the Company equals or is greater than seventy-five (75).</w:t>
      </w:r>
    </w:p>
    <w:p>
      <w:pPr>
        <w:pStyle w:val="TextBody"/>
        <w:bidi w:val="0"/>
        <w:spacing w:lineRule="auto" w:line="240"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if the Company receives a legal opinion that there has been a legal judgment and/or legal development in Participant’s jurisdiction that likely would result in the favorable treatment that applies to the Restricted Stock Units when Participant’s status as a Service Provider terminates as a result of Participant’s Retirement being deemed unlawful and/or discriminatory, the provisions of this Section 4(b) regarding the treatment of the Restricted Stock Units when Participant’s status as a Service Provider terminates as a result of Participant’s Retirement will not be applicable to Participant and the remaining provisions of this Award Agreement will govern.</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Chan</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e in Control</w:t>
      </w:r>
      <w:r>
        <w:rPr>
          <w:rFonts w:ascii="Times New Roman;sans-serif" w:hAnsi="Times New Roman;sans-serif"/>
          <w:b w:val="false"/>
          <w:color w:val="000000"/>
          <w:sz w:val="20"/>
        </w:rPr>
        <w:t>. If a Change in Control occurs, the Award is assumed by the successor in connection with the Change in Control and the Participant either (i) remains a Service Provider through the Determination Date or (ii) the Participant’s continuous status as a Service Provider is terminated prior to the Determination Date (A) by the Company (or the Subsidiary employing or retaining Participant) for any reason other than Cause or (B) by the Participant for Good Reason, the Participant shall become vested at the time of the Determination Date in a number of Restricted Stock Units equal to the greater of (i) the amount of Restricted Stock Units that the Participant would have received had the Performance Goal been attained at the 100% attainment level and (ii) the actual attainment level of the Performance Goal measured as of the time of the Change in Control. For purposes of this Award Agreement, “Good Reason” shall mean: (i) a material reduction in the Participant’s authority, duties or responsibilities; (ii) a material reduction in the Participant’s base salary or bonus opportunity (other than a general reduction in base salary that affects all similarly situated executives in substantially the same proportions); or (iii) any material breach by the Company of any material provision of this Agreement. However, Good Reason shall not be deemed to exist unless (x) Participant shall have given written notice to the Company specifying in reasonable detail the circumstances that Participant alleges constitute Good Reason within thirty (30) calendar days of learning of such act or omission and (y) the Company has failed to cure any such circumstances within thirty (30) calendar days of receipt of such written notice.</w:t>
      </w:r>
    </w:p>
    <w:p>
      <w:pPr>
        <w:pStyle w:val="TextBody"/>
        <w:bidi w:val="0"/>
        <w:spacing w:lineRule="auto" w:line="240" w:before="0" w:after="200"/>
        <w:jc w:val="both"/>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Forfeiture upon Termination of Status as a Service Provider</w:t>
      </w:r>
      <w:r>
        <w:rPr>
          <w:rFonts w:ascii="Times New Roman;sans-serif" w:hAnsi="Times New Roman;sans-serif"/>
          <w:b w:val="false"/>
          <w:color w:val="000000"/>
          <w:sz w:val="20"/>
        </w:rPr>
        <w:t>. Notwithstanding any contrary provision of this Award Agreement, but subject to the vesting provisions set forth in this Award Agreement and Section 4 above, the balance of the Restricted Stock Units that have not vested at the time of Participant’s termination as a Service Provider for any reason will be forfeited (with no consideration due to Participant) and automatically transferred to and reacquired by the Company at no cost to the Company upon the date of such termination and Participant will have no further rights thereunder.</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Restricted Stock Units, Participant’s status as a Service Provider will be deemed terminated as of the date Participant is no longer actively providing services to the Company or one of its Subsidiaries (regardless of the reason for such termination and whether or not later found to be invalid or in breach of labor laws in the jurisdiction where Participant is providing service or the terms of Participant’s employment or other service agreement, if any) and such date will not be extended by any notice period (e.g., Participant’s period of service would not include any contractual notice period or any period of “garden leave” or similar period mandated under labor laws in the jurisdiction where the Participant is providing service or the terms of Participant’s employment or other service agreement, if any). The Administrator shall have the exclusive discretion to determine when Participant is no longer actively provides services for purposes of the Restricted Stock (including whether Participant may still be considered to be providing services while on a leave of absence).</w:t>
      </w:r>
    </w:p>
    <w:p>
      <w:pPr>
        <w:pStyle w:val="TextBody"/>
        <w:bidi w:val="0"/>
        <w:spacing w:lineRule="auto" w:line="240" w:before="0" w:after="200"/>
        <w:jc w:val="both"/>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Clawback</w:t>
      </w:r>
      <w:r>
        <w:rPr>
          <w:rFonts w:ascii="Times New Roman;sans-serif" w:hAnsi="Times New Roman;sans-serif"/>
          <w:b w:val="false"/>
          <w:color w:val="000000"/>
          <w:sz w:val="20"/>
        </w:rPr>
        <w:t xml:space="preserve">. Notwithstanding any provision of this Award Agreement to the contrary, the Award is subject in all respects to the Amkor Technology, Inc. Excess Compensation Recovery Policy, as amended from time to time (the “Policy”). In the event of an “Accounting Restatement” (as defined in the Policy), the Award (or any portion thereof) may be subject to recovery by the Company if the Award (or any portion thereof) is determined to be “Erroneously Awarded Compensation” (as defined in the Policy). In addition, the Award is subject to recovery by the Company if the Company is required to restate its financial statements resulting in the financial results being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55650"/>
                <wp:effectExtent l="0" t="0" r="0" b="0"/>
                <wp:wrapNone/>
                <wp:docPr id="115" name="Frame114"/>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reduced such that the Award (or any portion thereof) would not have been paid, if the Company determines, in its sole discretion, that the Participant engaged in intentional misconduct or fraud that resulted in such restatement.</w:t>
      </w:r>
    </w:p>
    <w:p>
      <w:pPr>
        <w:pStyle w:val="TextBody"/>
        <w:bidi w:val="0"/>
        <w:spacing w:lineRule="auto" w:line="240" w:before="0" w:after="20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Death of Participant</w:t>
      </w:r>
      <w:r>
        <w:rPr>
          <w:rFonts w:ascii="Times New Roman;sans-serif" w:hAnsi="Times New Roman;sans-serif"/>
          <w:b w:val="false"/>
          <w:color w:val="000000"/>
          <w:sz w:val="20"/>
        </w:rPr>
        <w:t>. Notwithstanding any provision of this Award Agreement to the contrary,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lineRule="auto" w:line="240" w:before="0" w:after="20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Responsibilit</w:t>
      </w:r>
      <w:r>
        <w:rPr>
          <w:rFonts w:ascii="Times New Roman;sans-serif" w:hAnsi="Times New Roman;sans-serif"/>
          <w:b w:val="false"/>
          <w:color w:val="000000"/>
          <w:sz w:val="20"/>
        </w:rPr>
        <w:t>y</w:t>
      </w:r>
      <w:r>
        <w:rPr>
          <w:color w:val="000000"/>
          <w:u w:val="single"/>
        </w:rPr>
        <w:t xml:space="preserve"> </w:t>
      </w:r>
      <w:r>
        <w:rPr>
          <w:rFonts w:ascii="Times New Roman;sans-serif" w:hAnsi="Times New Roman;sans-serif"/>
          <w:b w:val="false"/>
          <w:color w:val="000000"/>
          <w:sz w:val="20"/>
          <w:u w:val="single"/>
        </w:rPr>
        <w:t>for Taxes</w:t>
      </w:r>
      <w:r>
        <w:rPr>
          <w:rFonts w:ascii="Times New Roman;sans-serif" w:hAnsi="Times New Roman;sans-serif"/>
          <w:b w:val="false"/>
          <w:color w:val="000000"/>
          <w:sz w:val="20"/>
        </w:rPr>
        <w:t>.</w:t>
      </w:r>
      <w:r>
        <w:rPr>
          <w:color w:val="000000"/>
          <w:u w:val="single"/>
        </w:rPr>
        <w:t xml:space="preserve"> </w:t>
      </w:r>
    </w:p>
    <w:p>
      <w:pPr>
        <w:pStyle w:val="TextBody"/>
        <w:bidi w:val="0"/>
        <w:spacing w:lineRule="auto" w:line="240"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acknowledges and agrees that, regardless of any action taken by the Company or, if different, the Subsidiary to which Participant is providing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or vesting of Restricted Stock Units, or the subsequent sale of Shares acquired at vesting and the receipt of any dividends;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40"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 combination of the following: (i) withholding from Participant’s salary, wages or other compensation payable to Participant by the Company and/or the Service Recipient; (ii) withholding from proceeds of the sale of the Shares subject to the Restricted Stock Units either through a voluntary sale or through a mandatory sale arranged by the Company (on Participant’s behalf pursuant to this authorization without further consent); (iii) withholding Shares subject to the Restricted Stock Units;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Restricted Stock Units (except in the case of U.S. Federal Insurance Contribution Act taxes or other Tax-Related Items which become payable in a year prior to the year in which the Shares are issued).</w:t>
      </w:r>
    </w:p>
    <w:p>
      <w:pPr>
        <w:pStyle w:val="TextBody"/>
        <w:bidi w:val="0"/>
        <w:spacing w:lineRule="auto" w:line="240"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The Company and/or the Service Recipient may withhold or account for Tax-Related Items by considering statutory withholding amounts or other applicable withholding rates, including maximum rates applicable in Participant’s jurisdiction(s).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Shares, for tax purposes, Participant is deemed to have received the full number of Shares subject to the vested Restricted Stock Units, notwithstanding that a number of the Shares is held back solely for the purpose of paying the Tax-Related Items.</w:t>
      </w:r>
    </w:p>
    <w:p>
      <w:pPr>
        <w:pStyle w:val="TextBody"/>
        <w:bidi w:val="0"/>
        <w:spacing w:lineRule="auto" w:line="240"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the Shares acquired upon vesting of the Restricted Stock Units, if Participant fails to comply with his or her obligations in connection with the Tax-Related Items.</w:t>
      </w:r>
    </w:p>
    <w:p>
      <w:pPr>
        <w:pStyle w:val="TextBody"/>
        <w:bidi w:val="0"/>
        <w:spacing w:lineRule="auto" w:line="240" w:before="0" w:after="200"/>
        <w:jc w:val="both"/>
        <w:rPr/>
      </w:pPr>
      <w:r>
        <w:rPr>
          <w:rFonts w:ascii="Times New Roman;sans-serif" w:hAnsi="Times New Roman;sans-serif"/>
          <w:b w:val="false"/>
          <w:color w:val="000000"/>
          <w:sz w:val="20"/>
        </w:rPr>
        <w:t>9.         </w:t>
      </w:r>
      <w:r>
        <w:rPr>
          <w:rFonts w:ascii="Times New Roman;sans-serif" w:hAnsi="Times New Roman;sans-serif"/>
          <w:b w:val="false"/>
          <w:color w:val="000000"/>
          <w:sz w:val="20"/>
          <w:u w:val="single"/>
        </w:rPr>
        <w:t>Rights as Stockholder</w:t>
      </w:r>
      <w:r>
        <w:rPr>
          <w:rFonts w:ascii="Times New Roman;sans-serif" w:hAnsi="Times New Roman;sans-serif"/>
          <w:b w:val="false"/>
          <w:color w:val="000000"/>
          <w:sz w:val="20"/>
        </w:rPr>
        <w:t xml:space="preserve">. Neither Participant nor any person claiming under or through Participant will have any of the rights or privileges of a stockholder of the Company in respect of any Shares deliverable hereunder unless and until the Restricted Stock Units have vested and are settled by the issuance of Shares in accordance with Section 3, the Share issuance is recorded on the records of the Company or its transfer agents or registrars, and certificates representing such Shares have been issued (if the Shares are certificated or evidence of book entry if the Shares are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55650"/>
                <wp:effectExtent l="0" t="0" r="0" b="0"/>
                <wp:wrapNone/>
                <wp:docPr id="116" name="Frame115"/>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not certificated) and delivered to Participant. After such vesting, settlement, issuance, recordation and delivery, Participant will have all the rights of a stockholder of the Company with respect to such Shares for which such conditions are met, including voting and receipt of dividends and distributions on such Shares. The Participant shall not be entitled to any Dividend Equivalents with respect to the Restricted Stock Units to reflect any dividends payable on Shares.</w:t>
      </w:r>
    </w:p>
    <w:p>
      <w:pPr>
        <w:pStyle w:val="TextBody"/>
        <w:bidi w:val="0"/>
        <w:spacing w:lineRule="auto" w:line="240" w:before="0" w:after="200"/>
        <w:jc w:val="both"/>
        <w:rPr/>
      </w:pPr>
      <w:r>
        <w:rPr>
          <w:rFonts w:ascii="Times New Roman;sans-serif" w:hAnsi="Times New Roman;sans-serif"/>
          <w:b w:val="false"/>
          <w:color w:val="000000"/>
          <w:sz w:val="20"/>
        </w:rPr>
        <w:t>10.        </w:t>
      </w:r>
      <w:r>
        <w:rPr>
          <w:rFonts w:ascii="Times New Roman;sans-serif" w:hAnsi="Times New Roman;sans-serif"/>
          <w:b w:val="false"/>
          <w:color w:val="000000"/>
          <w:sz w:val="20"/>
          <w:u w:val="single"/>
        </w:rPr>
        <w:t>No Guarantee of Continued Service</w:t>
      </w:r>
      <w:r>
        <w:rPr>
          <w:rFonts w:ascii="Times New Roman;sans-serif" w:hAnsi="Times New Roman;sans-serif"/>
          <w:b w:val="false"/>
          <w:color w:val="000000"/>
          <w:sz w:val="20"/>
        </w:rPr>
        <w:t>. PARTICIPANT ACKNOWLEDGES AND AGREES THAT THE VESTING OF THE RESTRICTED STOCK UNITS PURSUANT TO THE VESTING SCHEDULE HEREOF IS EARNED ONLY BY CONTINUING AS A SERVICE PROVIDER AND NOT THROUGH THE ACT OF BEING HIRED, BEING GRANTED THESE RESTRICTED STOCK UNITS OR ACQUIRING SHARES HEREUNDER. PARTICIPANT FURTHER ACKNOWLEDGES AND AGREES THAT THIS AWARD AGREEMENT, THE TRANSACTIONS CONTEMPLATED HEREUNDER AND THE VESTING AND SETTLEMENT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AS APPLICABLE. TO TERMINATE PARTICIPANT’S RELATIONSHIP AS A SERVICE PROVIDER AT ANY TIME, WITH OR WITHOUT CAUSE.</w:t>
      </w:r>
    </w:p>
    <w:p>
      <w:pPr>
        <w:pStyle w:val="TextBody"/>
        <w:bidi w:val="0"/>
        <w:spacing w:lineRule="auto" w:line="240" w:before="0" w:after="200"/>
        <w:jc w:val="both"/>
        <w:rPr/>
      </w:pPr>
      <w:r>
        <w:rPr>
          <w:rFonts w:ascii="Times New Roman;sans-serif" w:hAnsi="Times New Roman;sans-serif"/>
          <w:b w:val="false"/>
          <w:color w:val="000000"/>
          <w:sz w:val="20"/>
        </w:rPr>
        <w:t>11.        </w:t>
      </w:r>
      <w:r>
        <w:rPr>
          <w:rFonts w:ascii="Times New Roman;sans-serif" w:hAnsi="Times New Roman;sans-serif"/>
          <w:b w:val="false"/>
          <w:color w:val="000000"/>
          <w:sz w:val="20"/>
          <w:u w:val="single"/>
        </w:rPr>
        <w:t>Appendix B</w:t>
      </w:r>
      <w:r>
        <w:rPr>
          <w:rFonts w:ascii="Times New Roman;sans-serif" w:hAnsi="Times New Roman;sans-serif"/>
          <w:b w:val="false"/>
          <w:color w:val="000000"/>
          <w:sz w:val="20"/>
        </w:rPr>
        <w:t>. For Participants outside the United States, the Restricted Stock Units shall be subject to the general terms and conditions for all non-U.S. Participants and the additional terms and conditions for certain countries set forth in the Appendix B attached hereto. Moreover, if Participant relocates from the U.S. to one of the countries included in the Appendix B or if Participant relocates between countries included in the Appendix B during the vesting period of the Restricted Stock Units, the general terms and conditions for non-U.S. Participants and the additional terms and conditions for such country shall apply to Participant, to the extent the Company determines that the application of such terms and conditions is necessary or advisable for legal or administrative reasons. The Appendix B constitutes part of this Award Agreement.</w:t>
      </w:r>
    </w:p>
    <w:p>
      <w:pPr>
        <w:pStyle w:val="TextBody"/>
        <w:bidi w:val="0"/>
        <w:spacing w:lineRule="auto" w:line="240" w:before="0" w:after="200"/>
        <w:jc w:val="both"/>
        <w:rPr/>
      </w:pPr>
      <w:r>
        <w:rPr>
          <w:rFonts w:ascii="Times New Roman;sans-serif" w:hAnsi="Times New Roman;sans-serif"/>
          <w:b w:val="false"/>
          <w:color w:val="000000"/>
          <w:sz w:val="20"/>
        </w:rPr>
        <w:t>12.    </w:t>
      </w:r>
      <w:r>
        <w:rPr>
          <w:rFonts w:ascii="Times New Roman;sans-serif" w:hAnsi="Times New Roman;sans-serif"/>
          <w:b w:val="false"/>
          <w:color w:val="000000"/>
          <w:sz w:val="20"/>
          <w:u w:val="single"/>
        </w:rPr>
        <w:t>No Advice Re</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ardin</w:t>
      </w:r>
      <w:r>
        <w:rPr>
          <w:rFonts w:ascii="Times New Roman;sans-serif" w:hAnsi="Times New Roman;sans-serif"/>
          <w:b w:val="false"/>
          <w:color w:val="000000"/>
          <w:sz w:val="20"/>
        </w:rPr>
        <w:t>g</w:t>
      </w:r>
      <w:r>
        <w:rPr>
          <w:color w:val="000000"/>
          <w:u w:val="single"/>
        </w:rPr>
        <w:t xml:space="preserve"> </w:t>
      </w:r>
      <w:r>
        <w:rPr>
          <w:rFonts w:ascii="Times New Roman;sans-serif" w:hAnsi="Times New Roman;sans-serif"/>
          <w:b w:val="false"/>
          <w:color w:val="000000"/>
          <w:sz w:val="20"/>
          <w:u w:val="single"/>
        </w:rPr>
        <w:t>Grant</w:t>
      </w:r>
      <w:r>
        <w:rPr>
          <w:rFonts w:ascii="Times New Roman;sans-serif" w:hAnsi="Times New Roman;sans-serif"/>
          <w:b w:val="false"/>
          <w:color w:val="000000"/>
          <w:sz w:val="20"/>
        </w:rPr>
        <w:t>. The Company is not providing any tax, legal or financial advice, nor is the Company making any recommendations 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Restricted Stock Units.</w:t>
      </w:r>
    </w:p>
    <w:p>
      <w:pPr>
        <w:pStyle w:val="TextBody"/>
        <w:bidi w:val="0"/>
        <w:spacing w:lineRule="auto" w:line="240" w:before="0" w:after="200"/>
        <w:jc w:val="both"/>
        <w:rPr/>
      </w:pPr>
      <w:r>
        <w:rPr>
          <w:rFonts w:ascii="Times New Roman;sans-serif" w:hAnsi="Times New Roman;sans-serif"/>
          <w:b w:val="false"/>
          <w:color w:val="000000"/>
          <w:sz w:val="20"/>
        </w:rPr>
        <w:t>13.         </w:t>
      </w:r>
      <w:r>
        <w:rPr>
          <w:rFonts w:ascii="Times New Roman;sans-serif" w:hAnsi="Times New Roman;sans-serif"/>
          <w:b w:val="false"/>
          <w:color w:val="000000"/>
          <w:sz w:val="20"/>
          <w:u w:val="single"/>
        </w:rPr>
        <w:t>Address for Notices</w:t>
      </w:r>
      <w:r>
        <w:rPr>
          <w:rFonts w:ascii="Times New Roman;sans-serif" w:hAnsi="Times New Roman;sans-serif"/>
          <w:b w:val="false"/>
          <w:color w:val="000000"/>
          <w:sz w:val="20"/>
        </w:rPr>
        <w:t>. Any notice to be given to the Company under the terms of this Award Agreement will be addressed to the Company, in care of its General Counsel at Amkor Technology, Inc., 2045 East Innovation Circle, Tempe, AZ 85284, or at such other address as the Company may hereafter designate in writing.</w:t>
      </w:r>
    </w:p>
    <w:p>
      <w:pPr>
        <w:pStyle w:val="TextBody"/>
        <w:bidi w:val="0"/>
        <w:spacing w:lineRule="auto" w:line="240" w:before="0" w:after="200"/>
        <w:jc w:val="both"/>
        <w:rPr/>
      </w:pPr>
      <w:r>
        <w:rPr>
          <w:rFonts w:ascii="Times New Roman;sans-serif" w:hAnsi="Times New Roman;sans-serif"/>
          <w:b w:val="false"/>
          <w:color w:val="000000"/>
          <w:sz w:val="20"/>
        </w:rPr>
        <w:t>14.            </w:t>
      </w:r>
      <w:r>
        <w:rPr>
          <w:rFonts w:ascii="Times New Roman;sans-serif" w:hAnsi="Times New Roman;sans-serif"/>
          <w:b w:val="false"/>
          <w:color w:val="000000"/>
          <w:sz w:val="20"/>
          <w:u w:val="single"/>
        </w:rPr>
        <w:t>Waivers</w:t>
      </w:r>
      <w:r>
        <w:rPr>
          <w:rFonts w:ascii="Times New Roman;sans-serif" w:hAnsi="Times New Roman;sans-serif"/>
          <w:b w:val="false"/>
          <w:color w:val="000000"/>
          <w:sz w:val="20"/>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pStyle w:val="TextBody"/>
        <w:bidi w:val="0"/>
        <w:spacing w:lineRule="auto" w:line="240" w:before="0" w:after="200"/>
        <w:jc w:val="both"/>
        <w:rPr/>
      </w:pPr>
      <w:r>
        <w:rPr>
          <w:rFonts w:ascii="Times New Roman;sans-serif" w:hAnsi="Times New Roman;sans-serif"/>
          <w:b w:val="false"/>
          <w:color w:val="000000"/>
          <w:sz w:val="20"/>
        </w:rPr>
        <w:t>15.            </w:t>
      </w:r>
      <w:r>
        <w:rPr>
          <w:rFonts w:ascii="Times New Roman;sans-serif" w:hAnsi="Times New Roman;sans-serif"/>
          <w:b w:val="false"/>
          <w:color w:val="000000"/>
          <w:sz w:val="20"/>
          <w:u w:val="single"/>
        </w:rPr>
        <w:t>Grant is Not Transferable</w:t>
      </w:r>
      <w:r>
        <w:rPr>
          <w:rFonts w:ascii="Times New Roman;sans-serif" w:hAnsi="Times New Roman;sans-serif"/>
          <w:b w:val="false"/>
          <w:color w:val="000000"/>
          <w:sz w:val="20"/>
        </w:rPr>
        <w:t>. Except to the limited extent provided in Section 6, the unvested Restricted Stock Units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Restricted Stock Units subject to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lineRule="auto" w:line="240" w:before="0" w:after="200"/>
        <w:jc w:val="both"/>
        <w:rPr/>
      </w:pPr>
      <w:r>
        <w:rPr>
          <w:rFonts w:ascii="Times New Roman;sans-serif" w:hAnsi="Times New Roman;sans-serif"/>
          <w:b w:val="false"/>
          <w:color w:val="000000"/>
          <w:sz w:val="20"/>
        </w:rPr>
        <w:t>16.            </w:t>
      </w:r>
      <w:r>
        <w:rPr>
          <w:rFonts w:ascii="Times New Roman;sans-serif" w:hAnsi="Times New Roman;sans-serif"/>
          <w:b w:val="false"/>
          <w:color w:val="000000"/>
          <w:sz w:val="20"/>
          <w:u w:val="single"/>
        </w:rPr>
        <w:t>Bindin</w:t>
      </w:r>
      <w:r>
        <w:rPr>
          <w:rFonts w:ascii="Times New Roman;sans-serif" w:hAnsi="Times New Roman;sans-serif"/>
          <w:b w:val="false"/>
          <w:color w:val="000000"/>
          <w:sz w:val="20"/>
        </w:rPr>
        <w:t>g</w:t>
      </w:r>
      <w:r>
        <w:rPr>
          <w:color w:val="000000"/>
          <w:u w:val="single"/>
        </w:rPr>
        <w:t xml:space="preserve"> </w:t>
      </w:r>
      <w:r>
        <w:rPr>
          <w:rFonts w:ascii="Times New Roman;sans-serif" w:hAnsi="Times New Roman;sans-serif"/>
          <w:b w:val="false"/>
          <w:color w:val="000000"/>
          <w:sz w:val="20"/>
          <w:u w:val="single"/>
        </w:rPr>
        <w:t>Agreement</w:t>
      </w:r>
      <w:r>
        <w:rPr>
          <w:rFonts w:ascii="Times New Roman;sans-serif" w:hAnsi="Times New Roman;sans-serif"/>
          <w:b w:val="false"/>
          <w:color w:val="000000"/>
          <w:sz w:val="20"/>
        </w:rPr>
        <w:t>. Subject to the limitation on the transferability of this grant contained herein, this Award Agreement will be binding upon and inure to the benefit of the heirs, legatees, legal representatives, successors and assigns of the parties hereto (provided that neither the Restricted Stock Units nor this Award Agreement may be assigned by Participant).</w:t>
      </w:r>
    </w:p>
    <w:p>
      <w:pPr>
        <w:pStyle w:val="TextBody"/>
        <w:bidi w:val="0"/>
        <w:spacing w:lineRule="auto" w:line="240" w:before="0" w:after="200"/>
        <w:jc w:val="both"/>
        <w:rPr/>
      </w:pPr>
      <w:r>
        <w:rPr>
          <w:rFonts w:ascii="Times New Roman;sans-serif" w:hAnsi="Times New Roman;sans-serif"/>
          <w:b w:val="false"/>
          <w:color w:val="000000"/>
          <w:sz w:val="20"/>
        </w:rPr>
        <w:t>17.         </w:t>
      </w:r>
      <w:r>
        <w:rPr>
          <w:rFonts w:ascii="Times New Roman;sans-serif" w:hAnsi="Times New Roman;sans-serif"/>
          <w:b w:val="false"/>
          <w:color w:val="000000"/>
          <w:sz w:val="20"/>
          <w:u w:val="single"/>
        </w:rPr>
        <w:t>Additional Conditions</w:t>
      </w:r>
      <w:r>
        <w:rPr>
          <w:rFonts w:ascii="Times New Roman;sans-serif" w:hAnsi="Times New Roman;sans-serif"/>
          <w:b w:val="false"/>
          <w:color w:val="000000"/>
          <w:sz w:val="20"/>
        </w:rPr>
        <w:t xml:space="preserve">. The Company will not be required to issue any certificate or certificates (or evidence of book entry) for Shares hereunder prior to fulfillment of all the following conditions: (a) 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 clearance from any U.S. or non-U.S. governmental agency, which the Administrator, in its absolute discretion, determines to be necessary or advisable; and (d) the lapse of such reasonable period of time following the date of grant of the Restricted Stock Units as the Administrator may establish from time to time for reasons of administrative convenience. Participant understands that the Company is under no obligation to register or qualify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55650"/>
                <wp:effectExtent l="0" t="0" r="0" b="0"/>
                <wp:wrapNone/>
                <wp:docPr id="117" name="Frame116"/>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subject to the Restricted Stock Units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 In addition, Participant acknowledges and agrees that the Award is subject to all legal requirements and stock exchange listing rules as currently in effect and as revised from time to time.</w:t>
      </w:r>
    </w:p>
    <w:p>
      <w:pPr>
        <w:pStyle w:val="TextBody"/>
        <w:bidi w:val="0"/>
        <w:spacing w:lineRule="auto" w:line="240" w:before="0" w:after="200"/>
        <w:jc w:val="both"/>
        <w:rPr/>
      </w:pPr>
      <w:r>
        <w:rPr>
          <w:rFonts w:ascii="Times New Roman;sans-serif" w:hAnsi="Times New Roman;sans-serif"/>
          <w:b w:val="false"/>
          <w:color w:val="000000"/>
          <w:sz w:val="20"/>
        </w:rPr>
        <w:t>18.            </w:t>
      </w:r>
      <w:r>
        <w:rPr>
          <w:rFonts w:ascii="Times New Roman;sans-serif" w:hAnsi="Times New Roman;sans-serif"/>
          <w:b w:val="false"/>
          <w:color w:val="000000"/>
          <w:sz w:val="20"/>
          <w:u w:val="single"/>
        </w:rPr>
        <w:t>Administrator Authorit</w:t>
      </w:r>
      <w:r>
        <w:rPr>
          <w:rFonts w:ascii="Times New Roman;sans-serif" w:hAnsi="Times New Roman;sans-serif"/>
          <w:b w:val="false"/>
          <w:color w:val="000000"/>
          <w:sz w:val="20"/>
        </w:rPr>
        <w:t>y.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lineRule="auto" w:line="240" w:before="0" w:after="200"/>
        <w:jc w:val="both"/>
        <w:rPr/>
      </w:pPr>
      <w:r>
        <w:rPr>
          <w:rFonts w:ascii="Times New Roman;sans-serif" w:hAnsi="Times New Roman;sans-serif"/>
          <w:b w:val="false"/>
          <w:color w:val="000000"/>
          <w:sz w:val="20"/>
        </w:rPr>
        <w:t>19.            </w:t>
      </w:r>
      <w:r>
        <w:rPr>
          <w:rFonts w:ascii="Times New Roman;sans-serif" w:hAnsi="Times New Roman;sans-serif"/>
          <w:b w:val="false"/>
          <w:color w:val="000000"/>
          <w:sz w:val="20"/>
          <w:u w:val="single"/>
        </w:rPr>
        <w:t>Electronic Deliver</w:t>
      </w:r>
      <w:r>
        <w:rPr>
          <w:rFonts w:ascii="Times New Roman;sans-serif" w:hAnsi="Times New Roman;sans-serif"/>
          <w:b w:val="false"/>
          <w:color w:val="000000"/>
          <w:sz w:val="20"/>
        </w:rPr>
        <w:t>y</w:t>
      </w:r>
      <w:r>
        <w:rPr>
          <w:color w:val="000000"/>
          <w:u w:val="single"/>
        </w:rPr>
        <w:t xml:space="preserve"> </w:t>
      </w:r>
      <w:r>
        <w:rPr>
          <w:rFonts w:ascii="Times New Roman;sans-serif" w:hAnsi="Times New Roman;sans-serif"/>
          <w:b w:val="false"/>
          <w:color w:val="000000"/>
          <w:sz w:val="20"/>
          <w:u w:val="single"/>
        </w:rPr>
        <w:t>and Acceptance</w:t>
      </w:r>
      <w:r>
        <w:rPr>
          <w:rFonts w:ascii="Times New Roman;sans-serif" w:hAnsi="Times New Roman;sans-serif"/>
          <w:b w:val="false"/>
          <w:color w:val="000000"/>
          <w:sz w:val="20"/>
        </w:rPr>
        <w:t>. The Company may, in its sole discretion, decide to deliver any documents related to the Restricted Stock Units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40" w:before="0" w:after="200"/>
        <w:jc w:val="both"/>
        <w:rPr/>
      </w:pPr>
      <w:r>
        <w:rPr>
          <w:rFonts w:ascii="Times New Roman;sans-serif" w:hAnsi="Times New Roman;sans-serif"/>
          <w:b w:val="false"/>
          <w:color w:val="000000"/>
          <w:sz w:val="20"/>
        </w:rPr>
        <w:t>20.        </w:t>
      </w:r>
      <w:r>
        <w:rPr>
          <w:rFonts w:ascii="Times New Roman;sans-serif" w:hAnsi="Times New Roman;sans-serif"/>
          <w:b w:val="false"/>
          <w:color w:val="000000"/>
          <w:sz w:val="20"/>
          <w:u w:val="single"/>
        </w:rPr>
        <w:t>Captions</w:t>
      </w:r>
      <w:r>
        <w:rPr>
          <w:rFonts w:ascii="Times New Roman;sans-serif" w:hAnsi="Times New Roman;sans-serif"/>
          <w:b w:val="false"/>
          <w:color w:val="000000"/>
          <w:sz w:val="20"/>
        </w:rPr>
        <w:t>. Captions provided herein are for convenience only and are not to serve as a basis for interpretation or construction of this Award Agreement.</w:t>
      </w:r>
    </w:p>
    <w:p>
      <w:pPr>
        <w:pStyle w:val="TextBody"/>
        <w:bidi w:val="0"/>
        <w:spacing w:lineRule="auto" w:line="240" w:before="0" w:after="200"/>
        <w:jc w:val="both"/>
        <w:rPr/>
      </w:pPr>
      <w:r>
        <w:rPr>
          <w:rFonts w:ascii="Times New Roman;sans-serif" w:hAnsi="Times New Roman;sans-serif"/>
          <w:b w:val="false"/>
          <w:color w:val="000000"/>
          <w:sz w:val="20"/>
        </w:rPr>
        <w:t>21.        </w:t>
      </w:r>
      <w:r>
        <w:rPr>
          <w:rFonts w:ascii="Times New Roman;sans-serif" w:hAnsi="Times New Roman;sans-serif"/>
          <w:b w:val="false"/>
          <w:color w:val="000000"/>
          <w:sz w:val="20"/>
          <w:u w:val="single"/>
        </w:rPr>
        <w:t>Agreement Severable</w:t>
      </w:r>
      <w:r>
        <w:rPr>
          <w:rFonts w:ascii="Times New Roman;sans-serif" w:hAnsi="Times New Roman;sans-serif"/>
          <w:b w:val="false"/>
          <w:color w:val="000000"/>
          <w:sz w:val="20"/>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pStyle w:val="TextBody"/>
        <w:bidi w:val="0"/>
        <w:spacing w:lineRule="auto" w:line="240" w:before="0" w:after="200"/>
        <w:jc w:val="both"/>
        <w:rPr/>
      </w:pPr>
      <w:r>
        <w:rPr>
          <w:rFonts w:ascii="Times New Roman;sans-serif" w:hAnsi="Times New Roman;sans-serif"/>
          <w:b w:val="false"/>
          <w:color w:val="000000"/>
          <w:sz w:val="20"/>
        </w:rPr>
        <w:t>22.        </w:t>
      </w:r>
      <w:r>
        <w:rPr>
          <w:rFonts w:ascii="Times New Roman;sans-serif" w:hAnsi="Times New Roman;sans-serif"/>
          <w:b w:val="false"/>
          <w:color w:val="000000"/>
          <w:sz w:val="20"/>
          <w:u w:val="single"/>
        </w:rPr>
        <w:t>Modifications to the Award A</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reement</w:t>
      </w:r>
      <w:r>
        <w:rPr>
          <w:rFonts w:ascii="Times New Roman;sans-serif" w:hAnsi="Times New Roman;sans-serif"/>
          <w:b w:val="false"/>
          <w:color w:val="000000"/>
          <w:sz w:val="20"/>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pStyle w:val="TextBody"/>
        <w:bidi w:val="0"/>
        <w:spacing w:lineRule="auto" w:line="240" w:before="0" w:after="200"/>
        <w:jc w:val="both"/>
        <w:rPr/>
      </w:pPr>
      <w:r>
        <w:rPr>
          <w:rFonts w:ascii="Times New Roman;sans-serif" w:hAnsi="Times New Roman;sans-serif"/>
          <w:b w:val="false"/>
          <w:color w:val="000000"/>
          <w:sz w:val="20"/>
        </w:rPr>
        <w:t>23.        </w:t>
      </w:r>
      <w:r>
        <w:rPr>
          <w:rFonts w:ascii="Times New Roman;sans-serif" w:hAnsi="Times New Roman;sans-serif"/>
          <w:b w:val="false"/>
          <w:color w:val="000000"/>
          <w:sz w:val="20"/>
          <w:u w:val="single"/>
        </w:rPr>
        <w:t>Code Section 409A</w:t>
      </w:r>
      <w:r>
        <w:rPr>
          <w:rFonts w:ascii="Times New Roman;sans-serif" w:hAnsi="Times New Roman;sans-serif"/>
          <w:b w:val="false"/>
          <w:color w:val="000000"/>
          <w:sz w:val="20"/>
        </w:rPr>
        <w:t>. The Award Agreement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 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 Participant or any other person in the event that the Plan or the Award Agreement is not exempt from, or compliant with, Code Section 409A.</w:t>
      </w:r>
    </w:p>
    <w:p>
      <w:pPr>
        <w:pStyle w:val="TextBody"/>
        <w:bidi w:val="0"/>
        <w:spacing w:lineRule="auto" w:line="240"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notwithstanding anything in this Award Agreement to the contrary, any Restricted Stock Units that become vested under this Agreement as of the date or at a time that is by reference to Participant’s termination as a Service Provider and that constitute an item of non-qualified deferred compensation subject to Code Section 409A shall not be settled unless Participant experiences a “separation from service” within the meaning of Code Section 409A (a “Separation from Service”); provided that if Participant is a “specified employee” within the meaning of Code Section 409A as of the date of the Separation from Service (as determined according to the methodology established by the Company as in effect on the date of Participant’s termination as a Service Provider), the Restricted Stock Units shall instead be settled on the first business day that is after the earlier of (i) the date that is six months following the date of the Separation from Service or (ii) the date of Participant’s death, to the extent such delayed payment is otherwise required in order to avoid a prohibited distribution under Section 409A(a)(2) of the Code, or any successor provision thereto.</w:t>
      </w:r>
    </w:p>
    <w:p>
      <w:pPr>
        <w:pStyle w:val="TextBody"/>
        <w:bidi w:val="0"/>
        <w:spacing w:lineRule="auto" w:line="240" w:before="0" w:after="200"/>
        <w:jc w:val="both"/>
        <w:rPr/>
      </w:pPr>
      <w:r>
        <w:rPr>
          <w:rFonts w:ascii="Times New Roman;sans-serif" w:hAnsi="Times New Roman;sans-serif"/>
          <w:b w:val="false"/>
          <w:color w:val="000000"/>
          <w:sz w:val="20"/>
        </w:rPr>
        <w:t>24.        </w:t>
      </w:r>
      <w:r>
        <w:rPr>
          <w:rFonts w:ascii="Times New Roman;sans-serif" w:hAnsi="Times New Roman;sans-serif"/>
          <w:b w:val="false"/>
          <w:color w:val="000000"/>
          <w:sz w:val="20"/>
          <w:u w:val="single"/>
        </w:rPr>
        <w:t>Effect of Plan</w:t>
      </w:r>
      <w:r>
        <w:rPr>
          <w:rFonts w:ascii="Times New Roman;sans-serif" w:hAnsi="Times New Roman;sans-serif"/>
          <w:b w:val="false"/>
          <w:color w:val="000000"/>
          <w:sz w:val="20"/>
        </w:rPr>
        <w:t>. By accepting the Restricted Stock Units, Participant expressly warrants that he or she has received an Award of Restricted Stock Units under the Plan, and has received, read and understands the Plan. Participant understands that the Plan is discretionary in nature and may be amended, suspended or terminated by the Company at any time, to the extent permitted by the Plan.</w:t>
      </w:r>
    </w:p>
    <w:p>
      <w:pPr>
        <w:pStyle w:val="TextBody"/>
        <w:bidi w:val="0"/>
        <w:spacing w:lineRule="auto" w:line="240" w:before="0" w:after="200"/>
        <w:jc w:val="both"/>
        <w:rPr/>
      </w:pPr>
      <w:r>
        <w:rPr>
          <w:rFonts w:ascii="Times New Roman;sans-serif" w:hAnsi="Times New Roman;sans-serif"/>
          <w:b w:val="false"/>
          <w:color w:val="000000"/>
          <w:sz w:val="20"/>
        </w:rPr>
        <w:t>25.        </w:t>
      </w:r>
      <w:r>
        <w:rPr>
          <w:rFonts w:ascii="Times New Roman;sans-serif" w:hAnsi="Times New Roman;sans-serif"/>
          <w:b w:val="false"/>
          <w:color w:val="000000"/>
          <w:sz w:val="20"/>
          <w:u w:val="single"/>
        </w:rPr>
        <w:t>Governing Law; Venue</w:t>
      </w:r>
      <w:r>
        <w:rPr>
          <w:rFonts w:ascii="Times New Roman;sans-serif" w:hAnsi="Times New Roman;sans-serif"/>
          <w:b w:val="false"/>
          <w:color w:val="000000"/>
          <w:sz w:val="20"/>
        </w:rPr>
        <w:t xml:space="preserve">. This Award Agreement will be governed by the laws of the State of Delaware, without giving effect to the conflict of law principles thereof. For purposes of litigating any dispute that arises under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55650"/>
                <wp:effectExtent l="0" t="0" r="0" b="0"/>
                <wp:wrapNone/>
                <wp:docPr id="118" name="Frame117"/>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Award or this Award Agreement, the parties hereby submit to and consent to the exclusive jurisdiction of the State of Arizona and agree that such litigation will be conducted solely in the courts of Maricopa County, Arizona, or the federal courts for the United States for the District of Arizona in Maricopa County, Arizona, and no other courts.</w:t>
      </w:r>
    </w:p>
    <w:p>
      <w:pPr>
        <w:pStyle w:val="TextBody"/>
        <w:bidi w:val="0"/>
        <w:spacing w:lineRule="auto" w:line="240" w:before="0" w:after="200"/>
        <w:jc w:val="both"/>
        <w:rPr/>
      </w:pPr>
      <w:r>
        <w:rPr>
          <w:rFonts w:ascii="Times New Roman;sans-serif" w:hAnsi="Times New Roman;sans-serif"/>
          <w:b w:val="false"/>
          <w:color w:val="000000"/>
          <w:sz w:val="20"/>
        </w:rPr>
        <w:t>26.        </w:t>
      </w:r>
      <w:r>
        <w:rPr>
          <w:rFonts w:ascii="Times New Roman;sans-serif" w:hAnsi="Times New Roman;sans-serif"/>
          <w:b w:val="false"/>
          <w:color w:val="000000"/>
          <w:sz w:val="20"/>
          <w:u w:val="single"/>
        </w:rPr>
        <w:t>Insider Tradin</w:t>
      </w:r>
      <w:r>
        <w:rPr>
          <w:rFonts w:ascii="Times New Roman;sans-serif" w:hAnsi="Times New Roman;sans-serif"/>
          <w:b w:val="false"/>
          <w:color w:val="000000"/>
          <w:sz w:val="20"/>
        </w:rPr>
        <w:t>g</w:t>
      </w:r>
      <w:r>
        <w:rPr>
          <w:color w:val="000000"/>
          <w:u w:val="single"/>
        </w:rPr>
        <w:t xml:space="preserve"> </w:t>
      </w:r>
      <w:r>
        <w:rPr>
          <w:rFonts w:ascii="Times New Roman;sans-serif" w:hAnsi="Times New Roman;sans-serif"/>
          <w:b w:val="false"/>
          <w:color w:val="000000"/>
          <w:sz w:val="20"/>
          <w:u w:val="single"/>
        </w:rPr>
        <w:t>Restrictions/Market Abuse Laws</w:t>
      </w:r>
      <w:r>
        <w:rPr>
          <w:rFonts w:ascii="Times New Roman;sans-serif" w:hAnsi="Times New Roman;sans-serif"/>
          <w:b w:val="false"/>
          <w:color w:val="000000"/>
          <w:sz w:val="20"/>
        </w:rPr>
        <w:t>. By accepting the Restricted Stock Units,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pStyle w:val="TextBody"/>
        <w:bidi w:val="0"/>
        <w:spacing w:lineRule="auto" w:line="240" w:before="0" w:after="200"/>
        <w:jc w:val="both"/>
        <w:rPr/>
      </w:pPr>
      <w:r>
        <w:rPr>
          <w:rFonts w:ascii="Times New Roman;sans-serif" w:hAnsi="Times New Roman;sans-serif"/>
          <w:b w:val="false"/>
          <w:color w:val="000000"/>
          <w:sz w:val="20"/>
        </w:rPr>
        <w:t>27.    </w:t>
      </w:r>
      <w:r>
        <w:rPr>
          <w:rFonts w:ascii="Times New Roman;sans-serif" w:hAnsi="Times New Roman;sans-serif"/>
          <w:b w:val="false"/>
          <w:color w:val="000000"/>
          <w:sz w:val="20"/>
          <w:u w:val="single"/>
        </w:rPr>
        <w:t>Agreement</w:t>
      </w:r>
      <w:r>
        <w:rPr>
          <w:rFonts w:ascii="Times New Roman;sans-serif" w:hAnsi="Times New Roman;sans-serif"/>
          <w:b w:val="false"/>
          <w:color w:val="000000"/>
          <w:sz w:val="20"/>
        </w:rPr>
        <w:t>. Participant’s acceptance of the Restricted Stock Units by signing below or by otherwise accepting the Restricted Stock Units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Units unless Participant has signed this Award Agreement or otherwise accepted the Restricted Stock Units following such procedures as established by the Company (including an online acceptance process).</w:t>
      </w:r>
    </w:p>
    <w:p>
      <w:pPr>
        <w:pStyle w:val="TextBody"/>
        <w:bidi w:val="0"/>
        <w:spacing w:lineRule="auto" w:line="240" w:before="0" w:after="200"/>
        <w:jc w:val="both"/>
        <w:rPr>
          <w:rFonts w:ascii="Times New Roman;sans-serif" w:hAnsi="Times New Roman;sans-serif"/>
          <w:b/>
          <w:color w:val="000000"/>
          <w:sz w:val="20"/>
        </w:rPr>
      </w:pPr>
      <w:r>
        <w:rPr>
          <w:rFonts w:ascii="Times New Roman;sans-serif" w:hAnsi="Times New Roman;sans-serif"/>
          <w:b/>
          <w:color w:val="000000"/>
          <w:sz w:val="20"/>
        </w:rPr>
        <w:t>PARTICIPANT    AMKOR TECHNOLOGY, INC.</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Signature: __________________________    By: ________________________________</w:t>
      </w:r>
    </w:p>
    <w:p>
      <w:pPr>
        <w:pStyle w:val="TextBody"/>
        <w:bidi w:val="0"/>
        <w:spacing w:before="0" w:after="0"/>
        <w:jc w:val="both"/>
        <w:rPr/>
      </w:pPr>
      <w:r>
        <w:rPr/>
      </w:r>
    </w:p>
    <w:p>
      <w:pPr>
        <w:pStyle w:val="TextBody"/>
        <w:bidi w:val="0"/>
        <w:spacing w:lineRule="auto" w:line="4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Print Name:    Title: </w:t>
      </w:r>
    </w:p>
    <w:p>
      <w:pPr>
        <w:pStyle w:val="TextBody"/>
        <w:bidi w:val="0"/>
        <w:spacing w:lineRule="auto" w:line="4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55650"/>
                <wp:effectExtent l="0" t="0" r="0" b="0"/>
                <wp:wrapNone/>
                <wp:docPr id="119" name="Frame118"/>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APPENDIX B TO </w:t>
        <w:br/>
        <w:t xml:space="preserve">AMKOR TECHNOLOGY, INC. </w:t>
        <w:br/>
        <w:t xml:space="preserve">2021 EQUITY INCENTIVE PLAN </w:t>
        <w:br/>
        <w:t>GLOBAL PERFORMANCE-VESTED RESTRICTED STOCK UNIT AWARD AGREEMENT</w:t>
      </w:r>
    </w:p>
    <w:p>
      <w:pPr>
        <w:pStyle w:val="TextBody"/>
        <w:bidi w:val="0"/>
        <w:spacing w:lineRule="auto" w:line="288" w:before="224"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terms used but not defined in this Appendix B shall have the same meanings assigned to them in the Plan and/or the Global Performance-Vested Restricted Stock Unit Award Agreement.</w:t>
      </w:r>
    </w:p>
    <w:p>
      <w:pPr>
        <w:pStyle w:val="TextBody"/>
        <w:bidi w:val="0"/>
        <w:spacing w:lineRule="auto" w:line="276" w:before="332" w:after="283"/>
        <w:jc w:val="both"/>
        <w:rPr>
          <w:rFonts w:ascii="Times New Roman;sans-serif" w:hAnsi="Times New Roman;sans-serif"/>
          <w:b/>
          <w:i/>
          <w:color w:val="000000"/>
          <w:sz w:val="20"/>
        </w:rPr>
      </w:pPr>
      <w:r>
        <w:rPr>
          <w:rFonts w:ascii="Times New Roman;sans-serif" w:hAnsi="Times New Roman;sans-serif"/>
          <w:b/>
          <w:i/>
          <w:color w:val="000000"/>
          <w:sz w:val="20"/>
        </w:rPr>
        <w:t>Terms and Conditions</w:t>
      </w:r>
    </w:p>
    <w:p>
      <w:pPr>
        <w:pStyle w:val="TextBody"/>
        <w:bidi w:val="0"/>
        <w:spacing w:lineRule="auto" w:line="288" w:before="109"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Appendix B includes general terms and conditions for all non-U.S. Participants and additional terms and conditions that govern the Restricted Stock Units if Participant works and/or resides in one of the countries listed below. 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Company will, in its discretion, determine the extent to which the terms and conditions contained herein will apply to Participant.</w:t>
      </w:r>
    </w:p>
    <w:p>
      <w:pPr>
        <w:pStyle w:val="TextBody"/>
        <w:bidi w:val="0"/>
        <w:spacing w:lineRule="auto" w:line="276" w:before="332" w:after="283"/>
        <w:jc w:val="both"/>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lineRule="auto" w:line="288" w:before="104"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Appendix B also includes information regarding certain other issues of which Participant should be aware with respect to Participant’s participation in the Plan. The information is based on the securities, exchange control and other laws in effect in the respective countries as of March 2021.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Units vest or Participant sells any Shares acquired under the Plan.</w:t>
      </w:r>
    </w:p>
    <w:p>
      <w:pPr>
        <w:pStyle w:val="TextBody"/>
        <w:bidi w:val="0"/>
        <w:spacing w:lineRule="auto" w:line="288" w:before="216"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pStyle w:val="TextBody"/>
        <w:bidi w:val="0"/>
        <w:spacing w:lineRule="auto" w:line="288" w:before="216"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information contained in this Appendix B may not be applicable to Participant in the same manner.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80390"/>
                <wp:effectExtent l="0" t="0" r="0" b="0"/>
                <wp:wrapNone/>
                <wp:docPr id="120" name="Frame119"/>
                <a:graphic xmlns:a="http://schemas.openxmlformats.org/drawingml/2006/main">
                  <a:graphicData uri="http://schemas.microsoft.com/office/word/2010/wordprocessingShape">
                    <wps:wsp>
                      <wps:cNvSpPr txBox="1"/>
                      <wps:spPr>
                        <a:xfrm>
                          <a:off x="0" y="0"/>
                          <a:ext cx="6480175" cy="5803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GENERAL TERMS AND CONDITIONS APPLICABLE TO ALL NON-U.S. PARTICIPANTS</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Data Privacy Information and Consent. </w:t>
      </w:r>
    </w:p>
    <w:p>
      <w:pPr>
        <w:pStyle w:val="TextBody"/>
        <w:bidi w:val="0"/>
        <w:spacing w:lineRule="auto" w:line="288" w:before="210" w:after="283"/>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Data Collection and Usa</w:t>
      </w:r>
      <w:r>
        <w:rPr>
          <w:rFonts w:ascii="Times New Roman;sans-serif" w:hAnsi="Times New Roman;sans-serif"/>
          <w:b w:val="false"/>
          <w:color w:val="000000"/>
          <w:sz w:val="20"/>
        </w:rPr>
        <w:t>ge. The Company and the Service Recipient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pStyle w:val="TextBody"/>
        <w:bidi w:val="0"/>
        <w:spacing w:lineRule="auto" w:line="288" w:before="216" w:after="283"/>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Stock Plan Administration Service Providers</w:t>
      </w:r>
      <w:r>
        <w:rPr>
          <w:rFonts w:ascii="Times New Roman;sans-serif" w:hAnsi="Times New Roman;sans-serif"/>
          <w:b w:val="false"/>
          <w:color w:val="000000"/>
          <w:sz w:val="20"/>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pStyle w:val="TextBody"/>
        <w:bidi w:val="0"/>
        <w:spacing w:lineRule="auto" w:line="288" w:before="216" w:after="283"/>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International Data Transfers</w:t>
      </w:r>
      <w:r>
        <w:rPr>
          <w:rFonts w:ascii="Times New Roman;sans-serif" w:hAnsi="Times New Roman;sans-serif"/>
          <w:b w:val="false"/>
          <w:color w:val="000000"/>
          <w:sz w:val="20"/>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pStyle w:val="TextBody"/>
        <w:bidi w:val="0"/>
        <w:spacing w:lineRule="auto" w:line="288" w:before="216" w:after="283"/>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Data Retention</w:t>
      </w:r>
      <w:r>
        <w:rPr>
          <w:rFonts w:ascii="Times New Roman;sans-serif" w:hAnsi="Times New Roman;sans-serif"/>
          <w:b w:val="false"/>
          <w:color w:val="000000"/>
          <w:sz w:val="20"/>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and/or the Service Recipient no longer need Data for any of the above purposes, they will cease processing it in this context and remove it from all of their systems used for such purposes to the fullest extent practicable.</w:t>
      </w:r>
    </w:p>
    <w:p>
      <w:pPr>
        <w:pStyle w:val="TextBody"/>
        <w:bidi w:val="0"/>
        <w:spacing w:lineRule="auto" w:line="288" w:before="216" w:after="283"/>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Voluntariness and Conse</w:t>
      </w:r>
      <w:r>
        <w:rPr>
          <w:rFonts w:ascii="Times New Roman;sans-serif" w:hAnsi="Times New Roman;sans-serif"/>
          <w:b w:val="false"/>
          <w:color w:val="000000"/>
          <w:sz w:val="20"/>
        </w:rPr>
        <w:t>q</w:t>
      </w:r>
      <w:r>
        <w:rPr>
          <w:rFonts w:ascii="Times New Roman;sans-serif" w:hAnsi="Times New Roman;sans-serif"/>
          <w:b w:val="false"/>
          <w:color w:val="000000"/>
          <w:sz w:val="20"/>
          <w:u w:val="single"/>
        </w:rPr>
        <w:t>uences of Consent Denial or Withdrawal</w:t>
      </w:r>
      <w:r>
        <w:rPr>
          <w:rFonts w:ascii="Times New Roman;sans-serif" w:hAnsi="Times New Roman;sans-serif"/>
          <w:b w:val="false"/>
          <w:color w:val="000000"/>
          <w:sz w:val="20"/>
        </w:rPr>
        <w:t>. Participation in the Plan is voluntary and Participant is providing the consents herein on a purely voluntary basis. If Participant does not consent, or if Participant later seeks to revoke his or her consent, Participant’s salary from or employment or service with the Service Recipient will not be affected; the only consequence of refusing or withdrawing consent is that the Company would not be able to grant the Restricted Stock Units or other equity awards to Participant under the Plan or administer or maintain such awards.</w:t>
      </w:r>
    </w:p>
    <w:p>
      <w:pPr>
        <w:pStyle w:val="TextBody"/>
        <w:bidi w:val="0"/>
        <w:spacing w:lineRule="auto" w:line="288" w:before="211" w:after="283"/>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Data Sub</w:t>
      </w:r>
      <w:r>
        <w:rPr>
          <w:rFonts w:ascii="Times New Roman;sans-serif" w:hAnsi="Times New Roman;sans-serif"/>
          <w:b w:val="false"/>
          <w:color w:val="000000"/>
          <w:sz w:val="20"/>
        </w:rPr>
        <w:t>j</w:t>
      </w:r>
      <w:r>
        <w:rPr>
          <w:rFonts w:ascii="Times New Roman;sans-serif" w:hAnsi="Times New Roman;sans-serif"/>
          <w:b w:val="false"/>
          <w:color w:val="000000"/>
          <w:sz w:val="20"/>
          <w:u w:val="single"/>
        </w:rPr>
        <w:t>ect Ri</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hts.</w:t>
      </w:r>
      <w:r>
        <w:rPr>
          <w:color w:val="000000"/>
        </w:rPr>
        <w:t xml:space="preserve"> </w:t>
      </w:r>
      <w:r>
        <w:rPr>
          <w:rFonts w:ascii="Times New Roman;sans-serif" w:hAnsi="Times New Roman;sans-serif"/>
          <w:b w:val="false"/>
          <w:color w:val="000000"/>
          <w:sz w:val="20"/>
        </w:rPr>
        <w:t>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pStyle w:val="TextBody"/>
        <w:bidi w:val="0"/>
        <w:spacing w:lineRule="auto" w:line="288" w:before="216" w:after="283"/>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Other Le</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al Basis and Additional Consent</w:t>
      </w:r>
      <w:r>
        <w:rPr>
          <w:rFonts w:ascii="Times New Roman;sans-serif" w:hAnsi="Times New Roman;sans-serif"/>
          <w:b w:val="false"/>
          <w:color w:val="000000"/>
          <w:sz w:val="20"/>
        </w:rPr>
        <w:t>. Participant understands that the Company may rely on a different legal basis for the collection, processing or transfer of Data in the future and/or request Participant to provide another data privacy consent. If applicable, upon request of the Company or the Service Recipient, Participant will provide a separate executed data privacy agreement (or any other agreements or consents) that the Company and/or the Service Recipient may deem necessary to obtain from Participant for the purpose of 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 and/or the Service Recipient.</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80390"/>
                <wp:effectExtent l="0" t="0" r="0" b="0"/>
                <wp:wrapNone/>
                <wp:docPr id="121" name="Frame120"/>
                <a:graphic xmlns:a="http://schemas.openxmlformats.org/drawingml/2006/main">
                  <a:graphicData uri="http://schemas.microsoft.com/office/word/2010/wordprocessingShape">
                    <wps:wsp>
                      <wps:cNvSpPr txBox="1"/>
                      <wps:spPr>
                        <a:xfrm>
                          <a:off x="0" y="0"/>
                          <a:ext cx="6480175" cy="5803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0" w:after="200"/>
        <w:jc w:val="both"/>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Nature of Grant</w:t>
      </w:r>
      <w:r>
        <w:rPr>
          <w:rFonts w:ascii="Times New Roman;sans-serif" w:hAnsi="Times New Roman;sans-serif"/>
          <w:b w:val="false"/>
          <w:color w:val="000000"/>
          <w:sz w:val="20"/>
        </w:rPr>
        <w:t>. By accepting the Restricted Stock Units, Participant acknowledges, understands, and agrees that:</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all decisions with respect to future restricted stock unit or other grants, if any, will be at the sole discretion of the Company;</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Participant is voluntarily participating in the Plan;</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Restricted Stock Units and any Shares subject to the Restricted Stock Units, and the income from and value of same, are not intended to replace any pension rights or compensation;</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unless otherwise agreed with the Company, the Restricted Stock Units and the Shares subject to the Restricted Stock Units, and the income from and value of same, are not granted as consideration for, or in connection with, the service Participant may provide as a director of a Subsidiary;</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the Restricted Stock Units and any Shares subject to the Restricted Stock Units, and the income from and value of same, are not part of normal or expected compensation for any purpose, including, without limitation to, calculating any severance, resignation, termination, redundancy, dismissal, end-of-service payments, bonuses, long-service awards, holiday pay, pension or retirement or welfare benefits or similar mandatory</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payments;</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 future value of the Shares underlying the Restricted Stock Units is unknown, indeterminable, and cannot be predicted with certainty;</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no claim or entitlement to compensation or damages shall arise from forfeiture of the Restricted Stock Units resulting from the termination of Participant’s status as a Service Provider (for any reason whatsoever, whether or not later found to be invalid or in breach of labor laws in the jurisdiction where the Participant is providing service or the terms of the Participant’s employment or other service agreement, if any);</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0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neither the Company, the Service Recipient nor any other Subsidiary shall be liable for any foreign exchange rate fluctuation between Participant’s local currency and the U.S. dollar that may affect the value of the Restricted Stock Units or of any amounts due to Participant pursuant to the Restricted Stock or the subsequent sale of any Shares subject to the Restricted Stock Units.</w:t>
      </w:r>
    </w:p>
    <w:p>
      <w:pPr>
        <w:pStyle w:val="TextBody"/>
        <w:bidi w:val="0"/>
        <w:spacing w:lineRule="auto" w:line="240" w:before="0" w:after="200"/>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Language</w:t>
      </w:r>
      <w:r>
        <w:rPr>
          <w:rFonts w:ascii="Times New Roman;sans-serif" w:hAnsi="Times New Roman;sans-serif"/>
          <w:b w:val="false"/>
          <w:color w:val="000000"/>
          <w:sz w:val="20"/>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Units and/or the Plan translated into a language other than English and if the meaning of the translated version is different than the English version, the English version will control.</w:t>
      </w:r>
    </w:p>
    <w:p>
      <w:pPr>
        <w:pStyle w:val="TextBody"/>
        <w:bidi w:val="0"/>
        <w:spacing w:lineRule="auto" w:line="240" w:before="0" w:after="200"/>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Foreign Asset/Account, Exchange Control and Tax Reporting</w:t>
      </w:r>
      <w:r>
        <w:rPr>
          <w:rFonts w:ascii="Times New Roman;sans-serif" w:hAnsi="Times New Roman;sans-serif"/>
          <w:b w:val="false"/>
          <w:color w:val="000000"/>
          <w:sz w:val="20"/>
        </w:rPr>
        <w:t>. Participant may be subject to foreign asset/account, exchange control, tax reporting or other requirements which may affect Participant’s ability acquire or hold Restricted Stock Units, Shares or cash received from participating in the Plan (including dividends and the proceeds arising from the sale of Shares) in a brokerage/bank account outside Participant’s country. The applicable laws of Participant’s country may require that he or she report such Restricted Stock Units,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80390"/>
                <wp:effectExtent l="0" t="0" r="0" b="0"/>
                <wp:wrapNone/>
                <wp:docPr id="122" name="Frame121"/>
                <a:graphic xmlns:a="http://schemas.openxmlformats.org/drawingml/2006/main">
                  <a:graphicData uri="http://schemas.microsoft.com/office/word/2010/wordprocessingShape">
                    <wps:wsp>
                      <wps:cNvSpPr txBox="1"/>
                      <wps:spPr>
                        <a:xfrm>
                          <a:off x="0" y="0"/>
                          <a:ext cx="6480175" cy="5803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40" w:before="0" w:after="200"/>
        <w:jc w:val="both"/>
        <w:rPr>
          <w:rFonts w:ascii="Times New Roman;sans-serif" w:hAnsi="Times New Roman;sans-serif"/>
          <w:b/>
          <w:color w:val="000000"/>
          <w:sz w:val="20"/>
          <w:u w:val="single"/>
        </w:rPr>
      </w:pPr>
      <w:r>
        <w:rPr>
          <w:rFonts w:ascii="Times New Roman;sans-serif" w:hAnsi="Times New Roman;sans-serif"/>
          <w:b/>
          <w:color w:val="000000"/>
          <w:sz w:val="20"/>
          <w:u w:val="single"/>
        </w:rPr>
        <w:t>ADDITIONAL TERMS AND CONDITIONS FOR CERTAIN COUNTRIES</w:t>
      </w:r>
    </w:p>
    <w:p>
      <w:pPr>
        <w:pStyle w:val="TextBody"/>
        <w:bidi w:val="0"/>
        <w:spacing w:lineRule="auto" w:line="240" w:before="0" w:after="20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KOREA </w:t>
      </w:r>
    </w:p>
    <w:p>
      <w:pPr>
        <w:pStyle w:val="TextBody"/>
        <w:bidi w:val="0"/>
        <w:spacing w:lineRule="auto" w:line="240" w:before="0" w:after="200"/>
        <w:jc w:val="both"/>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lineRule="auto" w:line="240" w:before="0" w:after="200"/>
        <w:jc w:val="both"/>
        <w:rPr/>
      </w:pPr>
      <w:r>
        <w:rPr>
          <w:rFonts w:ascii="Times New Roman;sans-serif" w:hAnsi="Times New Roman;sans-serif"/>
          <w:b w:val="false"/>
          <w:color w:val="000000"/>
          <w:sz w:val="20"/>
          <w:u w:val="single"/>
        </w:rPr>
        <w:t>Forei</w:t>
      </w:r>
      <w:r>
        <w:rPr>
          <w:rFonts w:ascii="Times New Roman;sans-serif" w:hAnsi="Times New Roman;sans-serif"/>
          <w:b w:val="false"/>
          <w:color w:val="000000"/>
          <w:sz w:val="20"/>
        </w:rPr>
        <w:t>g</w:t>
      </w:r>
      <w:r>
        <w:rPr>
          <w:rFonts w:ascii="Times New Roman;sans-serif" w:hAnsi="Times New Roman;sans-serif"/>
          <w:b w:val="false"/>
          <w:color w:val="000000"/>
          <w:sz w:val="20"/>
          <w:u w:val="single"/>
        </w:rPr>
        <w:t>n Asset/Account Reportin</w:t>
      </w:r>
      <w:r>
        <w:rPr>
          <w:rFonts w:ascii="Times New Roman;sans-serif" w:hAnsi="Times New Roman;sans-serif"/>
          <w:b w:val="false"/>
          <w:color w:val="000000"/>
          <w:sz w:val="20"/>
        </w:rPr>
        <w:t>g</w:t>
      </w:r>
      <w:r>
        <w:rPr>
          <w:color w:val="000000"/>
          <w:u w:val="single"/>
        </w:rPr>
        <w:t xml:space="preserve"> </w:t>
      </w:r>
      <w:r>
        <w:rPr>
          <w:rFonts w:ascii="Times New Roman;sans-serif" w:hAnsi="Times New Roman;sans-serif"/>
          <w:b w:val="false"/>
          <w:color w:val="000000"/>
          <w:sz w:val="20"/>
          <w:u w:val="single"/>
        </w:rPr>
        <w:t>Information</w:t>
      </w:r>
      <w:r>
        <w:rPr>
          <w:rFonts w:ascii="Times New Roman;sans-serif" w:hAnsi="Times New Roman;sans-serif"/>
          <w:b w:val="false"/>
          <w:color w:val="000000"/>
          <w:sz w:val="20"/>
        </w:rPr>
        <w:t>. Korean residents must declare all foreign financial accounts (</w:t>
      </w:r>
      <w:r>
        <w:rPr>
          <w:rFonts w:ascii="Times New Roman;sans-serif" w:hAnsi="Times New Roman;sans-serif"/>
          <w:b w:val="false"/>
          <w:i/>
          <w:color w:val="000000"/>
          <w:sz w:val="20"/>
        </w:rPr>
        <w:t xml:space="preserve">e.g., </w:t>
      </w:r>
      <w:r>
        <w:rPr>
          <w:rFonts w:ascii="Times New Roman;sans-serif" w:hAnsi="Times New Roman;sans-serif"/>
          <w:b w:val="false"/>
          <w:color w:val="000000"/>
          <w:sz w:val="20"/>
        </w:rPr>
        <w:t>non-Korean bank accounts, brokerage accounts) to the Korean tax authorities and file a report with respect to such accounts if the monthly balance of such accounts exceeds KRW 500 million (or an equivalent amount in foreign currency) on any month-end during a calendar year. Participant should consult with his or her personal tax advisor to determine his or her personal reporting obligations.</w:t>
      </w:r>
    </w:p>
    <w:p>
      <w:pPr>
        <w:pStyle w:val="TextBody"/>
        <w:bidi w:val="0"/>
        <w:spacing w:lineRule="auto" w:line="240" w:before="0" w:after="20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SINGAPORE </w:t>
      </w:r>
    </w:p>
    <w:p>
      <w:pPr>
        <w:pStyle w:val="TextBody"/>
        <w:bidi w:val="0"/>
        <w:spacing w:lineRule="auto" w:line="240" w:before="0" w:after="200"/>
        <w:jc w:val="both"/>
        <w:rPr>
          <w:rFonts w:ascii="Times New Roman;sans-serif" w:hAnsi="Times New Roman;sans-serif"/>
          <w:b/>
          <w:i/>
          <w:color w:val="000000"/>
          <w:sz w:val="20"/>
        </w:rPr>
      </w:pPr>
      <w:r>
        <w:rPr>
          <w:rFonts w:ascii="Times New Roman;sans-serif" w:hAnsi="Times New Roman;sans-serif"/>
          <w:b/>
          <w:i/>
          <w:color w:val="000000"/>
          <w:sz w:val="20"/>
        </w:rPr>
        <w:t>Terms and Conditions</w:t>
      </w:r>
    </w:p>
    <w:p>
      <w:pPr>
        <w:pStyle w:val="TextBody"/>
        <w:bidi w:val="0"/>
        <w:spacing w:lineRule="auto" w:line="240" w:before="0" w:after="200"/>
        <w:jc w:val="both"/>
        <w:rPr/>
      </w:pPr>
      <w:r>
        <w:rPr>
          <w:rFonts w:ascii="Times New Roman;sans-serif" w:hAnsi="Times New Roman;sans-serif"/>
          <w:b w:val="false"/>
          <w:color w:val="000000"/>
          <w:sz w:val="20"/>
          <w:u w:val="single"/>
        </w:rPr>
        <w:t>Restriction on Sale of Shares</w:t>
      </w:r>
      <w:r>
        <w:rPr>
          <w:rFonts w:ascii="Times New Roman;sans-serif" w:hAnsi="Times New Roman;sans-serif"/>
          <w:b w:val="false"/>
          <w:color w:val="000000"/>
          <w:sz w:val="20"/>
        </w:rPr>
        <w:t>. The Restricted Stock Units are subject to section 257 of the Securities and Futures Act (Chapter 289, 2006 Ed.) (“SFA”) and Participant will not be able to make any subsequent offer to sell or sale of the Shares in Singapore, unless such offer or sale is made (1) after six (6) months from the Date of Grant, (2) pursuant to the exemptions under Part XIII Division (1) Subdivision (4) (other than section 280) of the SFA or (3) pursuant to, and in accordance with, the conditions of any other applicable exemptions under the SFA.</w:t>
      </w:r>
    </w:p>
    <w:p>
      <w:pPr>
        <w:pStyle w:val="TextBody"/>
        <w:bidi w:val="0"/>
        <w:spacing w:lineRule="auto" w:line="240" w:before="0" w:after="200"/>
        <w:jc w:val="both"/>
        <w:rPr>
          <w:rFonts w:ascii="Times New Roman;sans-serif" w:hAnsi="Times New Roman;sans-serif"/>
          <w:b/>
          <w:i/>
          <w:color w:val="000000"/>
          <w:sz w:val="20"/>
        </w:rPr>
      </w:pPr>
      <w:r>
        <w:rPr>
          <w:rFonts w:ascii="Times New Roman;sans-serif" w:hAnsi="Times New Roman;sans-serif"/>
          <w:b/>
          <w:i/>
          <w:color w:val="000000"/>
          <w:sz w:val="20"/>
        </w:rPr>
        <w:t>Notifications</w:t>
      </w:r>
    </w:p>
    <w:p>
      <w:pPr>
        <w:pStyle w:val="TextBody"/>
        <w:bidi w:val="0"/>
        <w:spacing w:lineRule="auto" w:line="240" w:before="0" w:after="200"/>
        <w:jc w:val="both"/>
        <w:rPr/>
      </w:pPr>
      <w:r>
        <w:rPr>
          <w:rFonts w:ascii="Times New Roman;sans-serif" w:hAnsi="Times New Roman;sans-serif"/>
          <w:b w:val="false"/>
          <w:color w:val="000000"/>
          <w:sz w:val="20"/>
          <w:u w:val="single"/>
        </w:rPr>
        <w:t>Securities Law Information</w:t>
      </w:r>
      <w:r>
        <w:rPr>
          <w:rFonts w:ascii="Times New Roman;sans-serif" w:hAnsi="Times New Roman;sans-serif"/>
          <w:b w:val="false"/>
          <w:color w:val="000000"/>
          <w:sz w:val="20"/>
        </w:rPr>
        <w:t>. The offer of the Plan, the grant of the Restricted Stock Units, and the issuance of the Shares subject to the Restricted Stock Units are being made pursuant to the “Qualifying Person” exemption under section 273(1)(f) of the SFA. The Plan has not been lodged or registered as a prospectus with the Monetary Authority of Singapore.</w:t>
      </w:r>
    </w:p>
    <w:p>
      <w:pPr>
        <w:pStyle w:val="TextBody"/>
        <w:bidi w:val="0"/>
        <w:spacing w:lineRule="auto" w:line="240" w:before="0" w:after="200"/>
        <w:jc w:val="both"/>
        <w:rPr/>
      </w:pPr>
      <w:r>
        <w:rPr>
          <w:rFonts w:ascii="Times New Roman;sans-serif" w:hAnsi="Times New Roman;sans-serif"/>
          <w:b w:val="false"/>
          <w:color w:val="000000"/>
          <w:sz w:val="20"/>
          <w:u w:val="single"/>
        </w:rPr>
        <w:t>Director Notification</w:t>
      </w:r>
      <w:r>
        <w:rPr>
          <w:rFonts w:ascii="Times New Roman;sans-serif" w:hAnsi="Times New Roman;sans-serif"/>
          <w:b w:val="false"/>
          <w:color w:val="000000"/>
          <w:sz w:val="20"/>
        </w:rPr>
        <w:t>. Participant understands and acknowledges that if Participant is a director, associate director or shadow director of a Singapore Subsidiary, Participant is subject to certain notification requirements under the Singapore Companies Act, regardless of whether Participant is a Singapore resident or providing services in Singapore. Among these requirements is an obligation to notify the Singapore Subsidiary in writing when Participant receives an interest (</w:t>
      </w:r>
      <w:r>
        <w:rPr>
          <w:rFonts w:ascii="Times New Roman;sans-serif" w:hAnsi="Times New Roman;sans-serif"/>
          <w:b w:val="false"/>
          <w:i/>
          <w:color w:val="000000"/>
          <w:sz w:val="20"/>
        </w:rPr>
        <w:t>e.g.</w:t>
      </w:r>
      <w:r>
        <w:rPr>
          <w:rFonts w:ascii="Times New Roman;sans-serif" w:hAnsi="Times New Roman;sans-serif"/>
          <w:b w:val="false"/>
          <w:color w:val="000000"/>
          <w:sz w:val="20"/>
        </w:rPr>
        <w:t>, Restricted Stock Units) in the Company. In addition, Participant must notify the Singapore Subsidiary when Participant sells Shares (including when Participant sells Shares acquired under the Plan). These notifications must be made within two days of acquiring or disposing of any interest in the Company. In addition, a notification must be made of Participant’s interests in the Company within two days of becoming a director, associate director or shadow director.</w:t>
      </w:r>
    </w:p>
    <w:p>
      <w:pPr>
        <w:pStyle w:val="TextBody"/>
        <w:bidi w:val="0"/>
        <w:spacing w:before="0" w:after="20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80390"/>
                <wp:effectExtent l="0" t="0" r="0" b="0"/>
                <wp:wrapNone/>
                <wp:docPr id="123" name="Frame122"/>
                <a:graphic xmlns:a="http://schemas.openxmlformats.org/drawingml/2006/main">
                  <a:graphicData uri="http://schemas.microsoft.com/office/word/2010/wordprocessingShape">
                    <wps:wsp>
                      <wps:cNvSpPr txBox="1"/>
                      <wps:spPr>
                        <a:xfrm>
                          <a:off x="0" y="0"/>
                          <a:ext cx="6480175" cy="5803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380" w:after="283"/>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LIST OF SUBSIDIARIES </w:t>
      </w:r>
    </w:p>
    <w:tbl>
      <w:tblPr>
        <w:tblW w:w="10205" w:type="dxa"/>
        <w:jc w:val="left"/>
        <w:tblInd w:w="0" w:type="dxa"/>
        <w:tblLayout w:type="fixed"/>
        <w:tblCellMar>
          <w:top w:w="28" w:type="dxa"/>
          <w:left w:w="28" w:type="dxa"/>
          <w:bottom w:w="28" w:type="dxa"/>
          <w:right w:w="28" w:type="dxa"/>
        </w:tblCellMar>
      </w:tblPr>
      <w:tblGrid>
        <w:gridCol w:w="2826"/>
        <w:gridCol w:w="2451"/>
        <w:gridCol w:w="2473"/>
        <w:gridCol w:w="109"/>
        <w:gridCol w:w="109"/>
        <w:gridCol w:w="109"/>
        <w:gridCol w:w="621"/>
        <w:gridCol w:w="621"/>
        <w:gridCol w:w="886"/>
      </w:tblGrid>
      <w:tr>
        <w:trPr/>
        <w:tc>
          <w:tcPr>
            <w:tcW w:w="2826"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7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Advanced Technology Taiwan,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Assembly &amp; Test (Shanghai) Co.,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Arizona,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Euroservices,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Japan,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Korea,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Korea</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Philippines, Inc. (A Branch of a Singapore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Singapore Investment Pte.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Singapore Holding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Singapore Holding Pte. Ltd., Taiwan Branch (A Branch of a Singapore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Taiwan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Technology Vietnam Limited Liability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Worldwide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Amkor Worldwide Services LLC - ROHQ (A Branch of a United States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ATEP - Amkor Technology Portugal,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Guardian Assets,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3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CONSENT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S-8 (Nos. 333-149376 and 333-256241) and Form S-3 (No. 333-255655) of Amkor Technology, Inc. of our report dated February 16, 2024 relating to the financial statements, financial statement schedule and the effectiveness of internal control over financial reporting, which appears in this Form 10</w:t>
        <w:noBreakHyphen/>
        <w:t xml:space="preserve">K.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Phoenix, Arizona</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16,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31.1</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SECTION 302(a) CERTIFICATION </w:t>
      </w:r>
    </w:p>
    <w:p>
      <w:pPr>
        <w:pStyle w:val="TextBody"/>
        <w:bidi w:val="0"/>
        <w:spacing w:lineRule="auto" w:line="288" w:before="100" w:after="283"/>
        <w:jc w:val="both"/>
        <w:rPr>
          <w:color w:val="000000"/>
        </w:rPr>
      </w:pPr>
      <w:r>
        <w:rPr>
          <w:color w:val="000000"/>
        </w:rPr>
        <w:t>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Guillaume Marie Jean Rutten, certify that: </w:t>
      </w:r>
    </w:p>
    <w:p>
      <w:pPr>
        <w:pStyle w:val="TextBody"/>
        <w:bidi w:val="0"/>
        <w:spacing w:lineRule="auto" w:line="288" w:before="100" w:after="283"/>
        <w:ind w:left="0" w:right="0" w:hanging="36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Amkor Technology, Inc.;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564" w:type="dxa"/>
        <w:jc w:val="right"/>
        <w:tblInd w:w="0" w:type="dxa"/>
        <w:tblLayout w:type="fixed"/>
        <w:tblCellMar>
          <w:top w:w="28" w:type="dxa"/>
          <w:left w:w="28" w:type="dxa"/>
          <w:bottom w:w="28" w:type="dxa"/>
          <w:right w:w="28" w:type="dxa"/>
        </w:tblCellMar>
      </w:tblPr>
      <w:tblGrid>
        <w:gridCol w:w="490"/>
        <w:gridCol w:w="432"/>
        <w:gridCol w:w="432"/>
        <w:gridCol w:w="937"/>
        <w:gridCol w:w="937"/>
        <w:gridCol w:w="1336"/>
      </w:tblGrid>
      <w:tr>
        <w:trPr/>
        <w:tc>
          <w:tcPr>
            <w:tcW w:w="4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Guillaume Marie Jean Rutten</w:t>
            </w:r>
          </w:p>
        </w:tc>
      </w:tr>
      <w:tr>
        <w:trPr/>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Guillaume Marie Jean Rutten</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31.2</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center"/>
        <w:rPr/>
      </w:pPr>
      <w:r>
        <w:rPr>
          <w:rFonts w:ascii="Times New Roman;sans-serif" w:hAnsi="Times New Roman;sans-serif"/>
          <w:b/>
          <w:color w:val="000000"/>
          <w:sz w:val="20"/>
        </w:rPr>
        <w:t>SECTION 302(a) CERTIFICATION</w:t>
      </w:r>
      <w:r>
        <w:rPr>
          <w:color w:val="000000"/>
        </w:rPr>
        <w:t xml:space="preserve"> </w:t>
      </w:r>
    </w:p>
    <w:p>
      <w:pPr>
        <w:pStyle w:val="TextBody"/>
        <w:bidi w:val="0"/>
        <w:spacing w:lineRule="auto" w:line="288" w:before="100" w:after="283"/>
        <w:jc w:val="both"/>
        <w:rPr>
          <w:color w:val="000000"/>
        </w:rPr>
      </w:pPr>
      <w:r>
        <w:rPr>
          <w:color w:val="000000"/>
        </w:rPr>
        <w:t>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Megan Faust, certify that: </w:t>
      </w:r>
    </w:p>
    <w:p>
      <w:pPr>
        <w:pStyle w:val="TextBody"/>
        <w:bidi w:val="0"/>
        <w:spacing w:lineRule="auto" w:line="288" w:before="100" w:after="283"/>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Amkor Technology, Inc.;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180"/>
        <w:jc w:val="both"/>
        <w:rPr>
          <w:color w:val="000000"/>
        </w:rPr>
      </w:pPr>
      <w:r>
        <w:rPr>
          <w:color w:val="000000"/>
        </w:rPr>
        <w:t> </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3846" w:type="dxa"/>
        <w:jc w:val="right"/>
        <w:tblInd w:w="0" w:type="dxa"/>
        <w:tblLayout w:type="fixed"/>
        <w:tblCellMar>
          <w:top w:w="28" w:type="dxa"/>
          <w:left w:w="28" w:type="dxa"/>
          <w:bottom w:w="28" w:type="dxa"/>
          <w:right w:w="28" w:type="dxa"/>
        </w:tblCellMar>
      </w:tblPr>
      <w:tblGrid>
        <w:gridCol w:w="252"/>
        <w:gridCol w:w="222"/>
        <w:gridCol w:w="222"/>
        <w:gridCol w:w="922"/>
        <w:gridCol w:w="922"/>
        <w:gridCol w:w="1306"/>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46" w:type="dxa"/>
            <w:gridSpan w:val="6"/>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Faust</w:t>
            </w:r>
          </w:p>
        </w:tc>
      </w:tr>
      <w:tr>
        <w:trPr/>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Faust</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pPr>
      <w:r>
        <w:rPr>
          <w:rFonts w:ascii="Times New Roman;sans-serif" w:hAnsi="Times New Roman;sans-serif"/>
          <w:b/>
          <w:color w:val="000000"/>
          <w:sz w:val="20"/>
        </w:rPr>
        <w:t>Exhibit 32.1</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AS ADOPTED </w:t>
      </w:r>
    </w:p>
    <w:p>
      <w:pPr>
        <w:pStyle w:val="TextBody"/>
        <w:bidi w:val="0"/>
        <w:spacing w:lineRule="auto" w:line="288" w:before="0" w:after="0"/>
        <w:jc w:val="center"/>
        <w:rPr/>
      </w:pPr>
      <w:r>
        <w:rPr>
          <w:rFonts w:ascii="Times New Roman;sans-serif" w:hAnsi="Times New Roman;sans-serif"/>
          <w:b/>
          <w:color w:val="000000"/>
          <w:sz w:val="20"/>
        </w:rPr>
        <w:t>PURSUANT TO 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Annual Report on Form 10-K for the year ended December 31, 2023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564" w:type="dxa"/>
        <w:jc w:val="right"/>
        <w:tblInd w:w="0" w:type="dxa"/>
        <w:tblLayout w:type="fixed"/>
        <w:tblCellMar>
          <w:top w:w="28" w:type="dxa"/>
          <w:left w:w="28" w:type="dxa"/>
          <w:bottom w:w="28" w:type="dxa"/>
          <w:right w:w="28" w:type="dxa"/>
        </w:tblCellMar>
      </w:tblPr>
      <w:tblGrid>
        <w:gridCol w:w="490"/>
        <w:gridCol w:w="432"/>
        <w:gridCol w:w="432"/>
        <w:gridCol w:w="937"/>
        <w:gridCol w:w="937"/>
        <w:gridCol w:w="1336"/>
      </w:tblGrid>
      <w:tr>
        <w:trPr/>
        <w:tc>
          <w:tcPr>
            <w:tcW w:w="4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Guillaume Marie Jean Rutten</w:t>
            </w:r>
          </w:p>
        </w:tc>
      </w:tr>
      <w:tr>
        <w:trPr/>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Guillaume Marie Jean Rutten</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bl>
    <w:p>
      <w:pPr>
        <w:pStyle w:val="TextBody"/>
        <w:bidi w:val="0"/>
        <w:spacing w:lineRule="auto" w:line="288" w:before="0" w:after="0"/>
        <w:jc w:val="left"/>
        <w:rPr>
          <w:color w:val="000000"/>
        </w:rPr>
      </w:pPr>
      <w:r>
        <w:rPr>
          <w:color w:val="000000"/>
        </w:rPr>
        <w:t> </w:t>
      </w:r>
    </w:p>
    <w:tbl>
      <w:tblPr>
        <w:tblW w:w="3846" w:type="dxa"/>
        <w:jc w:val="right"/>
        <w:tblInd w:w="0" w:type="dxa"/>
        <w:tblLayout w:type="fixed"/>
        <w:tblCellMar>
          <w:top w:w="28" w:type="dxa"/>
          <w:left w:w="28" w:type="dxa"/>
          <w:bottom w:w="28" w:type="dxa"/>
          <w:right w:w="28" w:type="dxa"/>
        </w:tblCellMar>
      </w:tblPr>
      <w:tblGrid>
        <w:gridCol w:w="252"/>
        <w:gridCol w:w="222"/>
        <w:gridCol w:w="222"/>
        <w:gridCol w:w="922"/>
        <w:gridCol w:w="922"/>
        <w:gridCol w:w="1306"/>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46" w:type="dxa"/>
            <w:gridSpan w:val="6"/>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Faust</w:t>
            </w:r>
          </w:p>
        </w:tc>
      </w:tr>
      <w:tr>
        <w:trPr/>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Faust</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bl>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p>
    <w:p>
      <w:pPr>
        <w:pStyle w:val="TextBody"/>
        <w:bidi w:val="0"/>
        <w:spacing w:lineRule="auto" w:line="300" w:before="380" w:after="160"/>
        <w:jc w:val="center"/>
        <w:rPr>
          <w:rFonts w:ascii="Times New Roman;sans-serif" w:hAnsi="Times New Roman;sans-serif"/>
          <w:b/>
          <w:color w:val="000000"/>
          <w:sz w:val="20"/>
        </w:rPr>
      </w:pPr>
      <w:r>
        <w:rPr>
          <w:rFonts w:ascii="Times New Roman;sans-serif" w:hAnsi="Times New Roman;sans-serif"/>
          <w:b/>
          <w:color w:val="000000"/>
          <w:sz w:val="20"/>
        </w:rPr>
        <w:t>AMKOR TECHNOLOGY, INC.</w:t>
      </w:r>
    </w:p>
    <w:p>
      <w:pPr>
        <w:pStyle w:val="TextBody"/>
        <w:bidi w:val="0"/>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EXCESS COMPENSATION RECOVERY POLICY</w:t>
      </w:r>
    </w:p>
    <w:p>
      <w:pPr>
        <w:pStyle w:val="TextBody"/>
        <w:bidi w:val="0"/>
        <w:spacing w:lineRule="auto" w:line="240" w:before="100" w:after="283"/>
        <w:jc w:val="center"/>
        <w:rPr>
          <w:rFonts w:ascii="Times New Roman;sans-serif" w:hAnsi="Times New Roman;sans-serif"/>
          <w:b/>
          <w:color w:val="000000"/>
          <w:sz w:val="20"/>
        </w:rPr>
      </w:pPr>
      <w:r>
        <w:rPr>
          <w:rFonts w:ascii="Times New Roman;sans-serif" w:hAnsi="Times New Roman;sans-serif"/>
          <w:b/>
          <w:color w:val="000000"/>
          <w:sz w:val="20"/>
        </w:rPr>
        <w:t>(Adopted on November 15, 2023)</w:t>
      </w:r>
    </w:p>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40" w:before="100" w:after="283"/>
        <w:jc w:val="left"/>
        <w:rPr/>
      </w:pPr>
      <w:r>
        <w:rPr>
          <w:rFonts w:ascii="Times New Roman;sans-serif" w:hAnsi="Times New Roman;sans-serif"/>
          <w:b/>
          <w:color w:val="000000"/>
          <w:sz w:val="20"/>
        </w:rPr>
        <w:t>1.</w:t>
      </w:r>
      <w:r>
        <w:rPr>
          <w:color w:val="000000"/>
        </w:rPr>
        <w:t>    </w:t>
      </w:r>
      <w:r>
        <w:rPr>
          <w:rFonts w:ascii="Times New Roman;sans-serif" w:hAnsi="Times New Roman;sans-serif"/>
          <w:b/>
          <w:color w:val="000000"/>
          <w:sz w:val="20"/>
        </w:rPr>
        <w:t>POLICY PURPOSE</w:t>
      </w:r>
    </w:p>
    <w:p>
      <w:pPr>
        <w:pStyle w:val="TextBody"/>
        <w:bidi w:val="0"/>
        <w:spacing w:before="100" w:after="283"/>
        <w:jc w:val="left"/>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(the “Board of Directors”) of Amkor Technology, Inc. (the “Company”) has established this Excess Compensation Recovery Policy (the “Policy”) to provide for the recovery of certain incentive compensation in the event of an Accounting Restatement (as defined below).</w:t>
      </w:r>
    </w:p>
    <w:p>
      <w:pPr>
        <w:pStyle w:val="TextBody"/>
        <w:bidi w:val="0"/>
        <w:spacing w:before="0" w:after="160"/>
        <w:jc w:val="left"/>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is designed to comply with, and shall be interpreted to be consistent with, Section 10D of the Securities Exchange Act of 1934, as amended (the “Exchange Act”), Rule 10D-1 promulgated under the Exchange Act (“Rule 10D-1”), and Listing Rule 5608 of The Nasdaq Stock Market LLC (“Nasdaq”) Listing Rules (the “Listing Rules”).</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 xml:space="preserve">2. </w:t>
      </w:r>
      <w:r>
        <w:rPr>
          <w:color w:val="000000"/>
        </w:rPr>
        <w:t>    </w:t>
      </w:r>
      <w:r>
        <w:rPr>
          <w:rFonts w:ascii="Times New Roman;sans-serif" w:hAnsi="Times New Roman;sans-serif"/>
          <w:b/>
          <w:color w:val="000000"/>
          <w:sz w:val="20"/>
        </w:rPr>
        <w:t>SCOPE</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a.     Incentive-Based Compensation.</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applies to Incentive-Based Compensation (as defined below) received by a person:</w:t>
      </w:r>
    </w:p>
    <w:p>
      <w:pPr>
        <w:pStyle w:val="TextBody"/>
        <w:bidi w:val="0"/>
        <w:spacing w:before="100" w:after="283"/>
        <w:jc w:val="both"/>
        <w:rPr/>
      </w:pPr>
      <w:r>
        <w:rPr/>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i.After beginning service as an Executive Officer (as defined below);</w:t>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ii.Who served as an Executive Officer at any time during the performance period for that Incentive-Based Compensation;</w:t>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iii.While the Company has a class of securities listed on a national securities exchange or a national securities association; and</w:t>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iv.During the Applicable Period (as defined below). </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b.    Erroneously Awarded Compensation.</w:t>
      </w:r>
    </w:p>
    <w:p>
      <w:pPr>
        <w:pStyle w:val="TextBody"/>
        <w:bidi w:val="0"/>
        <w:spacing w:before="100" w:after="283"/>
        <w:jc w:val="both"/>
        <w:rPr/>
      </w:pPr>
      <w:r>
        <w:rPr/>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Incentive-Based Compensation subject to recovery under this Policy is the amount of Incentive-Based Compensation received by an Executive Officer that exceeds the amount of Incentive-Based Compensation that otherwise would have been received by such Executive Officer had such Incentive-Based Compensation been determined based on the restated amounts in the Accounting Restatement, computed without regard to any taxes paid by such Executive Officer (“Erroneously Awarded Compensation”).</w:t>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ii.For Incentive-Based Compensation based on stock price or total shareholder return, where the amount of Erroneously Awarded Compensation is not subject to mathematical recalculation directly from the information in the applicable Accounting Restatement:</w:t>
      </w:r>
    </w:p>
    <w:p>
      <w:pPr>
        <w:pStyle w:val="TextBody"/>
        <w:bidi w:val="0"/>
        <w:spacing w:before="100" w:after="283"/>
        <w:jc w:val="both"/>
        <w:rPr/>
      </w:pPr>
      <w:r>
        <w:rPr/>
      </w:r>
    </w:p>
    <w:p>
      <w:pPr>
        <w:pStyle w:val="TextBody"/>
        <w:bidi w:val="0"/>
        <w:spacing w:lineRule="auto" w:line="240"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amount of Erroneously Awarded Compensation will be based on the Company’s reasonable estimate of the effect of the Accounting Restatement on the stock price or total shareholder return upon which the Incentive-Based Compensation was received; and</w:t>
      </w:r>
    </w:p>
    <w:p>
      <w:pPr>
        <w:pStyle w:val="TextBody"/>
        <w:bidi w:val="0"/>
        <w:spacing w:lineRule="auto" w:line="240"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Company will maintain documentation of the determination of such reasonable estimate and provide such documentation to Nasdaq.</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 xml:space="preserve">3. </w:t>
      </w:r>
      <w:r>
        <w:rPr>
          <w:color w:val="000000"/>
        </w:rPr>
        <w:t>    </w:t>
      </w:r>
      <w:r>
        <w:rPr>
          <w:rFonts w:ascii="Times New Roman;sans-serif" w:hAnsi="Times New Roman;sans-serif"/>
          <w:b/>
          <w:color w:val="000000"/>
          <w:sz w:val="20"/>
        </w:rPr>
        <w:t>STATEMENT OF POLICY</w:t>
      </w:r>
    </w:p>
    <w:p>
      <w:pPr>
        <w:pStyle w:val="TextBody"/>
        <w:bidi w:val="0"/>
        <w:spacing w:before="0" w:after="16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55650"/>
                <wp:effectExtent l="0" t="0" r="0" b="0"/>
                <wp:wrapNone/>
                <wp:docPr id="129" name="Frame128"/>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a.     Required Recovery.</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the Company is required to prepare an Accounting Restatement, the Company will reasonably promptly recover the amount of Erroneously Awarded Compensation received by any Executive Officer during the Applicable Period.</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b.     Exception to Required Recovery.</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required to recover Erroneously Awarded Compensation if the Compensation Committee (or, in the absence of such a committee, a majority of the Independent Directors (as such term is defined in the Listing Rules) of the Board of Directors) determines that recovery would be impracticable for one of the three following reasons:</w:t>
      </w:r>
    </w:p>
    <w:p>
      <w:pPr>
        <w:pStyle w:val="TextBody"/>
        <w:bidi w:val="0"/>
        <w:spacing w:before="100" w:after="283"/>
        <w:jc w:val="both"/>
        <w:rPr/>
      </w:pPr>
      <w:r>
        <w:rPr/>
      </w:r>
    </w:p>
    <w:p>
      <w:pPr>
        <w:pStyle w:val="TextBody"/>
        <w:bidi w:val="0"/>
        <w:spacing w:lineRule="auto" w:line="240" w:before="100" w:after="283"/>
        <w:ind w:left="0" w:right="0" w:hanging="360"/>
        <w:jc w:val="both"/>
        <w:rPr/>
      </w:pPr>
      <w:r>
        <w:rPr>
          <w:rFonts w:ascii="Times New Roman;sans-serif" w:hAnsi="Times New Roman;sans-serif"/>
          <w:b w:val="false"/>
          <w:color w:val="000000"/>
          <w:sz w:val="20"/>
        </w:rPr>
        <w:t>i.</w:t>
      </w:r>
      <w:r>
        <w:rPr>
          <w:rFonts w:ascii="Times New Roman;sans-serif" w:hAnsi="Times New Roman;sans-serif"/>
          <w:b w:val="false"/>
          <w:i/>
          <w:color w:val="000000"/>
          <w:sz w:val="20"/>
        </w:rPr>
        <w:t>Expense of Enforcement</w:t>
      </w:r>
      <w:r>
        <w:rPr>
          <w:rFonts w:ascii="Times New Roman;sans-serif" w:hAnsi="Times New Roman;sans-serif"/>
          <w:b w:val="false"/>
          <w:color w:val="000000"/>
          <w:sz w:val="20"/>
        </w:rPr>
        <w:t>. 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 and provide documentation related such reasonable attempt to Nasdaq.</w:t>
      </w:r>
    </w:p>
    <w:p>
      <w:pPr>
        <w:pStyle w:val="TextBody"/>
        <w:bidi w:val="0"/>
        <w:spacing w:lineRule="auto" w:line="240" w:before="100" w:after="283"/>
        <w:ind w:left="0" w:right="0" w:hanging="360"/>
        <w:jc w:val="both"/>
        <w:rPr/>
      </w:pPr>
      <w:r>
        <w:rPr>
          <w:rFonts w:ascii="Times New Roman;sans-serif" w:hAnsi="Times New Roman;sans-serif"/>
          <w:b w:val="false"/>
          <w:color w:val="000000"/>
          <w:sz w:val="20"/>
        </w:rPr>
        <w:t>ii.</w:t>
      </w:r>
      <w:r>
        <w:rPr>
          <w:rFonts w:ascii="Times New Roman;sans-serif" w:hAnsi="Times New Roman;sans-serif"/>
          <w:b w:val="false"/>
          <w:i/>
          <w:color w:val="000000"/>
          <w:sz w:val="20"/>
        </w:rPr>
        <w:t>Violation of Home Country Law</w:t>
      </w:r>
      <w:r>
        <w:rPr>
          <w:rFonts w:ascii="Times New Roman;sans-serif" w:hAnsi="Times New Roman;sans-serif"/>
          <w:b w:val="false"/>
          <w:color w:val="000000"/>
          <w:sz w:val="20"/>
        </w:rPr>
        <w:t>. 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Nasdaq, that recovery would result in such a violation and provide such opinion to Nasdaq.</w:t>
      </w:r>
    </w:p>
    <w:p>
      <w:pPr>
        <w:pStyle w:val="TextBody"/>
        <w:bidi w:val="0"/>
        <w:spacing w:lineRule="auto" w:line="240" w:before="100" w:after="283"/>
        <w:ind w:left="0" w:right="0" w:hanging="360"/>
        <w:jc w:val="both"/>
        <w:rPr/>
      </w:pPr>
      <w:r>
        <w:rPr>
          <w:rFonts w:ascii="Times New Roman;sans-serif" w:hAnsi="Times New Roman;sans-serif"/>
          <w:b w:val="false"/>
          <w:color w:val="000000"/>
          <w:sz w:val="20"/>
        </w:rPr>
        <w:t>iii.</w:t>
      </w:r>
      <w:r>
        <w:rPr>
          <w:rFonts w:ascii="Times New Roman;sans-serif" w:hAnsi="Times New Roman;sans-serif"/>
          <w:b w:val="false"/>
          <w:i/>
          <w:color w:val="000000"/>
          <w:sz w:val="20"/>
        </w:rPr>
        <w:t>Tax-qualified Retirement Plan Failure</w:t>
      </w:r>
      <w:r>
        <w:rPr>
          <w:rFonts w:ascii="Times New Roman;sans-serif" w:hAnsi="Times New Roman;sans-serif"/>
          <w:b w:val="false"/>
          <w:color w:val="000000"/>
          <w:sz w:val="20"/>
        </w:rPr>
        <w:t>. Recovery would likely cause an otherwise tax-qualified retirement plan, under which benefits are broadly available to Company employees, to fail to meet the requirements of 26 U.S.C. 401(a)(13) or 26 U.S.C. 411(a) and regulations thereunder.</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4.</w:t>
      </w:r>
      <w:r>
        <w:rPr>
          <w:color w:val="000000"/>
        </w:rPr>
        <w:t>    </w:t>
      </w:r>
      <w:r>
        <w:rPr>
          <w:rFonts w:ascii="Times New Roman;sans-serif" w:hAnsi="Times New Roman;sans-serif"/>
          <w:b/>
          <w:color w:val="000000"/>
          <w:sz w:val="20"/>
        </w:rPr>
        <w:t>RECOUPMENT</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Administrator (as defined below) shall determine, in its sole discretion, the timing and method for promptly recouping Erroneously Awarded Compensation hereunder, which may include, without limitation: </w:t>
      </w:r>
    </w:p>
    <w:p>
      <w:pPr>
        <w:pStyle w:val="TextBody"/>
        <w:bidi w:val="0"/>
        <w:spacing w:before="100" w:after="283"/>
        <w:jc w:val="both"/>
        <w:rPr/>
      </w:pPr>
      <w:r>
        <w:rPr/>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i.seeking reimbursement of all or part of any cash or equity-based award;</w:t>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ii.cancelling prior cash or equity-based awards, whether vested or unvested or paid or unpaid;</w:t>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iii.cancelling or offsetting against any planned future cash or equity-based awards;</w:t>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iv.forfeiture of deferred compensation, subject to compliance with Section 409A of the Internal Revenue Code of 1986, as amended, and the regulations promulgated thereunder; and</w:t>
      </w:r>
    </w:p>
    <w:p>
      <w:pPr>
        <w:pStyle w:val="TextBody"/>
        <w:bidi w:val="0"/>
        <w:spacing w:lineRule="auto" w:line="240"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v.any other method authorized by applicable law or contract. </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compliance with any applicable law, the Administrator may effect recovery under this Policy from any amount otherwise payable to an Executive Officer, including amounts payable to such individual under any otherwise applicable Company plan or program, including base salary, bonuses, commissions or compensation previously deferred by such Executive Officer. </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val="false"/>
          <w:color w:val="000000"/>
          <w:sz w:val="20"/>
        </w:rPr>
        <w:t>This Policy shall be applied to the fullest extent of the law and Listing Rules. Any right of recoupment under this Policy is in addition to, and not in lieu of, any other remedies or rights of recoupment that may be available to the Company or any of its subsidiaries under applicable law or pursuant to the terms of any similar policy of the Company or any of its subsidiaries or the terms of any employment agreement, equity award agreement, or similar agreement with the Company or any of its subsidiaries and any other legal remedies available to the Company or any of its subsidiaries. Nothing contained in this Policy, and no recoupment or recovery as contemplated by this Policy, shall limit any claims, damages, or other legal remedies the Company or any</w:t>
      </w:r>
      <w:r>
        <w:rPr>
          <w:color w:val="000000"/>
        </w:rPr>
        <w:t xml:space="preserve"> </w:t>
      </w:r>
      <w:r>
        <w:rPr>
          <w:rFonts w:ascii="Times New Roman;sans-serif" w:hAnsi="Times New Roman;sans-serif"/>
          <w:b w:val="false"/>
          <w:color w:val="000000"/>
          <w:sz w:val="20"/>
        </w:rPr>
        <w:t>of its subsidiaries may have against an Executive Officer arising out of or resulting from any actions or omissions by the Executive Officer.</w:t>
      </w:r>
    </w:p>
    <w:p>
      <w:pPr>
        <w:pStyle w:val="TextBody"/>
        <w:bidi w:val="0"/>
        <w:spacing w:before="0" w:after="16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55650"/>
                <wp:effectExtent l="0" t="0" r="0" b="0"/>
                <wp:wrapNone/>
                <wp:docPr id="130" name="Frame129"/>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5.</w:t>
      </w:r>
      <w:r>
        <w:rPr>
          <w:color w:val="000000"/>
        </w:rPr>
        <w:t>    </w:t>
      </w:r>
      <w:r>
        <w:rPr>
          <w:rFonts w:ascii="Times New Roman;sans-serif" w:hAnsi="Times New Roman;sans-serif"/>
          <w:b/>
          <w:color w:val="000000"/>
          <w:sz w:val="20"/>
        </w:rPr>
        <w:t>INDEMNIFICATION</w:t>
      </w:r>
    </w:p>
    <w:p>
      <w:pPr>
        <w:pStyle w:val="TextBody"/>
        <w:bidi w:val="0"/>
        <w:spacing w:before="100" w:after="283"/>
        <w:jc w:val="both"/>
        <w:rPr/>
      </w:pPr>
      <w:r>
        <w:rPr/>
      </w:r>
    </w:p>
    <w:p>
      <w:pPr>
        <w:pStyle w:val="TextBody"/>
        <w:bidi w:val="0"/>
        <w:spacing w:lineRule="auto" w:line="240" w:before="100" w:after="283"/>
        <w:jc w:val="both"/>
        <w:rPr/>
      </w:pPr>
      <w:r>
        <w:rPr>
          <w:color w:val="000000"/>
        </w:rPr>
        <w:t>    </w:t>
      </w:r>
      <w:r>
        <w:rPr>
          <w:rFonts w:ascii="Times New Roman;sans-serif" w:hAnsi="Times New Roman;sans-serif"/>
          <w:b/>
          <w:color w:val="000000"/>
          <w:sz w:val="20"/>
        </w:rPr>
        <w:t>a.     No Indemnification of Executive Officers.</w:t>
      </w:r>
      <w:r>
        <w:rPr>
          <w:color w:val="000000"/>
        </w:rPr>
        <w:t xml:space="preserve"> </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not indemnify any Executive Officer against the loss of Erroneously Awarded Compensation, including any payment or reimbursement for the cost of third-party insurance purchased by any Executive Officer to fund potential clawback obligations under this Policy.</w:t>
      </w:r>
    </w:p>
    <w:p>
      <w:pPr>
        <w:pStyle w:val="TextBody"/>
        <w:bidi w:val="0"/>
        <w:spacing w:before="100" w:after="283"/>
        <w:jc w:val="both"/>
        <w:rPr/>
      </w:pPr>
      <w:r>
        <w:rPr/>
      </w:r>
    </w:p>
    <w:p>
      <w:pPr>
        <w:pStyle w:val="TextBody"/>
        <w:bidi w:val="0"/>
        <w:spacing w:lineRule="auto" w:line="240" w:before="100" w:after="283"/>
        <w:jc w:val="both"/>
        <w:rPr/>
      </w:pPr>
      <w:r>
        <w:rPr>
          <w:color w:val="000000"/>
        </w:rPr>
        <w:t>    </w:t>
      </w:r>
      <w:r>
        <w:rPr>
          <w:rFonts w:ascii="Times New Roman;sans-serif" w:hAnsi="Times New Roman;sans-serif"/>
          <w:b/>
          <w:color w:val="000000"/>
          <w:sz w:val="20"/>
        </w:rPr>
        <w:t>b.     Indemnification of Administrator.</w:t>
      </w:r>
      <w:r>
        <w:rPr>
          <w:color w:val="000000"/>
        </w:rPr>
        <w:t xml:space="preserve"> </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the Administrator, and any other members of the Board of Directors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of Directors under applicable law or Company policy.</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6.</w:t>
      </w:r>
      <w:r>
        <w:rPr>
          <w:color w:val="000000"/>
        </w:rPr>
        <w:t>    </w:t>
      </w:r>
      <w:r>
        <w:rPr>
          <w:rFonts w:ascii="Times New Roman;sans-serif" w:hAnsi="Times New Roman;sans-serif"/>
          <w:b/>
          <w:color w:val="000000"/>
          <w:sz w:val="20"/>
        </w:rPr>
        <w:t>DEFINITIONS</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a.    Accounting Restatement.</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w:t>
      </w:r>
      <w:r>
        <w:rPr>
          <w:rFonts w:ascii="Times New Roman;sans-serif" w:hAnsi="Times New Roman;sans-serif"/>
          <w:b w:val="false"/>
          <w:color w:val="000000"/>
          <w:sz w:val="20"/>
        </w:rPr>
        <w:t>Accounting Restatement” means an accounting restatement of the Company’s financial statements due to material noncompliance with any financial reporting requirement under the securities laws of the United States of America,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b.    Applicable Period.</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w:t>
      </w:r>
      <w:r>
        <w:rPr>
          <w:rFonts w:ascii="Times New Roman;sans-serif" w:hAnsi="Times New Roman;sans-serif"/>
          <w:b w:val="false"/>
          <w:color w:val="000000"/>
          <w:sz w:val="20"/>
        </w:rPr>
        <w:t>Applicable Period”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“date on which the Company is required to prepare an Accounting Restatement” is the earlier to occur of (i) the date the Board of Directors, a committee of the Board of Directors, or the officer or officers authorized to take such action if action by the Board of Directors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c.    Executive Officer.</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purposes of this Policy, the term “Executive Officer” means (i) the Company’s president, principal financial officer, principal accounting officer (or if there is no such accounting officer, the controller) of the Company, any vice-president of the Company in charge of a principal business unit, division, or function (such as sales, administration, or finance), any other officer of the Company who performs a policy-making function and any other person (including executive officers of a parent or subsidiary of the Company) who performs similar policy-making functions for the Company and (ii) any person who used to be such a person referred to in clause (i), in the case of clauses (i) and (ii) as determined by the Administrator in accordance with the definition of “executive officer” set forth in Rule 10D-1 and the Listing Rule 5608. </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d.    Financial Reporting Measures.</w:t>
      </w:r>
    </w:p>
    <w:p>
      <w:pPr>
        <w:pStyle w:val="TextBody"/>
        <w:bidi w:val="0"/>
        <w:spacing w:before="0" w:after="16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55650"/>
                <wp:effectExtent l="0" t="0" r="0" b="0"/>
                <wp:wrapNone/>
                <wp:docPr id="131" name="Frame130"/>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Reporting Measures are measures that are determined and presented in accordance with the accounting principles used in preparing the Company’s financial statements and any measures that are derived wholly or in part from such measures. Stock price and total shareholder return are also examples of Financial Reporting Measures. A Financial Reporting Measure need not be presented within the financial statements or included in a filing with the Securities and Exchange Commission.</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e.    Incentive-Based Compensation.</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Incentive-Based Compensation is any compensation that is granted, earned, or vested based wholly or in part upon the attainment of a Financial Reporting Measure.</w:t>
      </w:r>
    </w:p>
    <w:p>
      <w:pPr>
        <w:pStyle w:val="TextBody"/>
        <w:bidi w:val="0"/>
        <w:spacing w:before="100" w:after="283"/>
        <w:jc w:val="both"/>
        <w:rPr/>
      </w:pPr>
      <w:r>
        <w:rPr/>
      </w:r>
    </w:p>
    <w:p>
      <w:pPr>
        <w:pStyle w:val="TextBody"/>
        <w:bidi w:val="0"/>
        <w:spacing w:lineRule="auto" w:line="240" w:before="100" w:after="283"/>
        <w:jc w:val="both"/>
        <w:rPr>
          <w:color w:val="000000"/>
        </w:rPr>
      </w:pPr>
      <w:r>
        <w:rPr>
          <w:color w:val="000000"/>
        </w:rPr>
        <w:t>    </w:t>
      </w:r>
      <w:r>
        <w:rPr>
          <w:rFonts w:ascii="Times New Roman;sans-serif" w:hAnsi="Times New Roman;sans-serif"/>
          <w:b/>
          <w:color w:val="000000"/>
          <w:sz w:val="20"/>
        </w:rPr>
        <w:t>f.    Received.</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Incentive-Based Compensation is deemed received in the Company’s fiscal period during which the Financial Reporting Measure specified in the Incentive-Based Compensation award is attained, even if the payment or grant of the Incentive-Based Compensation occurs after the end of that fiscal period.</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 xml:space="preserve">7. </w:t>
      </w:r>
      <w:r>
        <w:rPr>
          <w:color w:val="000000"/>
        </w:rPr>
        <w:t>    </w:t>
      </w:r>
      <w:r>
        <w:rPr>
          <w:rFonts w:ascii="Times New Roman;sans-serif" w:hAnsi="Times New Roman;sans-serif"/>
          <w:b/>
          <w:color w:val="000000"/>
          <w:sz w:val="20"/>
        </w:rPr>
        <w:t>ADMINISTRATION</w:t>
      </w:r>
    </w:p>
    <w:p>
      <w:pPr>
        <w:pStyle w:val="TextBody"/>
        <w:bidi w:val="0"/>
        <w:spacing w:before="100" w:after="283"/>
        <w:jc w:val="both"/>
        <w:rPr/>
      </w:pPr>
      <w:r>
        <w:rPr/>
      </w:r>
    </w:p>
    <w:p>
      <w:pPr>
        <w:pStyle w:val="TextBody"/>
        <w:bidi w:val="0"/>
        <w:spacing w:lineRule="auto" w:line="240"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shall be administered by the Compensation Committee of the Board of Directors (the “Administrator”).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of Directors or such other committees of the Board of Directors as necessary or appropriate as to matters within the scope of such other committee’s responsibility and authority. Subject to any limitation of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lineRule="auto" w:line="240" w:before="100" w:after="240"/>
        <w:jc w:val="both"/>
        <w:rPr/>
      </w:pPr>
      <w:r>
        <w:rPr>
          <w:rFonts w:ascii="Times New Roman;sans-serif" w:hAnsi="Times New Roman;sans-serif"/>
          <w:b/>
          <w:color w:val="000000"/>
          <w:sz w:val="20"/>
        </w:rPr>
        <w:t>8.</w:t>
      </w:r>
      <w:r>
        <w:rPr>
          <w:color w:val="000000"/>
        </w:rPr>
        <w:t>    </w:t>
      </w:r>
      <w:r>
        <w:rPr>
          <w:rFonts w:ascii="Times New Roman;sans-serif" w:hAnsi="Times New Roman;sans-serif"/>
          <w:b/>
          <w:color w:val="000000"/>
          <w:sz w:val="20"/>
        </w:rPr>
        <w:t>DISCLOSURE</w:t>
      </w:r>
    </w:p>
    <w:p>
      <w:pPr>
        <w:pStyle w:val="TextBody"/>
        <w:bidi w:val="0"/>
        <w:spacing w:lineRule="auto" w:line="240"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file all disclosures with respect to this Policy in accordance with the requirement of the federal securities laws.</w:t>
      </w:r>
    </w:p>
    <w:p>
      <w:pPr>
        <w:pStyle w:val="TextBody"/>
        <w:bidi w:val="0"/>
        <w:spacing w:lineRule="auto" w:line="240" w:before="100" w:after="283"/>
        <w:jc w:val="both"/>
        <w:rPr/>
      </w:pPr>
      <w:r>
        <w:rPr>
          <w:rFonts w:ascii="Times New Roman;sans-serif" w:hAnsi="Times New Roman;sans-serif"/>
          <w:b/>
          <w:color w:val="000000"/>
          <w:sz w:val="20"/>
        </w:rPr>
        <w:t>9.</w:t>
      </w:r>
      <w:r>
        <w:rPr>
          <w:color w:val="000000"/>
        </w:rPr>
        <w:t>    </w:t>
      </w:r>
      <w:r>
        <w:rPr>
          <w:rFonts w:ascii="Times New Roman;sans-serif" w:hAnsi="Times New Roman;sans-serif"/>
          <w:b/>
          <w:color w:val="000000"/>
          <w:sz w:val="20"/>
        </w:rPr>
        <w:t>EFFECTIVE DATE</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this Policy shall apply to any Incentive-Based Compensation that is received by Executive Officers on or after October 2, 2023 (the “Effective Date”), even if such Incentive-Based Compensation was approved, awarded, or granted to Executive Officers prior to the Effective Date.</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10.</w:t>
      </w:r>
      <w:r>
        <w:rPr>
          <w:color w:val="000000"/>
        </w:rPr>
        <w:t>    </w:t>
      </w:r>
      <w:r>
        <w:rPr>
          <w:rFonts w:ascii="Times New Roman;sans-serif" w:hAnsi="Times New Roman;sans-serif"/>
          <w:b/>
          <w:color w:val="000000"/>
          <w:sz w:val="20"/>
        </w:rPr>
        <w:t>AMENDMENT</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11.</w:t>
      </w:r>
      <w:r>
        <w:rPr>
          <w:color w:val="000000"/>
        </w:rPr>
        <w:t>    </w:t>
      </w:r>
      <w:r>
        <w:rPr>
          <w:rFonts w:ascii="Times New Roman;sans-serif" w:hAnsi="Times New Roman;sans-serif"/>
          <w:b/>
          <w:color w:val="000000"/>
          <w:sz w:val="20"/>
        </w:rPr>
        <w:t>SUCCESSORS</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shall be binding and enforceable against all Executive Officers and their beneficiaries, heirs, executors, administrators or other legal representative.</w:t>
      </w:r>
    </w:p>
    <w:p>
      <w:pPr>
        <w:pStyle w:val="TextBody"/>
        <w:bidi w:val="0"/>
        <w:spacing w:before="0" w:after="16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55650"/>
                <wp:effectExtent l="0" t="0" r="0" b="0"/>
                <wp:wrapNone/>
                <wp:docPr id="132" name="Frame131"/>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12.</w:t>
      </w:r>
      <w:r>
        <w:rPr>
          <w:color w:val="000000"/>
        </w:rPr>
        <w:t>    </w:t>
      </w:r>
      <w:r>
        <w:rPr>
          <w:rFonts w:ascii="Times New Roman;sans-serif" w:hAnsi="Times New Roman;sans-serif"/>
          <w:b/>
          <w:color w:val="000000"/>
          <w:sz w:val="20"/>
        </w:rPr>
        <w:t>ACKNOWLEDGEMENT</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val="false"/>
          <w:color w:val="000000"/>
          <w:sz w:val="20"/>
        </w:rPr>
        <w:t xml:space="preserve">Each Executive Officer shall sign and return to the Company, within 30 calendar days following the later of (i) November 15, 2023 or (ii) the date the individual becomes an Executive Officer, the Acknowledgement Form attached hereto as </w:t>
      </w:r>
      <w:r>
        <w:rPr>
          <w:rFonts w:ascii="Times New Roman;sans-serif" w:hAnsi="Times New Roman;sans-serif"/>
          <w:b/>
          <w:color w:val="000000"/>
          <w:sz w:val="20"/>
        </w:rPr>
        <w:t>Exhibit A</w:t>
      </w:r>
      <w:r>
        <w:rPr>
          <w:rFonts w:ascii="Times New Roman;sans-serif" w:hAnsi="Times New Roman;sans-serif"/>
          <w:b w:val="false"/>
          <w:color w:val="000000"/>
          <w:sz w:val="20"/>
        </w:rPr>
        <w:t>, pursuant to which the Executive Officer agrees to be bound by, and to comply with, the terms and conditions of this Policy.</w:t>
      </w:r>
    </w:p>
    <w:p>
      <w:pPr>
        <w:pStyle w:val="TextBody"/>
        <w:bidi w:val="0"/>
        <w:spacing w:before="100" w:after="283"/>
        <w:jc w:val="both"/>
        <w:rPr/>
      </w:pPr>
      <w:r>
        <w:rPr/>
      </w:r>
    </w:p>
    <w:p>
      <w:pPr>
        <w:pStyle w:val="TextBody"/>
        <w:bidi w:val="0"/>
        <w:spacing w:lineRule="auto" w:line="240" w:before="100" w:after="283"/>
        <w:jc w:val="both"/>
        <w:rPr/>
      </w:pPr>
      <w:r>
        <w:rPr>
          <w:rFonts w:ascii="Times New Roman;sans-serif" w:hAnsi="Times New Roman;sans-serif"/>
          <w:b/>
          <w:color w:val="000000"/>
          <w:sz w:val="20"/>
        </w:rPr>
        <w:t>13.</w:t>
      </w:r>
      <w:r>
        <w:rPr>
          <w:color w:val="000000"/>
        </w:rPr>
        <w:t>    </w:t>
      </w:r>
      <w:r>
        <w:rPr>
          <w:rFonts w:ascii="Times New Roman;sans-serif" w:hAnsi="Times New Roman;sans-serif"/>
          <w:b/>
          <w:color w:val="000000"/>
          <w:sz w:val="20"/>
        </w:rPr>
        <w:t>GOVERNING LAW; VENUE</w:t>
      </w:r>
    </w:p>
    <w:p>
      <w:pPr>
        <w:pStyle w:val="TextBody"/>
        <w:bidi w:val="0"/>
        <w:spacing w:before="100" w:after="283"/>
        <w:jc w:val="both"/>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and all rights and obligations hereunder are governed by and construed in accordance with the internal laws of the State of Arizona, excluding any choice of law rules or principles that may direct the application of the laws of another jurisdiction. All actions arising out of or relating to this Policy shall be heard and determined exclusively in a federal or state court of competent jurisdiction in Maricopa County in the State of Arizona.</w:t>
      </w:r>
    </w:p>
    <w:p>
      <w:pPr>
        <w:pStyle w:val="TextBody"/>
        <w:bidi w:val="0"/>
        <w:spacing w:before="10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55650"/>
                <wp:effectExtent l="0" t="0" r="0" b="0"/>
                <wp:wrapNone/>
                <wp:docPr id="133" name="Frame132"/>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100" w:after="160"/>
        <w:jc w:val="left"/>
        <w:rPr/>
      </w:pPr>
      <w:r>
        <w:rPr/>
      </w:r>
    </w:p>
    <w:p>
      <w:pPr>
        <w:pStyle w:val="TextBody"/>
        <w:bidi w:val="0"/>
        <w:spacing w:lineRule="auto" w:line="240" w:before="100" w:after="24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lineRule="auto" w:line="300" w:before="100" w:after="160"/>
        <w:jc w:val="center"/>
        <w:rPr/>
      </w:pPr>
      <w:r>
        <w:rPr>
          <w:rFonts w:ascii="Times New Roman;sans-serif" w:hAnsi="Times New Roman;sans-serif"/>
          <w:b/>
          <w:color w:val="000000"/>
          <w:sz w:val="20"/>
        </w:rPr>
        <w:t>AMKOR</w:t>
      </w:r>
      <w:r>
        <w:rPr>
          <w:color w:val="000000"/>
        </w:rPr>
        <w:t xml:space="preserve"> </w:t>
      </w:r>
      <w:r>
        <w:rPr>
          <w:rFonts w:ascii="Times New Roman;sans-serif" w:hAnsi="Times New Roman;sans-serif"/>
          <w:b/>
          <w:color w:val="000000"/>
          <w:sz w:val="20"/>
        </w:rPr>
        <w:t>TECHNOLOGY, INC.</w:t>
        <w:br/>
        <w:t>EXCESS COMPENSATION RECOVERY POLICY</w:t>
      </w:r>
    </w:p>
    <w:p>
      <w:pPr>
        <w:pStyle w:val="TextBody"/>
        <w:bidi w:val="0"/>
        <w:spacing w:lineRule="auto" w:line="300" w:before="100" w:after="160"/>
        <w:jc w:val="center"/>
        <w:rPr>
          <w:rFonts w:ascii="Times New Roman;sans-serif" w:hAnsi="Times New Roman;sans-serif"/>
          <w:b/>
          <w:color w:val="000000"/>
          <w:sz w:val="20"/>
        </w:rPr>
      </w:pPr>
      <w:r>
        <w:rPr>
          <w:rFonts w:ascii="Times New Roman;sans-serif" w:hAnsi="Times New Roman;sans-serif"/>
          <w:b/>
          <w:color w:val="000000"/>
          <w:sz w:val="20"/>
        </w:rPr>
        <w:t>ACKNOWLEDGEMENT FORM</w:t>
      </w:r>
    </w:p>
    <w:p>
      <w:pPr>
        <w:pStyle w:val="TextBody"/>
        <w:bidi w:val="0"/>
        <w:spacing w:before="100" w:after="240"/>
        <w:jc w:val="both"/>
        <w:rPr/>
      </w:pPr>
      <w:r>
        <w:rPr/>
      </w:r>
    </w:p>
    <w:p>
      <w:pPr>
        <w:pStyle w:val="TextBody"/>
        <w:bidi w:val="0"/>
        <w:spacing w:lineRule="auto" w:line="240"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 signing below, the undersigned acknowledges and confirms that the undersigned has received and reviewed a copy of the Amkor Technology, Inc. Excess Compensation Recovery Policy. Any capitalized terms used in this Acknowledgment without definition shall have the meaning set forth in the Policy.</w:t>
      </w:r>
    </w:p>
    <w:p>
      <w:pPr>
        <w:pStyle w:val="TextBody"/>
        <w:bidi w:val="0"/>
        <w:spacing w:lineRule="auto" w:line="240"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 signing this Acknowledgement Form, the undersigned acknowledges and agrees that, for good and valuable consideration (the receipt and sufficiency of which the undersigned also acknowledges), notwithstanding anything to the contrary in any agreement between the Company or any of its subsidiaries and the undersigned (or any compensatory plan or program of the Company or any of its subsidiaries in which the undersigned participates) now or in the future, the undersigned: (1) is and will continue to be subject to the Policy both during and after the undersigned’s employment with the Company or any of its subsidiaries, with respect to Incentive-Based Compensation that is received by the undersigned on or after the Effective Date, even if such Incentive-Based Compensation was approved, awarded, or granted to the undersigned prior to the Effective Date; (2) will abide by the terms of the Policy, including, without limitation, by returning any Erroneously Awarded Compensation to the Company to the extent required by, and in a manner consistent with, the Policy; and (3) pursuant to Section 5(a) of the Policy, will not be indemnified by the Company for the loss of any Erroneously Awarded Compensation.</w:t>
      </w:r>
    </w:p>
    <w:p>
      <w:pPr>
        <w:pStyle w:val="TextBody"/>
        <w:bidi w:val="0"/>
        <w:spacing w:before="100" w:after="240"/>
        <w:jc w:val="both"/>
        <w:rPr/>
      </w:pPr>
      <w:r>
        <w:rPr/>
      </w:r>
    </w:p>
    <w:p>
      <w:pPr>
        <w:pStyle w:val="TextBody"/>
        <w:bidi w:val="0"/>
        <w:spacing w:lineRule="auto" w:line="240" w:before="100" w:after="240"/>
        <w:jc w:val="left"/>
        <w:rPr>
          <w:rFonts w:ascii="Times New Roman;sans-serif" w:hAnsi="Times New Roman;sans-serif"/>
          <w:b/>
          <w:color w:val="000000"/>
          <w:sz w:val="20"/>
        </w:rPr>
      </w:pPr>
      <w:r>
        <w:rPr>
          <w:rFonts w:ascii="Times New Roman;sans-serif" w:hAnsi="Times New Roman;sans-serif"/>
          <w:b/>
          <w:color w:val="000000"/>
          <w:sz w:val="20"/>
        </w:rPr>
        <w:t>EXECUTIVE OFFICER</w:t>
      </w:r>
    </w:p>
    <w:p>
      <w:pPr>
        <w:pStyle w:val="TextBody"/>
        <w:bidi w:val="0"/>
        <w:spacing w:before="100" w:after="240"/>
        <w:jc w:val="left"/>
        <w:rPr/>
      </w:pPr>
      <w:r>
        <w:rPr/>
      </w:r>
    </w:p>
    <w:p>
      <w:pPr>
        <w:pStyle w:val="TextBody"/>
        <w:bidi w:val="0"/>
        <w:spacing w:lineRule="auto" w:line="240" w:before="100" w:after="240"/>
        <w:jc w:val="left"/>
        <w:rPr/>
      </w:pPr>
      <w:r>
        <w:rPr>
          <w:color w:val="000000"/>
          <w:u w:val="single"/>
        </w:rPr>
        <w:t>    </w:t>
      </w:r>
      <w:r>
        <w:rPr>
          <w:rFonts w:ascii="Times New Roman;sans-serif" w:hAnsi="Times New Roman;sans-serif"/>
          <w:b w:val="false"/>
          <w:color w:val="000000"/>
          <w:sz w:val="20"/>
        </w:rPr>
        <w:br/>
        <w:t>Signature</w:t>
      </w:r>
    </w:p>
    <w:p>
      <w:pPr>
        <w:pStyle w:val="TextBody"/>
        <w:bidi w:val="0"/>
        <w:spacing w:lineRule="auto" w:line="240" w:before="100" w:after="240"/>
        <w:jc w:val="left"/>
        <w:rPr/>
      </w:pPr>
      <w:r>
        <w:rPr>
          <w:color w:val="000000"/>
          <w:u w:val="single"/>
        </w:rPr>
        <w:t>    </w:t>
      </w:r>
      <w:r>
        <w:rPr>
          <w:rFonts w:ascii="Times New Roman;sans-serif" w:hAnsi="Times New Roman;sans-serif"/>
          <w:b w:val="false"/>
          <w:color w:val="000000"/>
          <w:sz w:val="20"/>
        </w:rPr>
        <w:br/>
        <w:t>Print Name</w:t>
      </w:r>
    </w:p>
    <w:p>
      <w:pPr>
        <w:pStyle w:val="TextBody"/>
        <w:bidi w:val="0"/>
        <w:spacing w:lineRule="auto" w:line="240" w:before="100" w:after="240"/>
        <w:jc w:val="left"/>
        <w:rPr/>
      </w:pPr>
      <w:r>
        <w:rPr>
          <w:color w:val="000000"/>
          <w:u w:val="single"/>
        </w:rPr>
        <w:t>    </w:t>
      </w:r>
      <w:r>
        <w:rPr>
          <w:rFonts w:ascii="Times New Roman;sans-serif" w:hAnsi="Times New Roman;sans-serif"/>
          <w:b w:val="false"/>
          <w:color w:val="000000"/>
          <w:sz w:val="20"/>
        </w:rPr>
        <w:br/>
        <w:t>Date</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55650"/>
                <wp:effectExtent l="0" t="0" r="0" b="0"/>
                <wp:wrapNone/>
                <wp:docPr id="134" name="Frame133"/>
                <a:graphic xmlns:a="http://schemas.openxmlformats.org/drawingml/2006/main">
                  <a:graphicData uri="http://schemas.microsoft.com/office/word/2010/wordprocessingShape">
                    <wps:wsp>
                      <wps:cNvSpPr txBox="1"/>
                      <wps:spPr>
                        <a:xfrm>
                          <a:off x="0" y="0"/>
                          <a:ext cx="6480175" cy="7556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47127/000089322004001612/w99531exv2w3.txt" TargetMode="External"/><Relationship Id="rId4" Type="http://schemas.openxmlformats.org/officeDocument/2006/relationships/hyperlink" Target="http://www.sec.gov/Archives/edgar/data/1047127/0000891618-97-004025.txt" TargetMode="External"/><Relationship Id="rId5" Type="http://schemas.openxmlformats.org/officeDocument/2006/relationships/hyperlink" Target="http://www.sec.gov/Archives/edgar/data/1047127/0000891618-98-004062.txt" TargetMode="External"/><Relationship Id="rId6" Type="http://schemas.openxmlformats.org/officeDocument/2006/relationships/hyperlink" Target="http://www.sec.gov/Archives/edgar/data/1047127/000104712714000006/amkr123113ex33.htm" TargetMode="External"/><Relationship Id="rId7" Type="http://schemas.openxmlformats.org/officeDocument/2006/relationships/hyperlink" Target="http://www.sec.gov/Archives/edgar/data/1047127/0000891618-98-001449.txt" TargetMode="External"/><Relationship Id="rId8" Type="http://schemas.openxmlformats.org/officeDocument/2006/relationships/hyperlink" Target="http://www.sec.gov/Archives/edgar/data/1047127/000119312519076193/d712238dex41.htm" TargetMode="External"/><Relationship Id="rId9" Type="http://schemas.openxmlformats.org/officeDocument/2006/relationships/hyperlink" Target="http://www.sec.gov/Archives/edgar/data/1047127/000104712720000006/amkr123119ex43.htm" TargetMode="External"/><Relationship Id="rId10" Type="http://schemas.openxmlformats.org/officeDocument/2006/relationships/hyperlink" Target="http://www.sec.gov/Archives/edgar/data/1047127/0000891618-98-001449.txt" TargetMode="External"/><Relationship Id="rId11" Type="http://schemas.openxmlformats.org/officeDocument/2006/relationships/hyperlink" Target="http://www.sec.gov/Archives/edgar/data/1047127/000095015309000248/p14626exv10w1.htm" TargetMode="External"/><Relationship Id="rId12" Type="http://schemas.openxmlformats.org/officeDocument/2006/relationships/hyperlink" Target="http://www.sec.gov/Archives/edgar/data/1047127/000104712717000023/amkr33117ex102.htm" TargetMode="External"/><Relationship Id="rId13" Type="http://schemas.openxmlformats.org/officeDocument/2006/relationships/hyperlink" Target="http://www.sec.gov/Archives/edgar/data/1047127/000104712717000023/amkr33117ex103.htm" TargetMode="External"/><Relationship Id="rId14" Type="http://schemas.openxmlformats.org/officeDocument/2006/relationships/hyperlink" Target="http://www.sec.gov/Archives/edgar/data/1047127/000104712717000023/amkr33117ex104.htm" TargetMode="External"/><Relationship Id="rId15" Type="http://schemas.openxmlformats.org/officeDocument/2006/relationships/hyperlink" Target="http://www.sec.gov/Archives/edgar/data/1047127/000104712717000025/amkorarequityplanexhibit10.htm" TargetMode="External"/><Relationship Id="rId16" Type="http://schemas.openxmlformats.org/officeDocument/2006/relationships/hyperlink" Target="http://www.sec.gov/Archives/edgar/data/1047127/000104712719000036/amkr63019ex103.htm" TargetMode="External"/><Relationship Id="rId17" Type="http://schemas.openxmlformats.org/officeDocument/2006/relationships/hyperlink" Target="http://www.sec.gov/Archives/edgar/data/1047127/000104712720000037/a101-amkorglobalformof.htm" TargetMode="External"/><Relationship Id="rId18" Type="http://schemas.openxmlformats.org/officeDocument/2006/relationships/hyperlink" Target="http://www.sec.gov/Archives/edgar/data/1047127/000104712720000037/a102-exhibitamkorxglob.htm" TargetMode="External"/><Relationship Id="rId19" Type="http://schemas.openxmlformats.org/officeDocument/2006/relationships/hyperlink" Target="http://www.sec.gov/Archives/edgar/data/1047127/000104712720000057/a101globalformofstocko.htm" TargetMode="External"/><Relationship Id="rId20" Type="http://schemas.openxmlformats.org/officeDocument/2006/relationships/hyperlink" Target="http://www.sec.gov/Archives/edgar/data/1047127/000104712720000057/a102globalformofrestri.htm" TargetMode="External"/><Relationship Id="rId21" Type="http://schemas.openxmlformats.org/officeDocument/2006/relationships/hyperlink" Target="http://www.sec.gov/Archives/edgar/data/1047127/000104712721000003/exhibit101-formofperforman.htm" TargetMode="External"/><Relationship Id="rId22" Type="http://schemas.openxmlformats.org/officeDocument/2006/relationships/hyperlink" Target="http://www.sec.gov/Archives/edgar/data/1047127/000104712721000003/exhibit102-formofrestricte.htm" TargetMode="External"/><Relationship Id="rId23" Type="http://schemas.openxmlformats.org/officeDocument/2006/relationships/hyperlink" Target="http://www.sec.gov/Archives/edgar/data/0001047127/000119312521167936/d182081dex101.htm" TargetMode="External"/><Relationship Id="rId24" Type="http://schemas.openxmlformats.org/officeDocument/2006/relationships/hyperlink" Target="https://www.sec.gov/Archives/edgar/data/1047127/000104712722000006/amkr123121ex1036.htm" TargetMode="External"/><Relationship Id="rId25" Type="http://schemas.openxmlformats.org/officeDocument/2006/relationships/hyperlink" Target="https://www.sec.gov/Archives/edgar/data/1047127/000119312521167936/d182081dex102.htm" TargetMode="External"/><Relationship Id="rId26" Type="http://schemas.openxmlformats.org/officeDocument/2006/relationships/hyperlink" Target="http://www.sec.gov/Archives/edgar/data/0001047127/000119312521167936/d182081dex103.htm" TargetMode="External"/><Relationship Id="rId27" Type="http://schemas.openxmlformats.org/officeDocument/2006/relationships/hyperlink" Target="http://www.sec.gov/Archives/edgar/data/0001047127/000119312521167936/d182081dex104.htm" TargetMode="External"/><Relationship Id="rId28" Type="http://schemas.openxmlformats.org/officeDocument/2006/relationships/hyperlink" Target="http://www.sec.gov/Archives/edgar/data/0001047127/000119312521167936/d182081dex105.htm" TargetMode="External"/><Relationship Id="rId29" Type="http://schemas.openxmlformats.org/officeDocument/2006/relationships/hyperlink" Target="http://www.sec.gov/Archives/edgar/data/0001047127/000119312521167936/d182081dex106.htm" TargetMode="External"/><Relationship Id="rId30" Type="http://schemas.openxmlformats.org/officeDocument/2006/relationships/hyperlink" Target="http://www.sec.gov/Archives/edgar/data/0001047127/000119312521167936/d182081dex107.htm" TargetMode="External"/><Relationship Id="rId31" Type="http://schemas.openxmlformats.org/officeDocument/2006/relationships/hyperlink" Target="https://www.sec.gov/Archives/edgar/data/1047127/000104712722000006/amkr123121ex1035.htm" TargetMode="External"/><Relationship Id="rId32" Type="http://schemas.openxmlformats.org/officeDocument/2006/relationships/hyperlink" Target="https://www.sec.gov/Archives/edgar/data/1047127/000104712722000025/amkr6302022ex101.htm" TargetMode="External"/><Relationship Id="rId33" Type="http://schemas.openxmlformats.org/officeDocument/2006/relationships/hyperlink" Target="https://www.sec.gov/Archives/edgar/data/1047127/000104712723000009/amkr123122ex1025.htm" TargetMode="External"/><Relationship Id="rId34" Type="http://schemas.openxmlformats.org/officeDocument/2006/relationships/hyperlink" Target="http://www.sec.gov/Archives/edgar/data/1047127/000104712717000025/amkorarexecutiveincentiveb.htm" TargetMode="External"/><Relationship Id="rId35" Type="http://schemas.openxmlformats.org/officeDocument/2006/relationships/hyperlink" Target="http://www.sec.gov/Archives/edgar/data/1047127/000104712720000037/a103-exhibitamkorrutte.htm" TargetMode="External"/><Relationship Id="rId36" Type="http://schemas.openxmlformats.org/officeDocument/2006/relationships/hyperlink" Target="http://www.sec.gov/Archives/edgar/data/1047127/000104712720000037/a104-exhibitamkorsteph.htm" TargetMode="External"/><Relationship Id="rId37" Type="http://schemas.openxmlformats.org/officeDocument/2006/relationships/hyperlink" Target="http://www.sec.gov/Archives/edgar/data/0001047127/000104712721000043/amkr9302021ex101.htm" TargetMode="External"/><Relationship Id="rId38" Type="http://schemas.openxmlformats.org/officeDocument/2006/relationships/hyperlink" Target="https://www.sec.gov/Archives/edgar/data/1047127/000104712723000009/amkr123122ex1030.htm" TargetMode="External"/><Relationship Id="rId39" Type="http://schemas.openxmlformats.org/officeDocument/2006/relationships/hyperlink" Target="https://www.sec.gov/Archives/edgar/data/1047127/000104712723000009/amkr123122ex1031.htm" TargetMode="External"/><Relationship Id="rId40" Type="http://schemas.openxmlformats.org/officeDocument/2006/relationships/hyperlink" Target="https://www.sec.gov/Archives/edgar/data/1047127/000104712723000009/amkr123122ex1032.htm" TargetMode="External"/><Relationship Id="rId41" Type="http://schemas.openxmlformats.org/officeDocument/2006/relationships/hyperlink" Target="https://www.sec.gov/Archives/edgar/data/1047127/000104712723000009/amkr123122ex1033.htm" TargetMode="External"/><Relationship Id="rId42" Type="http://schemas.openxmlformats.org/officeDocument/2006/relationships/hyperlink" Target="https://www.sec.gov/Archives/edgar/data/1047127/000104712723000009/amkr123122ex1034.htm" TargetMode="External"/><Relationship Id="rId43" Type="http://schemas.openxmlformats.org/officeDocument/2006/relationships/hyperlink" Target="https://www.sec.gov/Archives/edgar/data/1047127/000104712723000009/amkr123122ex1035.htm" TargetMode="External"/><Relationship Id="rId44" Type="http://schemas.openxmlformats.org/officeDocument/2006/relationships/hyperlink" Target="http://www.sec.gov/Archives/edgar/data/1047127/000119312518220776/d551484dex101.htm" TargetMode="External"/><Relationship Id="rId45" Type="http://schemas.openxmlformats.org/officeDocument/2006/relationships/hyperlink" Target="http://www.sec.gov/Archives/edgar/data/1047127/000119312518220776/d551484dex102.htm" TargetMode="External"/><Relationship Id="rId46" Type="http://schemas.openxmlformats.org/officeDocument/2006/relationships/hyperlink" Target="http://www.sec.gov/Archives/edgar/data/1047127/000119312518220776/d551484dex103.htm" TargetMode="External"/><Relationship Id="rId47" Type="http://schemas.openxmlformats.org/officeDocument/2006/relationships/hyperlink" Target="http://www.sec.gov/Archives/edgar/data/1047127/000104712719000036/amkr63019ex102.htm" TargetMode="External"/><Relationship Id="rId48" Type="http://schemas.openxmlformats.org/officeDocument/2006/relationships/hyperlink" Target="http://www.sec.gov/Archives/edgar/data/1047127/000119312518220776/d551484dex104.htm" TargetMode="External"/><Relationship Id="rId49" Type="http://schemas.openxmlformats.org/officeDocument/2006/relationships/hyperlink" Target="http://www.sec.gov/Archives/edgar/data/1047127/000119312519323503/d841984dex101.htm" TargetMode="External"/><Relationship Id="rId50" Type="http://schemas.openxmlformats.org/officeDocument/2006/relationships/hyperlink" Target="http://www.sec.gov/Archives/edgar/data/1047127/000119312519323503/d841984dex102.htm" TargetMode="External"/><Relationship Id="rId51" Type="http://schemas.openxmlformats.org/officeDocument/2006/relationships/hyperlink" Target="http://www.sec.gov/Archives/edgar/data/1047127/000119312519323503/d841984dex103.htm" TargetMode="External"/><Relationship Id="rId52" Type="http://schemas.openxmlformats.org/officeDocument/2006/relationships/hyperlink" Target="https://www.sec.gov/Archives/edgar/data/1047127/000119312522088294/d315757dex101.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66863</Words>
  <Characters>376364</Characters>
  <CharactersWithSpaces>440682</CharactersWithSpaces>
  <Paragraphs>5337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