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8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2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spacing w:after="0"/>
              <w:rPr>
                <w:sz w:val="19"/>
                <w:szCs w:val="19"/>
                <w:color w:val="auto"/>
              </w:rPr>
            </w:pPr>
          </w:p>
        </w:tc>
        <w:tc>
          <w:tcPr>
            <w:tcW w:w="4460" w:type="dxa"/>
            <w:vAlign w:val="bottom"/>
          </w:tcPr>
          <w:p>
            <w:pPr>
              <w:jc w:val="right"/>
              <w:ind w:right="1735"/>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90"/>
        </w:trPr>
        <w:tc>
          <w:tcPr>
            <w:tcW w:w="4020" w:type="dxa"/>
            <w:vAlign w:val="bottom"/>
          </w:tcPr>
          <w:p>
            <w:pPr>
              <w:jc w:val="center"/>
              <w:ind w:left="27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76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98"/>
        </w:trPr>
        <w:tc>
          <w:tcPr>
            <w:tcW w:w="4020" w:type="dxa"/>
            <w:vAlign w:val="bottom"/>
          </w:tcPr>
          <w:p>
            <w:pPr>
              <w:spacing w:after="0"/>
              <w:rPr>
                <w:sz w:val="24"/>
                <w:szCs w:val="24"/>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4020" w:type="dxa"/>
            <w:vAlign w:val="bottom"/>
          </w:tcPr>
          <w:p>
            <w:pPr>
              <w:spacing w:after="0"/>
              <w:rPr>
                <w:sz w:val="18"/>
                <w:szCs w:val="18"/>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4020" w:type="dxa"/>
            <w:vAlign w:val="bottom"/>
          </w:tcPr>
          <w:p>
            <w:pPr>
              <w:spacing w:after="0"/>
              <w:rPr>
                <w:sz w:val="16"/>
                <w:szCs w:val="16"/>
                <w:color w:val="auto"/>
              </w:rPr>
            </w:pPr>
          </w:p>
        </w:tc>
        <w:tc>
          <w:tcPr>
            <w:tcW w:w="7220" w:type="dxa"/>
            <w:vAlign w:val="bottom"/>
            <w:gridSpan w:val="2"/>
          </w:tcPr>
          <w:p>
            <w:pPr>
              <w:jc w:val="center"/>
              <w:ind w:right="393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4020" w:type="dxa"/>
            <w:vAlign w:val="bottom"/>
          </w:tcPr>
          <w:p>
            <w:pPr>
              <w:spacing w:after="0"/>
              <w:rPr>
                <w:sz w:val="24"/>
                <w:szCs w:val="24"/>
                <w:color w:val="auto"/>
              </w:rPr>
            </w:pPr>
          </w:p>
        </w:tc>
        <w:tc>
          <w:tcPr>
            <w:tcW w:w="2760" w:type="dxa"/>
            <w:vAlign w:val="bottom"/>
          </w:tcPr>
          <w:p>
            <w:pPr>
              <w:jc w:val="center"/>
              <w:ind w:left="355"/>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7220" w:type="dxa"/>
            <w:vAlign w:val="bottom"/>
            <w:gridSpan w:val="2"/>
          </w:tcPr>
          <w:p>
            <w:pPr>
              <w:jc w:val="center"/>
              <w:ind w:right="391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4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7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2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5"/>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95"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98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October 22, 2024 was 246,631,060.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and Nine Months Ended September 30, 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 Three and Nine Months Ended September 30,</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 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September 30, 2024 and December 31,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 Three and Nine Months Ended September 30, 2024</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 Nine Months Ended September 30, 2024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2024, (2) our ability to fund our operating activities and financial requirements for the next twelve months, (3) the effect of changes in revenue levels and capacity utilization on our gross margin, (4) the impact of health conditions or pandemics, such as the Covid-19 pandemic, on our operations, financial results and supply chain, (5) the focus of our research and development activities, (6) 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 (16) 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benefits from our new manufacturing facility in Bac Ninh, Vietnam (the “Vietnam Facility”), (22) the effects of business, economic, political, legal and regulatory impacts, conflicts or natural disasters on our global operations, (23) the impact of rising interest</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rates on our investment portfolio and (24) 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2023 (the “2023 Form 10-K”) and from time to time in our other reports filed with or furnished to the Securities and Exchange Commission (“SEC”). You should carefully consider the trends, risks and uncertainties described in this Form 10-Q, the 2023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720" w:type="dxa"/>
            <w:vAlign w:val="bottom"/>
            <w:gridSpan w:val="8"/>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18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8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22"/>
                <w:szCs w:val="22"/>
                <w:color w:val="auto"/>
              </w:rPr>
            </w:pPr>
          </w:p>
        </w:tc>
        <w:tc>
          <w:tcPr>
            <w:tcW w:w="254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30,</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80" w:type="dxa"/>
            <w:vAlign w:val="bottom"/>
            <w:tcBorders>
              <w:bottom w:val="single" w:sz="8" w:color="auto"/>
            </w:tcBorders>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4,688,574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4,751,254</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1,539,040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4,002,072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4,087,210</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282,753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664,044</w:t>
            </w: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216,551</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135,870</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352,421</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311,623</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19,310</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292,313</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49,194</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243,119</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1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242,251</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21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245,571</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247,080</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20" w:type="dxa"/>
            <w:vAlign w:val="bottom"/>
          </w:tcPr>
          <w:p>
            <w:pPr>
              <w:spacing w:after="0"/>
              <w:rPr>
                <w:sz w:val="13"/>
                <w:szCs w:val="13"/>
                <w:color w:val="auto"/>
              </w:rPr>
            </w:pPr>
          </w:p>
        </w:tc>
        <w:tc>
          <w:tcPr>
            <w:tcW w:w="25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249,734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243,119</w:t>
            </w: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5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net unrealized gains (losses) on available-for-sale debt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r>
      <w:tr>
        <w:trPr>
          <w:trHeight w:val="223"/>
        </w:trPr>
        <w:tc>
          <w:tcPr>
            <w:tcW w:w="5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(14,860)</w:t>
            </w:r>
          </w:p>
        </w:tc>
      </w:tr>
      <w:tr>
        <w:trPr>
          <w:trHeight w:val="22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228,259</w:t>
            </w:r>
          </w:p>
        </w:tc>
      </w:tr>
      <w:tr>
        <w:trPr>
          <w:trHeight w:val="23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4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227,391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959,140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1,119,818</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$511,944 and $474,663 in 2024 and 2023, respectively)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474,869</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1,351,817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1,149,493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393,128</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58,502</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3,244,318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3,195,810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3,538,841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3,299,445</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117,006</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20,003</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138,062</w:t>
            </w:r>
          </w:p>
        </w:tc>
        <w:tc>
          <w:tcPr>
            <w:tcW w:w="0" w:type="dxa"/>
            <w:vAlign w:val="bottom"/>
          </w:tcPr>
          <w:p>
            <w:pPr>
              <w:spacing w:after="0"/>
              <w:rPr>
                <w:sz w:val="1"/>
                <w:szCs w:val="1"/>
                <w:color w:val="auto"/>
              </w:rPr>
            </w:pPr>
          </w:p>
        </w:tc>
      </w:tr>
      <w:tr>
        <w:trPr>
          <w:trHeight w:val="227"/>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7,029,086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6,771,125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131,624</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754,453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106,368</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33,616</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315,260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358,414</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1,384,475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1,071,832</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56,837</w:t>
            </w:r>
          </w:p>
        </w:tc>
        <w:tc>
          <w:tcPr>
            <w:tcW w:w="0" w:type="dxa"/>
            <w:vAlign w:val="bottom"/>
          </w:tcPr>
          <w:p>
            <w:pPr>
              <w:spacing w:after="0"/>
              <w:rPr>
                <w:sz w:val="1"/>
                <w:szCs w:val="1"/>
                <w:color w:val="auto"/>
              </w:rPr>
            </w:pPr>
          </w:p>
        </w:tc>
      </w:tr>
      <w:tr>
        <w:trPr>
          <w:trHeight w:val="22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215,144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175,813</w:t>
            </w:r>
          </w:p>
        </w:tc>
        <w:tc>
          <w:tcPr>
            <w:tcW w:w="0" w:type="dxa"/>
            <w:vAlign w:val="bottom"/>
          </w:tcPr>
          <w:p>
            <w:pPr>
              <w:spacing w:after="0"/>
              <w:rPr>
                <w:sz w:val="1"/>
                <w:szCs w:val="1"/>
                <w:color w:val="auto"/>
              </w:rPr>
            </w:pPr>
          </w:p>
        </w:tc>
      </w:tr>
      <w:tr>
        <w:trPr>
          <w:trHeight w:val="227"/>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2,831,832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2,776,090</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Common stock, $0.001 par value, 500,000 shares authorized; 292,992 and 292,167 shares issued; and</w:t>
            </w:r>
          </w:p>
        </w:tc>
        <w:tc>
          <w:tcPr>
            <w:tcW w:w="2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246,630 and 245,888 shares outstanding in 2024 and 2023, respectively</w:t>
            </w:r>
          </w:p>
        </w:tc>
        <w:tc>
          <w:tcPr>
            <w:tcW w:w="2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2,008,170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2,349,938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2,159,831</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46,362 and 46,279 shares in 2024 and 2023,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(224,882)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(222,335)</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4,163,621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3,962,308</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32,727</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4,197,254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3,995,035</w:t>
            </w:r>
          </w:p>
        </w:tc>
        <w:tc>
          <w:tcPr>
            <w:tcW w:w="0" w:type="dxa"/>
            <w:vAlign w:val="bottom"/>
          </w:tcPr>
          <w:p>
            <w:pPr>
              <w:spacing w:after="0"/>
              <w:rPr>
                <w:sz w:val="1"/>
                <w:szCs w:val="1"/>
                <w:color w:val="auto"/>
              </w:rPr>
            </w:pPr>
          </w:p>
        </w:tc>
      </w:tr>
      <w:tr>
        <w:trPr>
          <w:trHeight w:val="252"/>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7,029,086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6,771,125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292,642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2,022,512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2,246,795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4,049,657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4,083,334</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122,690</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3,620</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($0.07875 per common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(19,426)</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08"/>
        </w:trPr>
        <w:tc>
          <w:tcPr>
            <w:tcW w:w="1600" w:type="dxa"/>
            <w:vAlign w:val="bottom"/>
            <w:tcBorders>
              <w:top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292,992</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2,028,024</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2,349,938</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10,248</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(46,362)</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(224,882)</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4,163,621</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33,633</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4,197,254</w:t>
            </w:r>
          </w:p>
        </w:tc>
        <w:tc>
          <w:tcPr>
            <w:tcW w:w="0" w:type="dxa"/>
            <w:vAlign w:val="bottom"/>
          </w:tcPr>
          <w:p>
            <w:pPr>
              <w:spacing w:after="0"/>
              <w:rPr>
                <w:sz w:val="1"/>
                <w:szCs w:val="1"/>
                <w:color w:val="auto"/>
              </w:rPr>
            </w:pPr>
          </w:p>
        </w:tc>
      </w:tr>
      <w:tr>
        <w:trPr>
          <w:trHeight w:val="182"/>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2,008,170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248,363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248,363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249,734</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Conversion of debt to</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4,708</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($0.23625 per common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(58,256)</w:t>
            </w: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108"/>
        </w:trPr>
        <w:tc>
          <w:tcPr>
            <w:tcW w:w="1600" w:type="dxa"/>
            <w:vAlign w:val="bottom"/>
            <w:tcBorders>
              <w:top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292,992</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2,028,024</w:t>
            </w: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2,349,938</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10,248</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(46,362)</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(224,882)</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4,163,621</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33,633</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4,197,254</w:t>
            </w:r>
          </w:p>
        </w:tc>
        <w:tc>
          <w:tcPr>
            <w:tcW w:w="0" w:type="dxa"/>
            <w:vAlign w:val="bottom"/>
          </w:tcPr>
          <w:p>
            <w:pPr>
              <w:spacing w:after="0"/>
              <w:rPr>
                <w:sz w:val="1"/>
                <w:szCs w:val="1"/>
                <w:color w:val="auto"/>
              </w:rPr>
            </w:pPr>
          </w:p>
        </w:tc>
      </w:tr>
      <w:tr>
        <w:trPr>
          <w:trHeight w:val="182"/>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00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2,005,055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1,947,420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3,732,150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3,762,859</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133,451</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9"/>
              </w:rPr>
              <w:t>through surrender of shares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8"/>
              </w:rPr>
              <w:t>($0.075 per common share)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08"/>
        </w:trPr>
        <w:tc>
          <w:tcPr>
            <w:tcW w:w="1620" w:type="dxa"/>
            <w:vAlign w:val="bottom"/>
            <w:tcBorders>
              <w:top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292,033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2,005,026</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2,061,596</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(222,065)</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3,846,688</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31,411</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3,878,099</w:t>
            </w:r>
          </w:p>
        </w:tc>
        <w:tc>
          <w:tcPr>
            <w:tcW w:w="0" w:type="dxa"/>
            <w:vAlign w:val="bottom"/>
          </w:tcPr>
          <w:p>
            <w:pPr>
              <w:spacing w:after="0"/>
              <w:rPr>
                <w:sz w:val="1"/>
                <w:szCs w:val="1"/>
                <w:color w:val="auto"/>
              </w:rPr>
            </w:pPr>
          </w:p>
        </w:tc>
      </w:tr>
      <w:tr>
        <w:trPr>
          <w:trHeight w:val="182"/>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1,996,344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3,699,701</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243,119</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(14,860)</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9"/>
              </w:rPr>
              <w:t>through surrender of shares</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6,398</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8"/>
              </w:rPr>
              <w:t>($0.225 per common share)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(55,299)</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0" w:type="dxa"/>
            <w:vAlign w:val="bottom"/>
          </w:tcPr>
          <w:p>
            <w:pPr>
              <w:spacing w:after="0"/>
              <w:rPr>
                <w:sz w:val="1"/>
                <w:szCs w:val="1"/>
                <w:color w:val="auto"/>
              </w:rPr>
            </w:pPr>
          </w:p>
        </w:tc>
      </w:tr>
      <w:tr>
        <w:trPr>
          <w:trHeight w:val="108"/>
        </w:trPr>
        <w:tc>
          <w:tcPr>
            <w:tcW w:w="1620" w:type="dxa"/>
            <w:vAlign w:val="bottom"/>
            <w:tcBorders>
              <w:top w:val="single" w:sz="8" w:color="CCEEFF"/>
            </w:tcBorders>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292,033</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2,005,026</w:t>
            </w:r>
          </w:p>
        </w:tc>
        <w:tc>
          <w:tcPr>
            <w:tcW w:w="1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2,061,596</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(46,269)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(222,065)</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3,846,688</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31,411</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3,878,099</w:t>
            </w:r>
          </w:p>
        </w:tc>
        <w:tc>
          <w:tcPr>
            <w:tcW w:w="0" w:type="dxa"/>
            <w:vAlign w:val="bottom"/>
          </w:tcPr>
          <w:p>
            <w:pPr>
              <w:spacing w:after="0"/>
              <w:rPr>
                <w:sz w:val="1"/>
                <w:szCs w:val="1"/>
                <w:color w:val="auto"/>
              </w:rPr>
            </w:pPr>
          </w:p>
        </w:tc>
      </w:tr>
      <w:tr>
        <w:trPr>
          <w:trHeight w:val="182"/>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472,396</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(166,502)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696,187</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(511,654)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(70,251)</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(491,056)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71,159</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267,393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(696,897)</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revolving credit facilities</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0" w:type="dxa"/>
            <w:vAlign w:val="bottom"/>
          </w:tcPr>
          <w:p>
            <w:pPr>
              <w:spacing w:after="0"/>
              <w:rPr>
                <w:sz w:val="1"/>
                <w:szCs w:val="1"/>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(104,952)</w:t>
            </w:r>
          </w:p>
        </w:tc>
        <w:tc>
          <w:tcPr>
            <w:tcW w:w="0" w:type="dxa"/>
            <w:vAlign w:val="bottom"/>
          </w:tcPr>
          <w:p>
            <w:pPr>
              <w:spacing w:after="0"/>
              <w:rPr>
                <w:sz w:val="1"/>
                <w:szCs w:val="1"/>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(55,328)</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(204,410)</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(222,723)</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1,120,617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962,406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739,683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227,293</w:t>
            </w:r>
          </w:p>
        </w:tc>
        <w:tc>
          <w:tcPr>
            <w:tcW w:w="0" w:type="dxa"/>
            <w:vAlign w:val="bottom"/>
          </w:tcPr>
          <w:p>
            <w:pPr>
              <w:spacing w:after="0"/>
              <w:rPr>
                <w:sz w:val="1"/>
                <w:szCs w:val="1"/>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September 30, 2024, and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and 2023, contained in this Form 10-Q (the “Consolidated Financial Statements”) are unaudited pursuant to the rules and regulations of the SEC. The December 31, 2023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2023 Form 10-K. The results of operations for the three and nine months ended September 30, 2024 are not necessarily indicative of the results to be expected for the full year ending December 31, 2024.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Total long-term finance lease liabilities as of September 30, 2024 and December 31, 2023 were $116.1 million and $47.8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September 30, 2024 and December 31, 2023 were $244.7 million and $260.8 million, respectively.</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$96.0 million and $135.5 million as of September 30, 2024 and December 31, 2023, respectively.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and December 31, 2023, the short-term portions of the liabilities were $58.8 million and $71.1 million, respectively. The remainder of the September 30, 2024 contract liability balance is expected to be recognized in revenue over the next 1-5 years. Revenue recognized during the nine months ended September 30, 2024 and 2023 that was included in the contract liabilities balance at the beginning of the period was $54.4 million and $54.1 million, respectively.</w:t>
      </w:r>
    </w:p>
    <w:p>
      <w:pPr>
        <w:spacing w:after="0" w:line="1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In February 2024, long-term incentive awards were granted in the form of time-vested restricted stock units (“RSUs”)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performance-vested restricted stock units (“PSUs”) to our management pursuant to the 2021 Equity Plan with different terms from those issued in prior years. For a description of the RSUs and PSUs granted in prior years, please refer to our Consolidated Financial Statements in Part II, Item 8, Note 2 of the 2023 Form 10-K.</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RSUs granted in the first quarter of 2024 will generally vest in three equal installments on the anniversary of the grant date, subject to the recipient’s continued employment with the Company at the time of vesting. The value of the RSUs is determined based on the fair market value of the underlying shares on the date of the grant, reduced by the present value of dividends or dividend equivalent rights expected to be paid on our common stock prior to vesting.</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PSUs granted in the first quarter of 2024 are divided between PSUs based on earnings per share in each of 2024, 2025 and 2026 (“EPS PSUs”), and PSUs based on relative total shareholder return (“rTSR PSUs”), compared to the components of the PHLX Semiconductor Index (the “SOX”) over a three-year period, with half of the awards as EPS PSUs and half as rTSR PSUs.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EPS PSUs, the value is determined based on the fair market value of the underlying shares on the date of the grant, reduced by the present value of dividends or dividend equivalent rights expected to be paid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prior to vesting. The number of shares of our common stock to be received annually from the EPS PSUs at vesting will range from 0% to 225%. For the rTSR PSUs, the Company estimated the grant-date fair value of the PSUs subject to a market condition using a Monte Carlo simulation model, using the following weighted-average assumptions: risk-free interest rate of 4.33% and annualized volatility of 46.77%. The resulting grant date fair value of the rTSR PSUs was $27.07. The number of shares of our common stock to be received at vesting will range from 0% to 150% of the target grant amount based on rTSR performance over the three-year performance period. The Company recognizes the grant date fair value of the PSUs as compensation expense ratably over the vesting period.</w:t>
      </w:r>
    </w:p>
    <w:p>
      <w:pPr>
        <w:spacing w:after="0" w:line="13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Recently Issued Standards. </w:t>
      </w: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The new standard will result in enhanced disclosures in our financial statements.</w:t>
      </w:r>
    </w:p>
    <w:p>
      <w:pPr>
        <w:spacing w:after="0" w:line="3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7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20" w:type="dxa"/>
            <w:vAlign w:val="bottom"/>
          </w:tcPr>
          <w:p>
            <w:pPr>
              <w:spacing w:after="0"/>
              <w:rPr>
                <w:sz w:val="13"/>
                <w:szCs w:val="13"/>
                <w:color w:val="auto"/>
              </w:rPr>
            </w:pPr>
          </w:p>
        </w:tc>
        <w:tc>
          <w:tcPr>
            <w:tcW w:w="2520" w:type="dxa"/>
            <w:vAlign w:val="bottom"/>
            <w:gridSpan w:val="5"/>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4"/>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jc w:val="center"/>
              <w:ind w:left="6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7"/>
                <w:szCs w:val="17"/>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1,567,604</w:t>
            </w:r>
          </w:p>
        </w:tc>
        <w:tc>
          <w:tcPr>
            <w:tcW w:w="60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3,817,156</w:t>
            </w:r>
          </w:p>
        </w:tc>
        <w:tc>
          <w:tcPr>
            <w:tcW w:w="6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3,603,445</w:t>
            </w:r>
          </w:p>
        </w:tc>
      </w:tr>
      <w:tr>
        <w:trPr>
          <w:trHeight w:val="229"/>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293,985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871,418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1,147,809</w:t>
            </w: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1,861,589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4,688,574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4,751,254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p>
    <w:p>
      <w:pPr>
        <w:spacing w:after="0" w:line="43" w:lineRule="exact"/>
        <w:rPr>
          <w:sz w:val="20"/>
          <w:szCs w:val="20"/>
          <w:color w:val="auto"/>
        </w:rPr>
      </w:pPr>
    </w:p>
    <w:tbl>
      <w:tblPr>
        <w:tblLayout w:type="fixed"/>
        <w:tblInd w:w="5500" w:type="dxa"/>
        <w:tblCellMar>
          <w:top w:w="0" w:type="dxa"/>
          <w:left w:w="0" w:type="dxa"/>
          <w:bottom w:w="0" w:type="dxa"/>
          <w:right w:w="0" w:type="dxa"/>
        </w:tblCellMar>
      </w:tblPr>
      <w:tr>
        <w:trPr>
          <w:trHeight w:val="190"/>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Communications (smartphones, tablets)</w:t>
      </w:r>
    </w:p>
    <w:p>
      <w:pPr>
        <w:spacing w:after="0" w:line="27" w:lineRule="exact"/>
        <w:rPr>
          <w:sz w:val="20"/>
          <w:szCs w:val="20"/>
          <w:color w:val="auto"/>
        </w:rPr>
      </w:pPr>
    </w:p>
    <w:p>
      <w:pPr>
        <w:ind w:left="280" w:right="240" w:hanging="242"/>
        <w:spacing w:after="0" w:line="234" w:lineRule="auto"/>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409"/>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4"/>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-479425</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-187960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140"/>
            <w:col w:w="57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Other Income and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76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3"/>
                <w:szCs w:val="13"/>
                <w:color w:val="auto"/>
              </w:rPr>
            </w:pPr>
          </w:p>
        </w:tc>
        <w:tc>
          <w:tcPr>
            <w:tcW w:w="25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(34,589)</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$45.7 million for the nine months ended September 30, 2024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decreased from $31.5 million as of December 31, 2023 to $29.5 million as of September 30, 2024.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2013-2023.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3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7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3"/>
                <w:szCs w:val="13"/>
                <w:color w:val="auto"/>
              </w:rPr>
            </w:pPr>
          </w:p>
        </w:tc>
        <w:tc>
          <w:tcPr>
            <w:tcW w:w="2540" w:type="dxa"/>
            <w:vAlign w:val="bottom"/>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7"/>
                <w:szCs w:val="17"/>
                <w:color w:val="auto"/>
              </w:rPr>
            </w:pP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5"/>
        </w:trPr>
        <w:tc>
          <w:tcPr>
            <w:tcW w:w="5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80" w:type="dxa"/>
            <w:vAlign w:val="bottom"/>
            <w:gridSpan w:val="4"/>
          </w:tcPr>
          <w:p>
            <w:pPr>
              <w:jc w:val="right"/>
              <w:ind w:right="755"/>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122,569</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248,363</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245,571</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247,922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247,129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247,080</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anti-dilutive shares for the three and nine months ended September 30, 2024 and 2023.</w:t>
      </w:r>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6"/>
              </w:rPr>
              <w:t>212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60" w:type="dxa"/>
            <w:vAlign w:val="bottom"/>
          </w:tcPr>
          <w:p>
            <w:pPr>
              <w:jc w:val="center"/>
              <w:ind w:left="857"/>
              <w:spacing w:after="0"/>
              <w:rPr>
                <w:sz w:val="20"/>
                <w:szCs w:val="20"/>
                <w:color w:val="auto"/>
              </w:rPr>
            </w:pPr>
            <w:r>
              <w:rPr>
                <w:rFonts w:ascii="Times New Roman" w:cs="Times New Roman" w:eastAsia="Times New Roman" w:hAnsi="Times New Roman"/>
                <w:sz w:val="18"/>
                <w:szCs w:val="18"/>
                <w:color w:val="auto"/>
                <w:w w:val="96"/>
              </w:rPr>
              <w:t>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0" w:type="dxa"/>
            <w:vAlign w:val="bottom"/>
          </w:tcPr>
          <w:p>
            <w:pPr>
              <w:spacing w:after="0"/>
              <w:rPr>
                <w:sz w:val="1"/>
                <w:szCs w:val="1"/>
                <w:color w:val="auto"/>
              </w:rPr>
            </w:pPr>
          </w:p>
        </w:tc>
      </w:tr>
      <w:tr>
        <w:trPr>
          <w:trHeight w:val="184"/>
        </w:trPr>
        <w:tc>
          <w:tcPr>
            <w:tcW w:w="48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817"/>
              <w:spacing w:after="0"/>
              <w:rPr>
                <w:sz w:val="20"/>
                <w:szCs w:val="20"/>
                <w:color w:val="auto"/>
              </w:rPr>
            </w:pPr>
            <w:r>
              <w:rPr>
                <w:rFonts w:ascii="Times New Roman" w:cs="Times New Roman" w:eastAsia="Times New Roman" w:hAnsi="Times New Roman"/>
                <w:sz w:val="18"/>
                <w:szCs w:val="18"/>
                <w:color w:val="auto"/>
                <w:w w:val="97"/>
              </w:rPr>
              <w:t>(165)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left="857"/>
              <w:spacing w:after="0"/>
              <w:rPr>
                <w:sz w:val="20"/>
                <w:szCs w:val="20"/>
                <w:color w:val="auto"/>
              </w:rPr>
            </w:pPr>
            <w:r>
              <w:rPr>
                <w:rFonts w:ascii="Times New Roman" w:cs="Times New Roman" w:eastAsia="Times New Roman" w:hAnsi="Times New Roman"/>
                <w:sz w:val="18"/>
                <w:szCs w:val="18"/>
                <w:color w:val="auto"/>
                <w:w w:val="96"/>
              </w:rPr>
              <w:t>143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164"/>
        </w:trPr>
        <w:tc>
          <w:tcPr>
            <w:tcW w:w="48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Accumulated other comprehensive income (loss) at September 30,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center"/>
              <w:ind w:left="857"/>
              <w:spacing w:after="0"/>
              <w:rPr>
                <w:sz w:val="20"/>
                <w:szCs w:val="20"/>
                <w:color w:val="auto"/>
              </w:rPr>
            </w:pPr>
            <w:r>
              <w:rPr>
                <w:rFonts w:ascii="Times New Roman" w:cs="Times New Roman" w:eastAsia="Times New Roman" w:hAnsi="Times New Roman"/>
                <w:sz w:val="18"/>
                <w:szCs w:val="18"/>
                <w:color w:val="auto"/>
                <w:w w:val="96"/>
              </w:rPr>
              <w:t>355</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0" w:type="dxa"/>
            <w:vAlign w:val="bottom"/>
          </w:tcPr>
          <w:p>
            <w:pPr>
              <w:spacing w:after="0"/>
              <w:rPr>
                <w:sz w:val="1"/>
                <w:szCs w:val="1"/>
                <w:color w:val="auto"/>
              </w:rPr>
            </w:pPr>
          </w:p>
        </w:tc>
      </w:tr>
      <w:tr>
        <w:trPr>
          <w:trHeight w:val="227"/>
        </w:trPr>
        <w:tc>
          <w:tcPr>
            <w:tcW w:w="4880" w:type="dxa"/>
            <w:vAlign w:val="bottom"/>
            <w:tcBorders>
              <w:bottom w:val="single" w:sz="8" w:color="CCEEFF"/>
            </w:tcBorders>
            <w:shd w:val="clear" w:color="auto" w:fill="CCEEFF"/>
          </w:tcPr>
          <w:p>
            <w:pPr>
              <w:jc w:val="right"/>
              <w:ind w:right="41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6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September 30,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jc w:val="right"/>
              <w:ind w:right="42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20" w:hanging="388"/>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94"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gain (loss) from net investment hedges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September 30, 2024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740" w:type="dxa"/>
            <w:vAlign w:val="bottom"/>
          </w:tcPr>
          <w:p>
            <w:pPr>
              <w:spacing w:after="0"/>
              <w:rPr>
                <w:sz w:val="10"/>
                <w:szCs w:val="10"/>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168,944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269,155</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418,679</w:t>
            </w:r>
          </w:p>
        </w:tc>
        <w:tc>
          <w:tcPr>
            <w:tcW w:w="0" w:type="dxa"/>
            <w:vAlign w:val="bottom"/>
          </w:tcPr>
          <w:p>
            <w:pPr>
              <w:spacing w:after="0"/>
              <w:rPr>
                <w:sz w:val="1"/>
                <w:szCs w:val="1"/>
                <w:color w:val="auto"/>
              </w:rPr>
            </w:pPr>
          </w:p>
        </w:tc>
      </w:tr>
      <w:tr>
        <w:trPr>
          <w:trHeight w:val="223"/>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459,909</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740" w:type="dxa"/>
            <w:vAlign w:val="bottom"/>
          </w:tcPr>
          <w:p>
            <w:pPr>
              <w:spacing w:after="0"/>
              <w:rPr>
                <w:sz w:val="10"/>
                <w:szCs w:val="10"/>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48,063</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251,804</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nine months ended September 30, 2024 and 2023, we sold cash equivalent investments for proceeds of $18.1 million and $41.5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September 30,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494,272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494,845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105,397</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and mortgage-backed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76,519</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676,761</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amortized cost and the fair market value of our held-to-maturity government bond (Level 1) maturing within a year were $4.5 million. As of December 31, 2023, the amortized cost and the fair market value of our held-to-maturity government bond (Level 1) maturing within a year were $5.2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nine months ended September 30, 2024, we sold receivables totaling $23.3 million and $59.4 million, respectively, net of discounts and fees of $0.1 million for each period. For the three and nine months ended September 30, 2023, we sold receivables totaling $22.3 million and $149.8 million, respectively, net of discounts and fees. Discounts and fees were insignificant for the three months ended September 30, 2023, and $0.3 million for the nine months ended September 30, 2023.</w:t>
      </w: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4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212,722</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2,166,664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2,080,589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7,022,614</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209,506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223,332</w:t>
            </w:r>
          </w:p>
        </w:tc>
        <w:tc>
          <w:tcPr>
            <w:tcW w:w="0" w:type="dxa"/>
            <w:vAlign w:val="bottom"/>
          </w:tcPr>
          <w:p>
            <w:pPr>
              <w:spacing w:after="0"/>
              <w:rPr>
                <w:sz w:val="1"/>
                <w:szCs w:val="1"/>
                <w:color w:val="auto"/>
              </w:rPr>
            </w:pP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10,488,956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9,971,780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(6,950,115)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(6,672,335)</w:t>
            </w:r>
          </w:p>
        </w:tc>
        <w:tc>
          <w:tcPr>
            <w:tcW w:w="0" w:type="dxa"/>
            <w:vAlign w:val="bottom"/>
          </w:tcPr>
          <w:p>
            <w:pPr>
              <w:spacing w:after="0"/>
              <w:rPr>
                <w:sz w:val="1"/>
                <w:szCs w:val="1"/>
                <w:color w:val="auto"/>
              </w:rPr>
            </w:pP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3,538,841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3,299,445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30,</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150,470</w:t>
            </w:r>
          </w:p>
        </w:tc>
        <w:tc>
          <w:tcPr>
            <w:tcW w:w="5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445,074</w:t>
            </w:r>
          </w:p>
        </w:tc>
        <w:tc>
          <w:tcPr>
            <w:tcW w:w="4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471,967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estimated useful lives of our property, plant and equipment. Based on our assessment of test equipment and its increased interchangeability enabling broader and longer use, we extended the estimated useful lives of test equipment from five years to seven years as of January 1, 2024. As a result, depreciation expense was reduced by approximately $15 million and $45 million for the three and nine months ended September 30, 2024, respectively. This benefited net income by approximately $12 million and $37 million and diluted earnings per share by $0.04 and $0.15 for each period,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115,604</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57,761</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59,636</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358,414</w:t>
            </w:r>
          </w:p>
        </w:tc>
      </w:tr>
      <w:tr>
        <w:trPr>
          <w:trHeight w:val="21"/>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3.95%, due May 2027 (1)</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(2)</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40,414</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55,729</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89,053</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124,078</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7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Term loans, SOFR plus 0.75%, weighted average of 5.58% as of September 30, 2024, due June</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5.58% as of September 30, 2024, due 2025</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0.95%, due December 2026 (3)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(4)</w:t>
            </w: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applicable bank rate plus 1.75%, due March 2027</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(Singapore) (5)</w:t>
            </w:r>
          </w:p>
        </w:tc>
        <w:tc>
          <w:tcPr>
            <w:tcW w:w="2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1,106,052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1,209,785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(131,624)</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1,071,832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hanging="328"/>
        <w:spacing w:after="0" w:line="277"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term loan agreement with the option to borrow and re-borrow the funds up to six times per year through April 2024 at a fixed rate of 1.85%. In May 2024, we replaced this loan by entering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(approximately $59 million) term loan agreement with the option to borrow and re-borrow the funds up to six times per year through May 2027. Principal is payable at maturity, and interest is payable monthly, at a fixed rate of 3.95%. During the nine months ended September 30, 2024, we borrowed $58.7 million, which we immediately repaid. As of September 30, 2024,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$58 million, was available to be drawn.</w:t>
      </w:r>
    </w:p>
    <w:p>
      <w:pPr>
        <w:spacing w:after="0" w:line="8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September 30, 2024 is at an annual base rate equal to the Tokyo Interbank Offered Rate plus 0.18% to 0.20%. As of September 30, 2024, $7.0 million was available to be drawn.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right="2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Amkor Assembly &amp; Test (Shanghai) Co. Ltd. amended the term loan due December 2026 to reduce the interest rate from SOFR plus 1.40% to SOFR plus 0.95% (weighted average of 6.57% as of September 30, 2024). This contractual amendment is treated as a modification with no recognized gain or loss.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Taiwan Ltd. (“ATT”) amended an existing revolving credit facility to reduce availability from $36.0 million to $15.0 million. As of September 30, 2024, $15.0 million was available for future borrowings under such credit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Singapore Holdings Pte. Ltd. (“ATSH”) entered into a $600.0 million senior secured revolving credit facility (the “2022 Singapore Revolver”), which is guaranteed by Amkor Technology, Inc., ATT and Amkor Advanced Technology, Inc. (“AATT”). The maximum borrowing capacity under the 2022 Singapore Revolver is limited to a base amount equal to the lesser of: (1) $600.0 million; or (2) $250.0 million plus a variable amount equal to 37.5% of our consolidated accounts receivable balance. As of September 30, 2024, $600.0 million was available for future borrowings under the 2022 Singapore Revolver.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September 30, 2024, the collateralized debt balance was $581.1 million, of which $300.9 million of assets were pledged as collateral.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September 30, 2024.</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2760" w:type="dxa"/>
            <w:vAlign w:val="bottom"/>
            <w:gridSpan w:val="6"/>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2"/>
                <w:szCs w:val="12"/>
                <w:color w:val="auto"/>
              </w:rPr>
            </w:pPr>
          </w:p>
        </w:tc>
        <w:tc>
          <w:tcPr>
            <w:tcW w:w="2540" w:type="dxa"/>
            <w:vAlign w:val="bottom"/>
            <w:gridSpan w:val="4"/>
          </w:tcPr>
          <w:p>
            <w:pPr>
              <w:jc w:val="right"/>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195"/>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8"/>
        </w:trPr>
        <w:tc>
          <w:tcPr>
            <w:tcW w:w="5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7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20" w:type="dxa"/>
            <w:vAlign w:val="bottom"/>
          </w:tcPr>
          <w:p>
            <w:pPr>
              <w:spacing w:after="0"/>
              <w:rPr>
                <w:sz w:val="13"/>
                <w:szCs w:val="13"/>
                <w:color w:val="auto"/>
              </w:rPr>
            </w:pPr>
          </w:p>
        </w:tc>
        <w:tc>
          <w:tcPr>
            <w:tcW w:w="2520" w:type="dxa"/>
            <w:vAlign w:val="bottom"/>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195"/>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00" w:type="dxa"/>
            <w:vAlign w:val="bottom"/>
            <w:gridSpan w:val="4"/>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expense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we started to hedge certain net investment positions in foreign subsidiaries by entering into foreign currency forward contracts, generally settled monthly, that are designated as hedges of net investments. The difference between the forward rate and the spot rate of the net investment hedge forward contracts is excluded from the assessment of hedge effectiveness and subsequently reported in other (income) expense, net on a straight-line basis over the life of the forward contracts. Changes in the fair value of the forward contracts are recognized in other comprehensive income (loss) within foreign currency translation.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not designated as hedging instruments</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190,653</w:t>
            </w:r>
          </w:p>
        </w:tc>
        <w:tc>
          <w:tcPr>
            <w:tcW w:w="12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279,027</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not</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designated as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324,157</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394,036</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4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00" w:type="dxa"/>
            <w:vAlign w:val="bottom"/>
            <w:tcBorders>
              <w:top w:val="single" w:sz="8" w:color="auto"/>
            </w:tcBorders>
          </w:tcPr>
          <w:p>
            <w:pPr>
              <w:jc w:val="right"/>
              <w:ind w:right="181"/>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tcBorders>
              <w:top w:val="single" w:sz="8" w:color="auto"/>
            </w:tcBorders>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designated as net investment hedging instruments</w:t>
            </w: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133,904</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Accrued expenses  $</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designated</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as net investment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133,904</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6"/>
                <w:szCs w:val="16"/>
                <w:color w:val="auto"/>
              </w:rPr>
            </w:pPr>
          </w:p>
        </w:tc>
        <w:tc>
          <w:tcPr>
            <w:tcW w:w="16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gridSpan w:val="3"/>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we incurred a net loss of $4.1 million and $10.8 million, respectively, due to the impact of derivatives not designated as hedging instruments, which includes the forward costs, and the related hedged items. For the three and nine months ended September 30, 2023, the derivatives not designated as hedging instruments resulted in a net loss of $13.8 million and $52.2 million, respectively, which were partially offset by the foreign currency gains associated with the underlying net liabilities.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a gain of $1.7 million and $2.9 million, respectively, was recognized in other (income) expense, net for the difference between the forward rate and the spot rate of the net investment hedge. For the three and nine months ended September 30, 2024, a loss of $11.3 million and $8.1 million, respectively, was recognized in other comprehensive income (loss) for the changes in fair value of the net investment hedges.</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6"/>
                <w:szCs w:val="16"/>
                <w:color w:val="auto"/>
              </w:rPr>
            </w:pPr>
          </w:p>
        </w:tc>
        <w:tc>
          <w:tcPr>
            <w:tcW w:w="27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522,416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521,839</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681,617</w:t>
            </w:r>
          </w:p>
        </w:tc>
      </w:tr>
      <w:tr>
        <w:trPr>
          <w:trHeight w:val="248"/>
        </w:trPr>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1,203,456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determine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have entered into additional lease agreements that have not yet commenced of approximately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providing our customers with a geographically diverse manufacturing footprint, growing within the industry secular growth markets of 5G, automotive, high-performance computing (“HPC”) and Internet-of-Things (“IoT”), optimizing utilization of existing assets, and selectively growing our scale and scope through strategic investments.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which we believe provide substantial value to our customers. Advanced packages, which account for a significant portion of mobile phone semiconductor value, are the preferred choice in the high-end smartphone market. The use of advanced packages in automotive applications is also growing, largely due to new, data-intensive applications which require increased pin count and performance. With the continuing trend towards cloud-based computing and the expanding use of artificial intelligence, innovative advanced packaging solutions are needed to achieve the increased performance and power consumption requirements for the computing end market. In consumer devices, further miniaturization and increasing functionality within IoT devices also require advanced packaging. 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multiple countries across Asia, in Portugal and our headquarters in the United States, is a key differentiator and positions us to continue to support global supply chains and to participate in initiatives to regionalize supply chains. We began delivering advanced packages from our Vietnam Facility in the third quarter of 2024. In addition, we are progressing plans to build an advanced packaging and test facility in Arizona. We believe our unique geographic footprint provides customers with multiple options to mitigate risk and diversify their supply chains.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identify attractive opportunities to strengthen our leadership position and market share through expansion of our operations, joint ventures, acquisitions and other strategic investments. We believe that selective growth through these strategic actions can further strengthen customer relationships, help to maintain and enhance our technological leadership, diversify our revenue streams and improve our profits.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We believe the general semiconductor market is currently going through a cyclical correction.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September 30, 2024, we had cash and cash equivalents and short-term investments of $959.1 million and $512.3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will continue to make prudent investments, and we will closely manage capacity expansion and control costs in response to any changes in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increased $39.8 million, or 2.2%, to $1,861.6 million for the three months ended September 30, 2024 compared to $1,821.8 million for the three months ended September 30, 2023, primarily due to growth in the consumer and computing end markets, partially offset by decreases in the communications and automotive and industrial end markets.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September 30, 2024 decreased to 14.6% compared to 15.5% for the three months ended September 30, 2023. The decrease in gross margin was primarily due to an increase in the mix of products sold with higher material content and overhead costs incurred as we began delivering advanced packages from the Vietnam Facility, partially offset by the extension of the estimated useful life of our test equipment from five years to seven years.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income margin decreased 110 basis points to 8.0% for the three months ended September 30, 2024 from 9.1% for the three months ended September 30, 2023. The decrease in our operating income margin was primarily due to the decrease in our gross margin discussed above, increased employee compensation costs and costs incurred during start-up at the Vietnam Facility, partially offset by a reduction in bad debt expense.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$458.1 million for the nine months ended September 30, 2024 compared to $511.7 million for the nine months ended September 30, 2023. Our spending was primarily focused on investments in advanced packaging and test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$551.3 million for the nine months ended September 30, 2024 compared to $696.2 million for the nine months ended September 30, 2023. This decrease was primarily due to changes in working capital and lower operating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55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5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1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gridSpan w:val="5"/>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5"/>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6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1,861,589</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1,821,793</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39,796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2.2 %  $</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4,688,574</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4,751,254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6"/>
                <w:szCs w:val="16"/>
                <w:color w:val="auto"/>
              </w:rPr>
              <w:t>(62,680)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sales for the three months ended September 30, 2024 compared to the three months ended September 30, 2023 was primarily due to growth in the consumer and computing end markets, partially offset by decreases in the communications and automotive and industrial end markets. The consumer and computing end markets increased 30% and 23%, respectively, for the three months ended September 30, 2024 compared to 2023, primarily driven by strong demand for IoT wearables, ARM-based PCs and AI devices.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sales for the nine months ended September 30, 2024 compared to the nine months ended September 30, 2023 was due to a 17% decline in the automotive and industrial end market, primarily driven by elevated customer inventories and weaker demand.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362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272,484</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282,753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686,502</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664,044</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22,458</w:t>
            </w: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14.6 %</w:t>
            </w:r>
          </w:p>
        </w:tc>
        <w:tc>
          <w:tcPr>
            <w:tcW w:w="3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15.5 %</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and gross margin decreased for the three months ended September 30, 2024 compared to the three months ended September 30, 2023, primarily due to an increase in the mix of products sold with higher material content and overhead costs incurred as we began delivering advanced packages from the Vietnam Facility, partially offset by the extension of the estimated useful life of our test equipment from five years to seven years.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and gross margin increased for the nine months ended September 30, 2024 compared to the nine months ended September 30, 2023, primarily due to the extension of the estimated useful life of our test equipment from five years to seven years and net favorable foreign currency exchange rate movements, partially offset by an increase in the mix of products sold with higher material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5"/>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5"/>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2"/>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8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80,753</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73,020</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7,733</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10.6 %  $</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262,379</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216,551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45,828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nine months ended September 30, 2024 compared to the three and nine months ended September 30, 2023, primarily due to increased employee compensation costs and costs incurred during start-up at the Vietnam Facility, partially offset by a reduction in bad debt expense. For the three and nine months ended September 30, 2024, the costs incurred during start-up at the Vietnam Facility increased approximately $3 million and $28 million, respectively, compared to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5"/>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5"/>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0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r>
      <w:tr>
        <w:trPr>
          <w:trHeight w:val="196"/>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42,364</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43,135</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(771)</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  $</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120,103</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135,870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(15,767)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for the nine months ended September 30, 2024 compared to the nine months ended September 30, 2023, primarily due to the utilization mix of assets shared with manufacturing and projects moving into production, partially offset by new development projects in packaging technologies.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80" w:type="dxa"/>
            <w:vAlign w:val="bottom"/>
          </w:tcPr>
          <w:p>
            <w:pPr>
              <w:spacing w:after="0"/>
              <w:rPr>
                <w:sz w:val="16"/>
                <w:szCs w:val="16"/>
                <w:color w:val="auto"/>
              </w:rPr>
            </w:pPr>
          </w:p>
        </w:tc>
      </w:tr>
      <w:tr>
        <w:trPr>
          <w:trHeight w:val="23"/>
        </w:trPr>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96"/>
        </w:trPr>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2,621</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4,344</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rPr>
              <w:t>(3,725)</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45.6 %</w:t>
            </w: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(gain),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2,321</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w w:val="99"/>
              </w:rPr>
              <w:t>2,051</w:t>
            </w:r>
          </w:p>
        </w:tc>
        <w:tc>
          <w:tcPr>
            <w:tcW w:w="4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1,731</w:t>
            </w:r>
          </w:p>
        </w:tc>
        <w:tc>
          <w:tcPr>
            <w:tcW w:w="4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237"/>
        </w:trPr>
        <w:tc>
          <w:tcPr>
            <w:tcW w:w="2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3,268</w:t>
            </w:r>
          </w:p>
        </w:tc>
        <w:tc>
          <w:tcPr>
            <w:tcW w:w="4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4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nine months ended September 30, 2024 compared to the nine months ended September 30, 2023, primarily due to a decrease in capitalized interest for the Vietnam Facility and an increase in our finance lease obligation balance.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for the three and nine months ended September 30, 2024 compared to the three and nine months ended September 30, 2023, primarily due to increases in our cash and cash equivalent and available-for-sale debt investment balances and higher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19,185</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28,923</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45,693</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49,194</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decreased for the three months ended September 30, 2024 compared to the three months ended September 30, 2023, primarily due to a decrease in income before income taxes.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our subsidiaries in Korea and Singapore operated under various conditional reduced tax rates. Beginning in 2024, our subsidiary in Vietnam also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 Part 1, Item 1 of this Form 10-Q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and cash equivalents and short-term investments of $1,471.5 million. Included in our cash and short-term investments balances as of September 30, 2024 is $1,305.5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our net liability associated with unrecognized tax benefits is $22.7 million. Due to the uncertainty regarding the amount and timing of any future cash outflows associated with our unrecognized tax benefits, we are unable to reasonably estimate the amount and timing of ultimate settlement, if any, with the various taxing authorities.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nine months ended September 30, 2024 and 2023, we sold accounts receivable totaling $59.4 million and $149.8 million, net of discounts and fees of $0.1 million and $0.3 million, respectively.</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or (2) $250.0 million plus a variable amount equal to 37.5% of our consolidated accounts receivable balance. As of September 30, 2024, we had availability of $600.0 million. As of September 30, 2024, our foreign subsidiaries had $615.0 million available for future borrowings under revolving credit facilities, including the 2022 Singapore Revolver, and $65.0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we had debt of $1,101.6 million, with $207.6 million payable within 12 months. As of September 30, 2024, the interest payment obligations, based on stated coupon rates for fixed rate debt and interest rates applicable at September 30, 2024 for variable rate debt, were $134.6 million during the remaining term of the debt. Interest payment obligations payable within 12 months is $50.1 million. We were in compliance with all debt covenants as of September 30, 2024, and we expect to remain in compliance with these covenants for at least the next 12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ATT, AATT and ATSH guarantee certain debt of our subsidiaries.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who were employed prior to August 1, 2015. As of September 30, 2024, the severance liability was $48.4 million, with $8.3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September 30, 2024, we had foreign pension plan obligations of $47.2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2023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September 30, 2024, our total remaining operating lease obligations and finance lease obligations were $104.7 million and $199.5 million, respectively, with $31.8 million and $68.1 million payable within 12 months, respectively. The lease obligations represent our future minimum lease payments including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September 30, 2024, the purchase obligations were $368.3 million, with $323.9 million payable within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paid total quarterly cash dividends of $58.2 million,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nine months ended September 30, 2024, our capital expenditures totaled $458.1 million.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2024 capital expenditures will be approximately $750 million. Ultimately, the amount of our 2024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We expect that our 2024 capital expenditures related to our planned advanced packaging and test facility in Arizona will be primarily for design and construction planning.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2024 and 2023,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3"/>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2"/>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left="599"/>
              <w:spacing w:after="0"/>
              <w:rPr>
                <w:sz w:val="20"/>
                <w:szCs w:val="20"/>
                <w:color w:val="auto"/>
              </w:rPr>
            </w:pPr>
            <w:r>
              <w:rPr>
                <w:rFonts w:ascii="Times New Roman" w:cs="Times New Roman" w:eastAsia="Times New Roman" w:hAnsi="Times New Roman"/>
                <w:sz w:val="18"/>
                <w:szCs w:val="18"/>
                <w:color w:val="auto"/>
                <w:w w:val="99"/>
              </w:rPr>
              <w:t>551,260</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696,187</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500" w:type="dxa"/>
            <w:vAlign w:val="bottom"/>
          </w:tcPr>
          <w:p>
            <w:pPr>
              <w:jc w:val="center"/>
              <w:ind w:left="559"/>
              <w:spacing w:after="0"/>
              <w:rPr>
                <w:sz w:val="20"/>
                <w:szCs w:val="20"/>
                <w:color w:val="auto"/>
              </w:rPr>
            </w:pPr>
            <w:r>
              <w:rPr>
                <w:rFonts w:ascii="Times New Roman" w:cs="Times New Roman" w:eastAsia="Times New Roman" w:hAnsi="Times New Roman"/>
                <w:sz w:val="18"/>
                <w:szCs w:val="18"/>
                <w:color w:val="auto"/>
                <w:w w:val="99"/>
              </w:rPr>
              <w:t>(501,752)</w:t>
            </w:r>
          </w:p>
        </w:tc>
        <w:tc>
          <w:tcPr>
            <w:tcW w:w="620" w:type="dxa"/>
            <w:vAlign w:val="bottom"/>
          </w:tcPr>
          <w:p>
            <w:pPr>
              <w:spacing w:after="0"/>
              <w:rPr>
                <w:sz w:val="19"/>
                <w:szCs w:val="19"/>
                <w:color w:val="auto"/>
              </w:rPr>
            </w:pPr>
          </w:p>
        </w:tc>
        <w:tc>
          <w:tcPr>
            <w:tcW w:w="11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(696,897)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8"/>
                <w:szCs w:val="18"/>
                <w:color w:val="auto"/>
                <w:w w:val="99"/>
              </w:rPr>
              <w:t>(207,331)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(204,410)</w:t>
            </w: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nine months ended September 30, 2024 decreased by $144.9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nine months ended September 30, 2023, primarily due to changes in working capital and lower operating profits.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nine months ended September 30, 2024 decreased by $195.1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primarily due to lower net payments for short-term investment activity, lower payments for property, plant and equipment and lower net payments for foreign exchange forward contracts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nine months ended September 30, 2024 and 2023 was primarily due to net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the payments of our quarterly dividend and finance lease obligations.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3"/>
        </w:trPr>
        <w:tc>
          <w:tcPr>
            <w:tcW w:w="7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551,260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696,187</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(511,654)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190,701</w:t>
            </w:r>
          </w:p>
        </w:tc>
      </w:tr>
      <w:tr>
        <w:trPr>
          <w:trHeight w:val="21"/>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 Item 1 of this Form 10-Q.</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2024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nine months ended September 30, 2024 would have been approximately $18 million lower, due to the remeasurement of monetary assets and liabilities.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nine months ended September 30, 2024, approximately 90% of our net sales were denominated in U.S. dollars. Our remaining net sales were principally denominated in Japanese yen. For the nine months ended September 30, 2024, approximately 60%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2024 to assess the potential impact of fluctuations in exchange rates for all foreign denominated sales and operating expenses. Assuming that all foreign currencies appreciated 10% against the U.S. dollar, our operating income for the nine months ended September 30, 2024 would have been approximately $109 million lower.</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loss of $6.0 million and $14.8 million for the nine months ended September 30, 2024 and 2023, respectively, and was recognized as an adjustment to equity through other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September 30,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2024 - Remaining</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w w:val="92"/>
              </w:rPr>
              <w:t>2028</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129,649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114,471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621,230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74,368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969,552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962,361</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91,500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136,500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135,880</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221,149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157,471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621,230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74,368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1,106,052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1,098,241</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2024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September 30, 2024. There have been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2023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35"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 and contract manufacturers;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Operations</w:t>
      </w:r>
    </w:p>
    <w:p>
      <w:pPr>
        <w:spacing w:after="0" w:line="14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severance plan obligations associated with our manufacturing operations in Korea.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6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35" w:lineRule="exact"/>
        <w:rPr>
          <w:sz w:val="20"/>
          <w:szCs w:val="20"/>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62" w:lineRule="exact"/>
        <w:rPr>
          <w:sz w:val="20"/>
          <w:szCs w:val="20"/>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environmental, health and safety liabilities and expenditures;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obligations in connection with the receipt of government incentives.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 and</w:t>
      </w:r>
    </w:p>
    <w:p>
      <w:pPr>
        <w:spacing w:after="0" w:line="10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We believe the general semiconductor market is currently going through a cyclical correction.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automotive and industrial, computing or consumer electronics,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conflicts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including on October 7, 2022 and October 17, 2023, the U.S. Bureau of Industry and Security announced new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 and contract manufacturers.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from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face competition from contract manufacturers and electronic manufacturing service providers, many of which are larger than us, have lower cost structures, and may be willing or able to sell their services at lower margins than we do. These competitors have increased and could increase pricing and competitive pressures for 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foundries or contract manufacturers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completed the initial phase of construction for our Vietnam Facility. While manufacturing has begun at our Vietnam Facility, there can be no assurance that the actual scope, costs or benefits of the project will be consistent with our current expectations.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adequately cover fixed costs, resulting in reduced profit levels or even significant losses, either of which may materially and adversely impact our business, liquidity,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goods and claims by customers relating thereto. Any of these problems could have a material adverse effect on our business, liquidity, results of operations, financial condition and cash flows.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69% of our net sales for the year ended December 31, 2023.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may decrease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obligations out of our operating cash flows or refinance debt at or prior to maturity with the proceeds of debt or equity financings.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2024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Although the U.S. Federal Reserve recently lowered interest rates, the U.S. Federal Reserve raised interest rates several times during 2022 and 2023.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and began delivering packaging and test services from the Vietnam Facility.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impacted our operations and the operations of our customers and suppliers as a result of illness, quarantines, facility closures and travel and logistics restrictions in connection with the outbreak. National, regional, and local governments implemented, and may implement in the future, public health measures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$48.4 million as of September 30, 2024.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to convert from the severance plan to a defined contribution plan. Some employees have accepted previous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offers, and future offers to make similar conversions could impact the timing of future payments, reducing our cash flow and materially and adversely affecting our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3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September 30, 2024, our total debt balance was $1,101.6 million, of which $207.6 million was classified as a current liability and $581.1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James J. Kim, the Executive Chairman of our Board of Directors, Susan Y. Kim, the Executive Vice Chairman of our Board of Directors, and members of the Kim family and affiliates owned approximately 132.1 million shares, or approximately 54%, of our outstanding common stock. The Kim family also has options to acquire approximately 0.6 million shares. If the options are exercised, the Kim family’s total ownership would be an aggregate of approximately 132.7 million shares, or approximately 54% of our outstanding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September 30, 2024,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already started to implement laws based on the Pillar Two Model Rules to be effective in 2024. We do not believe the Pillar Two Model Rules have any material impact to our 2024 results. However, there can be no assurance that our effective tax rate, tax payments or conditional reduced tax rates will not be adversely affected as countries independently amend their tax laws to adopt Pillar Two Model Rules. Changes in U.S. or foreign tax laws, including new or modified guidance with respect to existing tax laws, could have a material adverse impact on our liquidity, results of operations, financial condition and cash flows.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incentives from the proposed agreement with the U.S. Department of Commerce (“Commerce”) pursuant to the U.S. CHIPS and Science Act of 2022 (“CHIPS Act”) might not materialize due to the non-binding nature of the agreement, are conditional upon achieving or maintaining certain outcomes and compliance with other obligations, are subject to reduction, termination, or clawback and would impose certain restrictions on our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26, 2024, we announced that we had signed a non-binding preliminary memorandum of terms with Commerce to receive proposed funding pursuant to the CHIPS Act. Following the execution of a definitive agreement with Commerce, we expect to receive benefits and incentives designed to encourage us to establish, maintain, and increase investment, workforce, and production in the United States. These incentives may take various forms, including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subsidies, loans, and tax arrangements, and will require us to achieve or maintain certain levels of investment, capital spending, employment, technology deployment, and construction and production milestones to qualify for such incentives and would restrict us from undertaking certain activities. There is no guarantee that we will execute a definitive agreement with Commerce, and if we do not execute a definitive agreement with Commerce, we will not receive the proposed incentives from Commerce. We cannot guarantee that we will successfully achieve and maintain outcomes or be able to comply with other obligations required to qualify for these incentives or that Commerce will provide or continue to provide such funding. These incentive arrangements typically provide Commerce with rights to audit our compliance with their terms and obligations, and such audits could result in modifications to, or termination of, the incentives. To a lesser extent, if we receive federal funding pursuant to the CHIPS Act, we also expect incentives from state and local governments, which may have similar terms and conditions. Any incentives we receive could be subject to reduction, termination, or clawback, and any decrease, termination, or clawback of such government incentives could have a material adverse effect on our business, results of operations, or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impacted, and may impact in the future, the supply chain and consumer demand for our customers’ products and services, and such impact on the supply chain and consumer demand may ultimately have a material and adverse effect on our business, results of operations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impacts of the Covid-19 pandemic varied by location, by industry and by end market. We, our suppliers and our customers were disrupted by worker illness and absenteeism, quarantines and restrictions on employees’ ability to work, office and factory closures, disruptions to ports and other shipping infrastructure and border closures or other travel or health-related restrictions. Restrictions on our workforce or access to our manufacturing facilities, or similar limitations for our suppliers, or restrictions or disruptions of transportation in order to contain the spread of Covid-19 caused disruptions to our supply chain in connection with the sourcing of equipment, supplies and other materials, and similar restrictions in the future could limit our capacity to meet customer demand and have a material adverse effect on our business, results of operations and financial condition. Restrictions may be implemented in response to the emergence of new variants or re-emergence of Covid-19, and such restrictions may materially and adversely impact our operations and the operations of our customers and suppliers.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the Vietnam Facility.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 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or the operations of our customers or suppliers, could have a material adverse effect on our business, financial condition, results of operations and cash flows.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September 30,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29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0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5140" w:type="dxa"/>
            <w:vAlign w:val="bottom"/>
            <w:gridSpan w:val="9"/>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40" w:type="dxa"/>
            <w:vAlign w:val="bottom"/>
            <w:gridSpan w:val="9"/>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31.1</w:t>
            </w:r>
          </w:p>
        </w:tc>
        <w:tc>
          <w:tcPr>
            <w:tcW w:w="5140" w:type="dxa"/>
            <w:vAlign w:val="bottom"/>
            <w:tcBorders>
              <w:bottom w:val="single" w:sz="8" w:color="0000FF"/>
            </w:tcBorders>
            <w:gridSpan w:val="9"/>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Officer of Amkor Technology, Inc., pursuant to Rule 13a-14(a) under</w:t>
            </w: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160" w:type="dxa"/>
            <w:vAlign w:val="bottom"/>
            <w:tcBorders>
              <w:top w:val="single" w:sz="8" w:color="0000FF"/>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4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4"/>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7" w:right="339" w:bottom="1440" w:gutter="0" w:footer="0" w:header="0"/>
        </w:sectPr>
      </w:pPr>
    </w:p>
    <w:bookmarkStart w:id="55" w:name="page56"/>
    <w:bookmarkEnd w:id="55"/>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ectPr>
          <w:pgSz w:w="11900" w:h="16838" w:orient="portrait"/>
          <w:cols w:equalWidth="0" w:num="1">
            <w:col w:w="11240"/>
          </w:cols>
          <w:pgMar w:left="320" w:top="144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September 30, 2024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29, 2024</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October 29, 2024</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2024-10-29T14:46:30Z</dcterms:created>
  <dcterms:modified xsi:type="dcterms:W3CDTF">2024-10-29T14:46:30Z</dcterms:modified>
</cp:coreProperties>
</file>