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903605</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34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26, 2020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000-29472</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jc w:val="right"/>
              <w:ind w:right="1110"/>
              <w:spacing w:after="0"/>
              <w:rPr>
                <w:sz w:val="20"/>
                <w:szCs w:val="20"/>
                <w:color w:val="auto"/>
              </w:rPr>
            </w:pPr>
            <w:r>
              <w:rPr>
                <w:rFonts w:ascii="Arial" w:cs="Arial" w:eastAsia="Arial" w:hAnsi="Arial"/>
                <w:sz w:val="18"/>
                <w:szCs w:val="18"/>
                <w:b w:val="1"/>
                <w:bCs w:val="1"/>
                <w:color w:val="auto"/>
              </w:rPr>
              <w:t>23-1722724</w:t>
            </w:r>
          </w:p>
        </w:tc>
      </w:tr>
      <w:tr>
        <w:trPr>
          <w:trHeight w:val="27"/>
        </w:trPr>
        <w:tc>
          <w:tcPr>
            <w:tcW w:w="32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90"/>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40" w:type="dxa"/>
            <w:vAlign w:val="bottom"/>
          </w:tcPr>
          <w:p>
            <w:pPr>
              <w:spacing w:after="0"/>
              <w:rPr>
                <w:sz w:val="24"/>
                <w:szCs w:val="24"/>
                <w:color w:val="auto"/>
              </w:rPr>
            </w:pPr>
          </w:p>
        </w:tc>
        <w:tc>
          <w:tcPr>
            <w:tcW w:w="41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tcPr>
          <w:p>
            <w:pPr>
              <w:jc w:val="center"/>
              <w:ind w:right="1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8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62"/>
        </w:trPr>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2045 EAST INNOVATION CIRCLE</w:t>
            </w:r>
          </w:p>
        </w:tc>
        <w:tc>
          <w:tcPr>
            <w:tcW w:w="302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TEMPE, AZ 85284</w:t>
            </w:r>
          </w:p>
        </w:tc>
        <w:tc>
          <w:tcPr>
            <w:tcW w:w="302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2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38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(480) 821-5000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spacing w:after="0"/>
              <w:rPr>
                <w:sz w:val="20"/>
                <w:szCs w:val="20"/>
                <w:color w:val="auto"/>
              </w:rPr>
            </w:pPr>
          </w:p>
        </w:tc>
      </w:tr>
    </w:tbl>
    <w:p>
      <w:pPr>
        <w:spacing w:after="0" w:line="28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7680" w:type="dxa"/>
            <w:vAlign w:val="bottom"/>
            <w:gridSpan w:val="2"/>
          </w:tcPr>
          <w:p>
            <w:pPr>
              <w:ind w:left="32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404"/>
        </w:trPr>
        <w:tc>
          <w:tcPr>
            <w:tcW w:w="352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Title of Each Class</w:t>
            </w:r>
          </w:p>
        </w:tc>
        <w:tc>
          <w:tcPr>
            <w:tcW w:w="2800" w:type="dxa"/>
            <w:vAlign w:val="bottom"/>
          </w:tcPr>
          <w:p>
            <w:pPr>
              <w:jc w:val="center"/>
              <w:ind w:left="236"/>
              <w:spacing w:after="0"/>
              <w:rPr>
                <w:sz w:val="20"/>
                <w:szCs w:val="20"/>
                <w:color w:val="auto"/>
              </w:rPr>
            </w:pPr>
            <w:r>
              <w:rPr>
                <w:rFonts w:ascii="Arial" w:cs="Arial" w:eastAsia="Arial" w:hAnsi="Arial"/>
                <w:sz w:val="18"/>
                <w:szCs w:val="18"/>
                <w:b w:val="1"/>
                <w:bCs w:val="1"/>
                <w:color w:val="auto"/>
                <w:w w:val="91"/>
              </w:rPr>
              <w:t>Trading Symbol</w:t>
            </w:r>
          </w:p>
        </w:tc>
        <w:tc>
          <w:tcPr>
            <w:tcW w:w="4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3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6"/>
        </w:trPr>
        <w:tc>
          <w:tcPr>
            <w:tcW w:w="3520" w:type="dxa"/>
            <w:vAlign w:val="bottom"/>
          </w:tcPr>
          <w:p>
            <w:pPr>
              <w:jc w:val="center"/>
              <w:ind w:left="370"/>
              <w:spacing w:after="0"/>
              <w:rPr>
                <w:sz w:val="20"/>
                <w:szCs w:val="20"/>
                <w:color w:val="auto"/>
              </w:rPr>
            </w:pPr>
            <w:r>
              <w:rPr>
                <w:rFonts w:ascii="Arial" w:cs="Arial" w:eastAsia="Arial" w:hAnsi="Arial"/>
                <w:sz w:val="18"/>
                <w:szCs w:val="18"/>
                <w:color w:val="auto"/>
                <w:w w:val="90"/>
              </w:rPr>
              <w:t>Common Stock, $0.001 par value</w:t>
            </w:r>
          </w:p>
        </w:tc>
        <w:tc>
          <w:tcPr>
            <w:tcW w:w="2800" w:type="dxa"/>
            <w:vAlign w:val="bottom"/>
          </w:tcPr>
          <w:p>
            <w:pPr>
              <w:jc w:val="center"/>
              <w:ind w:left="256"/>
              <w:spacing w:after="0"/>
              <w:rPr>
                <w:sz w:val="20"/>
                <w:szCs w:val="20"/>
                <w:color w:val="auto"/>
              </w:rPr>
            </w:pPr>
            <w:r>
              <w:rPr>
                <w:rFonts w:ascii="Arial" w:cs="Arial" w:eastAsia="Arial" w:hAnsi="Arial"/>
                <w:sz w:val="18"/>
                <w:szCs w:val="18"/>
                <w:color w:val="auto"/>
              </w:rPr>
              <w:t>AMKR</w:t>
            </w:r>
          </w:p>
        </w:tc>
        <w:tc>
          <w:tcPr>
            <w:tcW w:w="4880" w:type="dxa"/>
            <w:vAlign w:val="bottom"/>
          </w:tcPr>
          <w:p>
            <w:pPr>
              <w:jc w:val="center"/>
              <w:ind w:right="10"/>
              <w:spacing w:after="0"/>
              <w:rPr>
                <w:sz w:val="20"/>
                <w:szCs w:val="20"/>
                <w:color w:val="auto"/>
              </w:rPr>
            </w:pPr>
            <w:r>
              <w:rPr>
                <w:rFonts w:ascii="Arial" w:cs="Arial" w:eastAsia="Arial" w:hAnsi="Arial"/>
                <w:sz w:val="18"/>
                <w:szCs w:val="18"/>
                <w:color w:val="auto"/>
                <w:w w:val="93"/>
              </w:rPr>
              <w:t>The NASDAQ Global Select Market</w:t>
            </w:r>
          </w:p>
        </w:tc>
      </w:tr>
    </w:tbl>
    <w:p>
      <w:pPr>
        <w:spacing w:after="0" w:line="107"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0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Attached hereto as Exhibit 99.1 and incorporated by reference herein is financial information for Amkor Technology, Inc. for the three and nine months ended September 30, 2020 and forward-looking statements relating to the fourth quarter and full year 2020 as presented in a press release dated October 26, 2020. The information in this Form 8-K and the exhibit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9" w:lineRule="exact"/>
        <w:rPr>
          <w:sz w:val="20"/>
          <w:szCs w:val="20"/>
          <w:color w:val="auto"/>
        </w:rPr>
      </w:pPr>
    </w:p>
    <w:p>
      <w:pPr>
        <w:ind w:left="260"/>
        <w:spacing w:after="0"/>
        <w:tabs>
          <w:tab w:leader="none" w:pos="57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color w:val="0000FF"/>
        </w:rPr>
        <w:tab/>
      </w:r>
      <w:hyperlink w:anchor="page4">
        <w:r>
          <w:rPr>
            <w:rFonts w:ascii="Arial" w:cs="Arial" w:eastAsia="Arial" w:hAnsi="Arial"/>
            <w:sz w:val="16"/>
            <w:szCs w:val="16"/>
            <w:u w:val="single" w:color="auto"/>
            <w:color w:val="0000FF"/>
          </w:rPr>
          <w:t>Text of Press Release dated October 26, 2020, which is furnished (not filed) herewith</w:t>
        </w:r>
        <w:r>
          <w:rPr>
            <w:rFonts w:ascii="Arial" w:cs="Arial" w:eastAsia="Arial" w:hAnsi="Arial"/>
            <w:sz w:val="16"/>
            <w:szCs w:val="16"/>
            <w:color w:val="0000FF"/>
          </w:rPr>
          <w:t>.</w:t>
        </w:r>
      </w:hyperlink>
    </w:p>
    <w:p>
      <w:pPr>
        <w:spacing w:after="0" w:line="3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AMKOR TECHNOLOGY, INC.</w:t>
      </w:r>
    </w:p>
    <w:p>
      <w:pPr>
        <w:spacing w:after="0" w:line="67" w:lineRule="exact"/>
        <w:rPr>
          <w:sz w:val="20"/>
          <w:szCs w:val="20"/>
          <w:color w:val="auto"/>
        </w:rPr>
      </w:pPr>
    </w:p>
    <w:p>
      <w:pPr>
        <w:ind w:left="418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31750</wp:posOffset>
            </wp:positionV>
            <wp:extent cx="2991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2020</w:t>
      </w:r>
    </w:p>
    <w:p>
      <w:pPr>
        <w:sectPr>
          <w:pgSz w:w="11900" w:h="16838" w:orient="portrait"/>
          <w:cols w:equalWidth="0" w:num="1">
            <w:col w:w="11240"/>
          </w:cols>
          <w:pgMar w:left="320" w:top="1255" w:right="339" w:bottom="1440" w:gutter="0" w:footer="0" w:header="0"/>
        </w:sectPr>
      </w:pPr>
    </w:p>
    <w:bookmarkStart w:id="3" w:name="page4"/>
    <w:bookmarkEnd w:id="3"/>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894715</wp:posOffset>
            </wp:positionV>
            <wp:extent cx="66865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68655" cy="257175"/>
                    </a:xfrm>
                    <a:prstGeom prst="rect">
                      <a:avLst/>
                    </a:prstGeom>
                    <a:noFill/>
                  </pic:spPr>
                </pic:pic>
              </a:graphicData>
            </a:graphic>
          </wp:anchor>
        </w:drawing>
      </w:r>
    </w:p>
    <w:p>
      <w:pPr>
        <w:ind w:left="10200"/>
        <w:spacing w:after="0"/>
        <w:rPr>
          <w:sz w:val="20"/>
          <w:szCs w:val="20"/>
          <w:color w:val="auto"/>
        </w:rPr>
      </w:pPr>
      <w:r>
        <w:rPr>
          <w:rFonts w:ascii="Arial" w:cs="Arial" w:eastAsia="Arial" w:hAnsi="Arial"/>
          <w:sz w:val="16"/>
          <w:szCs w:val="16"/>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Reports Financial Results for the Third Quarter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Initiation of a Quarterly Cash Dividend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third quarter net sales $1.35 billion, up 25% year-on-year and 15% sequentially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$127 million, operating income margin 9.4%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$92 million, earnings per diluted share $0.38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$255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Initiation of a regular quarterly cash dividend of $0.04 per share</w:t>
      </w:r>
    </w:p>
    <w:p>
      <w:pPr>
        <w:spacing w:after="0" w:line="23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TEMPE, Ariz. - October 26, 2020 - </w:t>
      </w:r>
      <w:r>
        <w:rPr>
          <w:rFonts w:ascii="Arial" w:cs="Arial" w:eastAsia="Arial" w:hAnsi="Arial"/>
          <w:sz w:val="16"/>
          <w:szCs w:val="16"/>
          <w:color w:val="auto"/>
        </w:rPr>
        <w:t>Amkor Technology, Inc. (NASDAQ: AMKR), a leading provider of semiconductor packaging and test services,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financial results for the third quarter ended September 30, 2020 and the initiation of a regular quarterly cash dividend of $0.04 per share.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“Stronger than expected demand in the communications and automotive and industrial end markets drove revenue above the high end of our guidance,” said Giel Rutten, Amkor’s president and chief executive officer. “The Board’s decision to initiate a dividend is a significant milestone for Amkor. Over the past several years, Amkor has capitalized on growth opportunities in advanced packaging technologies that target 5G, advanced automotive systems, IoT and high-performance computing, and the introduction of a regular cash dividend reflects our consistent operating performance, strong free cash flow generation and confidence in our long-term financial outlook.”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Results</w:t>
            </w:r>
          </w:p>
        </w:tc>
        <w:tc>
          <w:tcPr>
            <w:tcW w:w="3480" w:type="dxa"/>
            <w:vAlign w:val="bottom"/>
          </w:tcPr>
          <w:p>
            <w:pPr>
              <w:jc w:val="center"/>
              <w:ind w:left="1950"/>
              <w:spacing w:after="0"/>
              <w:rPr>
                <w:sz w:val="20"/>
                <w:szCs w:val="20"/>
                <w:color w:val="auto"/>
              </w:rPr>
            </w:pPr>
            <w:r>
              <w:rPr>
                <w:rFonts w:ascii="Arial" w:cs="Arial" w:eastAsia="Arial" w:hAnsi="Arial"/>
                <w:sz w:val="18"/>
                <w:szCs w:val="18"/>
                <w:b w:val="1"/>
                <w:bCs w:val="1"/>
                <w:color w:val="auto"/>
                <w:w w:val="92"/>
              </w:rPr>
              <w:t>Q3 2020</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Q2 2020</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Q3 2019</w:t>
            </w:r>
          </w:p>
        </w:tc>
      </w:tr>
      <w:tr>
        <w:trPr>
          <w:trHeight w:val="27"/>
        </w:trPr>
        <w:tc>
          <w:tcPr>
            <w:tcW w:w="490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gridSpan w:val="3"/>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6300" w:type="dxa"/>
            <w:vAlign w:val="bottom"/>
            <w:gridSpan w:val="3"/>
          </w:tcPr>
          <w:p>
            <w:pPr>
              <w:ind w:left="2880"/>
              <w:spacing w:after="0"/>
              <w:rPr>
                <w:sz w:val="20"/>
                <w:szCs w:val="20"/>
                <w:color w:val="auto"/>
              </w:rPr>
            </w:pPr>
            <w:r>
              <w:rPr>
                <w:rFonts w:ascii="Arial" w:cs="Arial" w:eastAsia="Arial" w:hAnsi="Arial"/>
                <w:sz w:val="18"/>
                <w:szCs w:val="18"/>
                <w:color w:val="auto"/>
              </w:rPr>
              <w:t>($ in millions, except per share data)</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480" w:type="dxa"/>
            <w:vAlign w:val="bottom"/>
          </w:tcPr>
          <w:p>
            <w:pPr>
              <w:jc w:val="center"/>
              <w:ind w:left="1930"/>
              <w:spacing w:after="0"/>
              <w:rPr>
                <w:sz w:val="20"/>
                <w:szCs w:val="20"/>
                <w:color w:val="auto"/>
              </w:rPr>
            </w:pPr>
            <w:r>
              <w:rPr>
                <w:rFonts w:ascii="Arial" w:cs="Arial" w:eastAsia="Arial" w:hAnsi="Arial"/>
                <w:sz w:val="18"/>
                <w:szCs w:val="18"/>
                <w:color w:val="auto"/>
                <w:w w:val="90"/>
              </w:rPr>
              <w:t>$1,354</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$1,173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$1,084</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80" w:type="dxa"/>
            <w:vAlign w:val="bottom"/>
          </w:tcPr>
          <w:p>
            <w:pPr>
              <w:jc w:val="center"/>
              <w:ind w:left="1930"/>
              <w:spacing w:after="0"/>
              <w:rPr>
                <w:sz w:val="20"/>
                <w:szCs w:val="20"/>
                <w:color w:val="auto"/>
              </w:rPr>
            </w:pPr>
            <w:r>
              <w:rPr>
                <w:rFonts w:ascii="Arial" w:cs="Arial" w:eastAsia="Arial" w:hAnsi="Arial"/>
                <w:sz w:val="18"/>
                <w:szCs w:val="18"/>
                <w:color w:val="auto"/>
                <w:w w:val="90"/>
              </w:rPr>
              <w:t>17.8%</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16.4%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16.8%</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80" w:type="dxa"/>
            <w:vAlign w:val="bottom"/>
          </w:tcPr>
          <w:p>
            <w:pPr>
              <w:jc w:val="center"/>
              <w:ind w:left="1950"/>
              <w:spacing w:after="0"/>
              <w:rPr>
                <w:sz w:val="20"/>
                <w:szCs w:val="20"/>
                <w:color w:val="auto"/>
              </w:rPr>
            </w:pPr>
            <w:r>
              <w:rPr>
                <w:rFonts w:ascii="Arial" w:cs="Arial" w:eastAsia="Arial" w:hAnsi="Arial"/>
                <w:sz w:val="18"/>
                <w:szCs w:val="18"/>
                <w:color w:val="auto"/>
                <w:w w:val="89"/>
              </w:rPr>
              <w:t>$127</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$87</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$79</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480" w:type="dxa"/>
            <w:vAlign w:val="bottom"/>
          </w:tcPr>
          <w:p>
            <w:pPr>
              <w:jc w:val="center"/>
              <w:ind w:left="1930"/>
              <w:spacing w:after="0"/>
              <w:rPr>
                <w:sz w:val="20"/>
                <w:szCs w:val="20"/>
                <w:color w:val="auto"/>
              </w:rPr>
            </w:pPr>
            <w:r>
              <w:rPr>
                <w:rFonts w:ascii="Arial" w:cs="Arial" w:eastAsia="Arial" w:hAnsi="Arial"/>
                <w:sz w:val="18"/>
                <w:szCs w:val="18"/>
                <w:color w:val="auto"/>
                <w:w w:val="92"/>
              </w:rPr>
              <w:t>9.4%</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7.4%</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7.3%</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Amkor</w:t>
            </w:r>
          </w:p>
        </w:tc>
        <w:tc>
          <w:tcPr>
            <w:tcW w:w="3480" w:type="dxa"/>
            <w:vAlign w:val="bottom"/>
          </w:tcPr>
          <w:p>
            <w:pPr>
              <w:jc w:val="center"/>
              <w:ind w:left="1950"/>
              <w:spacing w:after="0"/>
              <w:rPr>
                <w:sz w:val="20"/>
                <w:szCs w:val="20"/>
                <w:color w:val="auto"/>
              </w:rPr>
            </w:pPr>
            <w:r>
              <w:rPr>
                <w:rFonts w:ascii="Arial" w:cs="Arial" w:eastAsia="Arial" w:hAnsi="Arial"/>
                <w:sz w:val="18"/>
                <w:szCs w:val="18"/>
                <w:color w:val="auto"/>
                <w:w w:val="93"/>
              </w:rPr>
              <w:t>$92</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$55</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$54</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Earnings per diluted share</w:t>
            </w:r>
          </w:p>
        </w:tc>
        <w:tc>
          <w:tcPr>
            <w:tcW w:w="3480" w:type="dxa"/>
            <w:vAlign w:val="bottom"/>
          </w:tcPr>
          <w:p>
            <w:pPr>
              <w:jc w:val="center"/>
              <w:ind w:left="1950"/>
              <w:spacing w:after="0"/>
              <w:rPr>
                <w:sz w:val="20"/>
                <w:szCs w:val="20"/>
                <w:color w:val="auto"/>
              </w:rPr>
            </w:pPr>
            <w:r>
              <w:rPr>
                <w:rFonts w:ascii="Arial" w:cs="Arial" w:eastAsia="Arial" w:hAnsi="Arial"/>
                <w:sz w:val="18"/>
                <w:szCs w:val="18"/>
                <w:color w:val="auto"/>
                <w:w w:val="88"/>
              </w:rPr>
              <w:t>$0.38</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$0.23</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$0.23</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EBITDA*</w:t>
            </w:r>
          </w:p>
        </w:tc>
        <w:tc>
          <w:tcPr>
            <w:tcW w:w="3480" w:type="dxa"/>
            <w:vAlign w:val="bottom"/>
          </w:tcPr>
          <w:p>
            <w:pPr>
              <w:jc w:val="center"/>
              <w:ind w:left="1950"/>
              <w:spacing w:after="0"/>
              <w:rPr>
                <w:sz w:val="20"/>
                <w:szCs w:val="20"/>
                <w:color w:val="auto"/>
              </w:rPr>
            </w:pPr>
            <w:r>
              <w:rPr>
                <w:rFonts w:ascii="Arial" w:cs="Arial" w:eastAsia="Arial" w:hAnsi="Arial"/>
                <w:sz w:val="18"/>
                <w:szCs w:val="18"/>
                <w:color w:val="auto"/>
                <w:w w:val="89"/>
              </w:rPr>
              <w:t>$255</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$209</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$209</w:t>
            </w: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“All-time record quarterly revenue drove operating income margin to 9.4% and EPS to $0.38 for the quarter. We also paid down $230 million of debt this quarter, bringing our net debt to $0.4 billion, the lowest in our public company history,” said Megan Faust, Amkor’s executive vice president and chief financial officer. “The initiation of a dividend expands Amkor’s capital allocation strategy for delivering value to stockholders. Our consistent free cash flow and strong balance sheet give us the financial flexibility to continue to make investments in future growth opportunities and return capital to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total cash and short-term investments was $0.9 billion, and total debt was $1.3 billion.</w:t>
      </w:r>
    </w:p>
    <w:p>
      <w:pPr>
        <w:spacing w:after="0" w:line="252"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 initial quarterly cash dividend of $0.04 per share is payable on January 7, 2021 to stockholders of record at the close of business on December 18, 2020. The declaration and payment of future dividends, as well as any record and payment dates, are subject to the approval of the Board of Directors.</w:t>
      </w:r>
    </w:p>
    <w:p>
      <w:pPr>
        <w:spacing w:after="0" w:line="15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*EBITDA and net debt are non-GAAP financial measures. The reconciliation to the comparable GAAP financial measure is included below under “Selected Operating Data.”</w:t>
      </w:r>
    </w:p>
    <w:p>
      <w:pPr>
        <w:sectPr>
          <w:pgSz w:w="11900" w:h="16838" w:orient="portrait"/>
          <w:cols w:equalWidth="0" w:num="1">
            <w:col w:w="11240"/>
          </w:cols>
          <w:pgMar w:left="320" w:top="1440" w:right="339" w:bottom="1440" w:gutter="0" w:footer="0" w:header="0"/>
        </w:sectPr>
      </w:pPr>
    </w:p>
    <w:bookmarkStart w:id="4" w:name="page5"/>
    <w:bookmarkEnd w:id="4"/>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“Continued strength in advanced packaging and a recovering automotive end market are expected to drive solid revenue performance in the fourth quarter of 2020,” said Rutten. “Growing demand and share gains in the communications end market is expected to drive year on year revenue growth of 10% in the fourth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2020 outlook (unless otherwise noted):</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of $1.25 billion to $1.35 billion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17% to 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$68 million to $115 million, or $0.28 to $0.47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year 2020 capital expenditures of approximately $550 million</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Amkor will conduct a conference call on Monday, October 26, 2020, at 5:00 p.m. Eastern Time. This call may include material information not included in this press release. This call is being webcast and can be accessed at Amkor’s website: www.amkor.com. You may also access the call by dialing 1-877-407-4019 or 1-201-689-8337. A replay of the call will be made available at Amkor’s website or by dialing 1-877-660-6853 or 1-201-612-7415 (conference ID 13711716). The webcast is also being distributed over NASDAQ OMX’s investor distribution network to both institutional and individual investors. Institutional investors can access the call via NASDAQ OMX’s password-protected event management site, Street Events (www.streetevents.com).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Amkor Technology, Inc.</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Amkor Technology, Inc. is one of the world’s largest providers of outsourced semiconductor packaging and test services. Founded in 1968, Amkor pioneered the outsourcing of IC packaging and test, and is now a strategic manufacturing partner for the world’s leading semiconductor companies, foundries and electronics OEMs. Amkor’s operational base includes production facilities, product development centers, and sales and support offices located in key electronics manufacturing regions in Asia, Europe and the USA. For more information, visit www.amkor.com.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Vincent Keenan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480-786-7594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vincent.keenan@amkor.com</w:t>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Q3 2020</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Q2 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Q3 2019</w:t>
            </w:r>
          </w:p>
        </w:tc>
        <w:tc>
          <w:tcPr>
            <w:tcW w:w="180" w:type="dxa"/>
            <w:vAlign w:val="bottom"/>
            <w:tcBorders>
              <w:bottom w:val="single" w:sz="8" w:color="auto"/>
            </w:tcBorders>
          </w:tcPr>
          <w:p>
            <w:pPr>
              <w:spacing w:after="0"/>
              <w:rPr>
                <w:sz w:val="16"/>
                <w:szCs w:val="16"/>
                <w:color w:val="auto"/>
              </w:rPr>
            </w:pPr>
          </w:p>
        </w:tc>
      </w:tr>
      <w:tr>
        <w:trPr>
          <w:trHeight w:val="23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 Data:</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Net sales (in millions):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Advanced products (1)</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160" w:type="dxa"/>
            <w:vAlign w:val="bottom"/>
          </w:tcPr>
          <w:p>
            <w:pPr>
              <w:ind w:left="120"/>
              <w:spacing w:after="0"/>
              <w:rPr>
                <w:sz w:val="20"/>
                <w:szCs w:val="20"/>
                <w:color w:val="auto"/>
              </w:rPr>
            </w:pPr>
            <w:r>
              <w:rPr>
                <w:rFonts w:ascii="Arial" w:cs="Arial" w:eastAsia="Arial" w:hAnsi="Arial"/>
                <w:sz w:val="16"/>
                <w:szCs w:val="16"/>
                <w:color w:val="auto"/>
              </w:rPr>
              <w:t>Mainstream products (2)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w:t>
            </w:r>
          </w:p>
        </w:tc>
        <w:tc>
          <w:tcPr>
            <w:tcW w:w="180" w:type="dxa"/>
            <w:vAlign w:val="bottom"/>
          </w:tcPr>
          <w:p>
            <w:pPr>
              <w:spacing w:after="0"/>
              <w:rPr>
                <w:sz w:val="19"/>
                <w:szCs w:val="19"/>
                <w:color w:val="auto"/>
              </w:rPr>
            </w:pPr>
          </w:p>
        </w:tc>
      </w:tr>
      <w:tr>
        <w:trPr>
          <w:trHeight w:val="33"/>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80" w:type="dxa"/>
            <w:vAlign w:val="bottom"/>
            <w:shd w:val="clear" w:color="auto" w:fill="CCEEFF"/>
          </w:tcPr>
          <w:p>
            <w:pPr>
              <w:spacing w:after="0"/>
              <w:rPr>
                <w:sz w:val="23"/>
                <w:szCs w:val="23"/>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6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Packaging services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Test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6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Net sales from top ten customers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6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End Market Data:</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Communications (handheld devices, smartphones, tablets)</w:t>
      </w:r>
    </w:p>
    <w:p>
      <w:pPr>
        <w:spacing w:after="0" w:line="100" w:lineRule="exact"/>
        <w:rPr>
          <w:sz w:val="20"/>
          <w:szCs w:val="20"/>
          <w:color w:val="auto"/>
        </w:rPr>
      </w:pPr>
    </w:p>
    <w:p>
      <w:pPr>
        <w:ind w:left="20" w:right="60"/>
        <w:spacing w:after="0" w:line="350" w:lineRule="auto"/>
        <w:rPr>
          <w:sz w:val="20"/>
          <w:szCs w:val="20"/>
          <w:color w:val="auto"/>
        </w:rPr>
      </w:pPr>
      <w:r>
        <w:rPr>
          <w:rFonts w:ascii="Arial" w:cs="Arial" w:eastAsia="Arial" w:hAnsi="Arial"/>
          <w:sz w:val="16"/>
          <w:szCs w:val="16"/>
          <w:color w:val="auto"/>
        </w:rPr>
        <w:t>Consumer (connected home, set-top boxes, televisions, visual imaging, wearables) Automotive, industrial and other (driver assist, infotainment, performance, safety) Computing (data center, infrastructure, PC/laptop, storage)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Gross Margin Data: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Labor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Gross margin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41 %</w:t>
            </w:r>
          </w:p>
        </w:tc>
      </w:tr>
      <w:tr>
        <w:trPr>
          <w:trHeight w:val="257"/>
        </w:trPr>
        <w:tc>
          <w:tcPr>
            <w:tcW w:w="16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57"/>
        </w:trPr>
        <w:tc>
          <w:tcPr>
            <w:tcW w:w="162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26 %</w:t>
            </w:r>
          </w:p>
        </w:tc>
      </w:tr>
      <w:tr>
        <w:trPr>
          <w:trHeight w:val="257"/>
        </w:trPr>
        <w:tc>
          <w:tcPr>
            <w:tcW w:w="162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16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17"/>
        </w:trPr>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703"/>
        </w:trPr>
        <w:tc>
          <w:tcPr>
            <w:tcW w:w="1440" w:type="dxa"/>
            <w:vAlign w:val="bottom"/>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513"/>
        </w:trPr>
        <w:tc>
          <w:tcPr>
            <w:tcW w:w="1440" w:type="dxa"/>
            <w:vAlign w:val="bottom"/>
          </w:tcPr>
          <w:p>
            <w:pPr>
              <w:jc w:val="right"/>
              <w:spacing w:after="0"/>
              <w:rPr>
                <w:sz w:val="20"/>
                <w:szCs w:val="20"/>
                <w:color w:val="auto"/>
              </w:rPr>
            </w:pPr>
            <w:r>
              <w:rPr>
                <w:rFonts w:ascii="Arial" w:cs="Arial" w:eastAsia="Arial" w:hAnsi="Arial"/>
                <w:sz w:val="16"/>
                <w:szCs w:val="16"/>
                <w:color w:val="auto"/>
              </w:rPr>
              <w:t>46.9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6"/>
        </w:trPr>
        <w:tc>
          <w:tcPr>
            <w:tcW w:w="144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1440" w:type="dxa"/>
            <w:vAlign w:val="bottom"/>
          </w:tcPr>
          <w:p>
            <w:pPr>
              <w:jc w:val="right"/>
              <w:spacing w:after="0"/>
              <w:rPr>
                <w:sz w:val="20"/>
                <w:szCs w:val="20"/>
                <w:color w:val="auto"/>
              </w:rPr>
            </w:pPr>
            <w:r>
              <w:rPr>
                <w:rFonts w:ascii="Arial" w:cs="Arial" w:eastAsia="Arial" w:hAnsi="Arial"/>
                <w:sz w:val="16"/>
                <w:szCs w:val="16"/>
                <w:color w:val="auto"/>
              </w:rPr>
              <w:t>22.5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1440" w:type="dxa"/>
            <w:vAlign w:val="bottom"/>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720"/>
            <w:col w:w="5080"/>
          </w:cols>
          <w:pgMar w:left="320" w:top="364" w:right="339" w:bottom="1440" w:gutter="0" w:footer="0" w:header="0"/>
          <w:type w:val="continuous"/>
        </w:sectPr>
      </w:pPr>
    </w:p>
    <w:p>
      <w:pPr>
        <w:spacing w:after="0" w:line="357"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Advanced products include flip chip and wafer-level processing and related test services</w:t>
      </w:r>
    </w:p>
    <w:p>
      <w:pPr>
        <w:spacing w:after="0" w:line="42" w:lineRule="exact"/>
        <w:rPr>
          <w:rFonts w:ascii="Arial" w:cs="Arial" w:eastAsia="Arial" w:hAnsi="Arial"/>
          <w:sz w:val="14"/>
          <w:szCs w:val="14"/>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Mainstream products include wirebond packaging and related test services</w:t>
      </w:r>
    </w:p>
    <w:p>
      <w:pPr>
        <w:sectPr>
          <w:pgSz w:w="11900" w:h="16838" w:orient="portrait"/>
          <w:cols w:equalWidth="0" w:num="1">
            <w:col w:w="11240"/>
          </w:cols>
          <w:pgMar w:left="320" w:top="36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press release includes EBITDA, which is not defined by U.S. GAAP. We define EBITDA as net income before interest expense, income tax expense and depreciation and amortization. We believe EBITDA to be relevant and useful information to our investors because it provides additional information in assessing our financial operating results. Our management uses EBITDA in evaluating our operating performance, our ability to service debt and our ability to fund capital expenditures. However, EBITDA has certain limitations in that it does not reflect the impact of certain expenses on our consolidated statements of income, including interest expense, which is a necessary element of our costs because we have borrowed money in order to finance our operations, income tax expense, which is a necessary element of our costs because taxes are imposed by law, and depreciation and amortization, which is a necessary element of our costs because we use capital assets to generate income. EBITDA should be considered in addition to, and not as a substitute for, or superior to, operating income, net income or other measures of financial performance prepared in accordance with U.S. GAAP. Furthermore our definition of EBITDA may not be comparable to similarly titled measures reported by other companies. Below is our reconciliation of EBITDA to U.S. GAAP net income.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Non-GAAP Financial Measure Reconciliation: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Q3 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Q2 2020</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Q3 2019</w:t>
            </w:r>
          </w:p>
        </w:tc>
      </w:tr>
      <w:tr>
        <w:trPr>
          <w:trHeight w:val="196"/>
        </w:trPr>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 Data:</w:t>
            </w: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54</w:t>
            </w:r>
          </w:p>
        </w:tc>
      </w:tr>
      <w:tr>
        <w:trPr>
          <w:trHeight w:val="33"/>
        </w:trPr>
        <w:tc>
          <w:tcPr>
            <w:tcW w:w="6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Plus: Interest expense</w:t>
            </w:r>
          </w:p>
        </w:tc>
        <w:tc>
          <w:tcPr>
            <w:tcW w:w="1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r>
      <w:tr>
        <w:trPr>
          <w:trHeight w:val="224"/>
        </w:trPr>
        <w:tc>
          <w:tcPr>
            <w:tcW w:w="6440" w:type="dxa"/>
            <w:vAlign w:val="bottom"/>
          </w:tcPr>
          <w:p>
            <w:pPr>
              <w:ind w:left="20"/>
              <w:spacing w:after="0"/>
              <w:rPr>
                <w:sz w:val="20"/>
                <w:szCs w:val="20"/>
                <w:color w:val="auto"/>
              </w:rPr>
            </w:pPr>
            <w:r>
              <w:rPr>
                <w:rFonts w:ascii="Arial" w:cs="Arial" w:eastAsia="Arial" w:hAnsi="Arial"/>
                <w:sz w:val="16"/>
                <w:szCs w:val="16"/>
                <w:color w:val="auto"/>
              </w:rPr>
              <w:t>Plus: Income tax expense</w:t>
            </w: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w:t>
            </w:r>
          </w:p>
        </w:tc>
      </w:tr>
      <w:tr>
        <w:trPr>
          <w:trHeight w:val="33"/>
        </w:trPr>
        <w:tc>
          <w:tcPr>
            <w:tcW w:w="6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Plus: Depreciation &amp; amortization</w:t>
            </w:r>
          </w:p>
        </w:tc>
        <w:tc>
          <w:tcPr>
            <w:tcW w:w="1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129</w:t>
            </w:r>
          </w:p>
        </w:tc>
      </w:tr>
      <w:tr>
        <w:trPr>
          <w:trHeight w:val="247"/>
        </w:trPr>
        <w:tc>
          <w:tcPr>
            <w:tcW w:w="6440" w:type="dxa"/>
            <w:vAlign w:val="bottom"/>
          </w:tcPr>
          <w:p>
            <w:pPr>
              <w:ind w:left="220"/>
              <w:spacing w:after="0"/>
              <w:rPr>
                <w:sz w:val="20"/>
                <w:szCs w:val="20"/>
                <w:color w:val="auto"/>
              </w:rPr>
            </w:pPr>
            <w:r>
              <w:rPr>
                <w:rFonts w:ascii="Arial" w:cs="Arial" w:eastAsia="Arial" w:hAnsi="Arial"/>
                <w:sz w:val="16"/>
                <w:szCs w:val="16"/>
                <w:color w:val="auto"/>
              </w:rPr>
              <w:t>EBITDA</w:t>
            </w:r>
          </w:p>
        </w:tc>
        <w:tc>
          <w:tcPr>
            <w:tcW w:w="112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209</w:t>
            </w:r>
          </w:p>
        </w:tc>
      </w:tr>
      <w:tr>
        <w:trPr>
          <w:trHeight w:val="23"/>
        </w:trPr>
        <w:tc>
          <w:tcPr>
            <w:tcW w:w="6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press release also includes net debt, which is not defined by U.S. GAAP. We define net debt as total debt as reported on the consolidated balance sheet less the sum of cash and cash equivalents, and short term investments. We believe net debt to be relevant and useful information to our investors because it provides them with additional information in assessing our capital structure, financial leverage, and our ability to reduce debt and to fund investing and financing activities. This measure should be considered in addition to, and not as a substitute for, or superior to, total debt, prepared in accordance with U.S. GAAP. Furthermore, our definition of net debt may not be comparable to similarly titled measures reported by other companies.</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Non-GAAP Financial Measure Reconciliation: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Q3 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Q2 2020</w:t>
            </w:r>
          </w:p>
        </w:tc>
        <w:tc>
          <w:tcPr>
            <w:tcW w:w="300" w:type="dxa"/>
            <w:vAlign w:val="bottom"/>
          </w:tcPr>
          <w:p>
            <w:pPr>
              <w:spacing w:after="0"/>
              <w:rPr>
                <w:sz w:val="16"/>
                <w:szCs w:val="16"/>
                <w:color w:val="auto"/>
              </w:rPr>
            </w:pPr>
          </w:p>
        </w:tc>
        <w:tc>
          <w:tcPr>
            <w:tcW w:w="1220" w:type="dxa"/>
            <w:vAlign w:val="bottom"/>
          </w:tcPr>
          <w:p>
            <w:pPr>
              <w:jc w:val="right"/>
              <w:ind w:right="421"/>
              <w:spacing w:after="0"/>
              <w:rPr>
                <w:sz w:val="20"/>
                <w:szCs w:val="20"/>
                <w:color w:val="auto"/>
              </w:rPr>
            </w:pPr>
            <w:r>
              <w:rPr>
                <w:rFonts w:ascii="Arial" w:cs="Arial" w:eastAsia="Arial" w:hAnsi="Arial"/>
                <w:sz w:val="14"/>
                <w:szCs w:val="14"/>
                <w:b w:val="1"/>
                <w:bCs w:val="1"/>
                <w:color w:val="auto"/>
              </w:rPr>
              <w:t>Q3 2019</w:t>
            </w:r>
          </w:p>
        </w:tc>
      </w:tr>
      <w:tr>
        <w:trPr>
          <w:trHeight w:val="208"/>
        </w:trPr>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Data:</w:t>
            </w: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1,319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1,298</w:t>
            </w:r>
          </w:p>
        </w:tc>
      </w:tr>
      <w:tr>
        <w:trPr>
          <w:trHeight w:val="33"/>
        </w:trPr>
        <w:tc>
          <w:tcPr>
            <w:tcW w:w="6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Cash and Cash Equivalents</w:t>
            </w:r>
          </w:p>
        </w:tc>
        <w:tc>
          <w:tcPr>
            <w:tcW w:w="10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599</w:t>
            </w: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Less: Short-term Investments</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w:t>
            </w:r>
          </w:p>
        </w:tc>
      </w:tr>
      <w:tr>
        <w:trPr>
          <w:trHeight w:val="33"/>
        </w:trPr>
        <w:tc>
          <w:tcPr>
            <w:tcW w:w="6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Debt</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00" w:type="dxa"/>
            <w:vAlign w:val="bottom"/>
          </w:tcPr>
          <w:p>
            <w:pPr>
              <w:spacing w:after="0"/>
              <w:rPr>
                <w:sz w:val="16"/>
                <w:szCs w:val="16"/>
                <w:color w:val="auto"/>
              </w:rPr>
            </w:pPr>
          </w:p>
        </w:tc>
        <w:tc>
          <w:tcPr>
            <w:tcW w:w="278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96"/>
        </w:trPr>
        <w:tc>
          <w:tcPr>
            <w:tcW w:w="50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96"/>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1,083,917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3,679,548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2,874,186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1,112,938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901,677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3,057,235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2,447,731</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622,313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426,455</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77,781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70,458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206,803</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104,867</w:t>
            </w: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103,385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324,247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311,670</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114,785</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54,914</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55,555</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before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59,230</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36,418</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22,812</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Amkor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9"/>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used in computing per common share amounts: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239,503</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239,937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239,858</w:t>
            </w:r>
          </w:p>
        </w:tc>
      </w:tr>
      <w:tr>
        <w:trPr>
          <w:trHeight w:val="27"/>
        </w:trPr>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cash</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Short-term investments</w:t>
      </w:r>
    </w:p>
    <w:p>
      <w:pPr>
        <w:spacing w:after="0" w:line="63" w:lineRule="exact"/>
        <w:rPr>
          <w:sz w:val="20"/>
          <w:szCs w:val="20"/>
          <w:color w:val="auto"/>
        </w:rPr>
      </w:pPr>
    </w:p>
    <w:p>
      <w:pPr>
        <w:ind w:left="220" w:right="740"/>
        <w:spacing w:after="0" w:line="313" w:lineRule="auto"/>
        <w:rPr>
          <w:sz w:val="20"/>
          <w:szCs w:val="20"/>
          <w:color w:val="auto"/>
        </w:rPr>
      </w:pPr>
      <w:r>
        <w:rPr>
          <w:rFonts w:ascii="Arial" w:cs="Arial" w:eastAsia="Arial" w:hAnsi="Arial"/>
          <w:sz w:val="18"/>
          <w:szCs w:val="18"/>
          <w:color w:val="auto"/>
        </w:rPr>
        <w:t>Accounts receivable, net of allowances Inventories</w:t>
      </w:r>
    </w:p>
    <w:p>
      <w:pPr>
        <w:ind w:left="220"/>
        <w:spacing w:after="0"/>
        <w:rPr>
          <w:sz w:val="20"/>
          <w:szCs w:val="20"/>
          <w:color w:val="auto"/>
        </w:rPr>
      </w:pPr>
      <w:r>
        <w:rPr>
          <w:rFonts w:ascii="Arial" w:cs="Arial" w:eastAsia="Arial" w:hAnsi="Arial"/>
          <w:sz w:val="18"/>
          <w:szCs w:val="18"/>
          <w:color w:val="auto"/>
        </w:rPr>
        <w:t>Other current assets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 of use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80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December 31, 2019</w:t>
            </w:r>
          </w:p>
        </w:tc>
      </w:tr>
      <w:tr>
        <w:trPr>
          <w:trHeight w:val="190"/>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(In thousands)</w:t>
            </w:r>
          </w:p>
        </w:tc>
      </w:tr>
      <w:tr>
        <w:trPr>
          <w:trHeight w:val="255"/>
        </w:trPr>
        <w:tc>
          <w:tcPr>
            <w:tcW w:w="2920" w:type="dxa"/>
            <w:vAlign w:val="bottom"/>
            <w:gridSpan w:val="2"/>
          </w:tcPr>
          <w:p>
            <w:pPr>
              <w:jc w:val="right"/>
              <w:ind w:right="2240"/>
              <w:spacing w:after="0"/>
              <w:rPr>
                <w:sz w:val="20"/>
                <w:szCs w:val="20"/>
                <w:color w:val="auto"/>
              </w:rPr>
            </w:pPr>
            <w:r>
              <w:rPr>
                <w:rFonts w:ascii="Arial" w:cs="Arial" w:eastAsia="Arial" w:hAnsi="Arial"/>
                <w:sz w:val="18"/>
                <w:szCs w:val="18"/>
                <w:b w:val="1"/>
                <w:bCs w:val="1"/>
                <w:color w:val="auto"/>
                <w:w w:val="91"/>
              </w:rPr>
              <w:t>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540"/>
        </w:trPr>
        <w:tc>
          <w:tcPr>
            <w:tcW w:w="2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566,745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894,948</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356,150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6,348</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990,637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850,753</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299,830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220,602</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54,264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28,272</w:t>
            </w:r>
          </w:p>
        </w:tc>
      </w:tr>
      <w:tr>
        <w:trPr>
          <w:trHeight w:val="27"/>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2,268,571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2,001,533</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2,560,195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2,404,850</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149,727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148,549</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26,747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25,976</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70"/>
        </w:trPr>
        <w:tc>
          <w:tcPr>
            <w:tcW w:w="2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128,293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111,733</w:t>
            </w:r>
          </w:p>
        </w:tc>
      </w:tr>
      <w:tr>
        <w:trPr>
          <w:trHeight w:val="27"/>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5,136,620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4,695,615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-2571115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-2228215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-1885315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-1542415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-1199515</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-848360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-505460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-162560</wp:posOffset>
            </wp:positionV>
            <wp:extent cx="713232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-127635</wp:posOffset>
            </wp:positionV>
            <wp:extent cx="20231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3760" w:space="720"/>
            <w:col w:w="6760"/>
          </w:cols>
          <w:pgMar w:left="320" w:top="364"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136,526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144,479</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611,965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571,054</w:t>
            </w: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Capital expenditures payable</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77,044</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267,226</w:t>
            </w:r>
          </w:p>
        </w:tc>
      </w:tr>
      <w:tr>
        <w:trPr>
          <w:trHeight w:val="237"/>
        </w:trPr>
        <w:tc>
          <w:tcPr>
            <w:tcW w:w="80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1,375,370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1,059,803</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1,182,573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1,305,755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Pension and severance obligations</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175,941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176,971</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91,107</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91,742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71,740</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2,913,883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2,705,376</w:t>
            </w:r>
          </w:p>
        </w:tc>
      </w:tr>
      <w:tr>
        <w:trPr>
          <w:trHeight w:val="237"/>
        </w:trPr>
        <w:tc>
          <w:tcPr>
            <w:tcW w:w="80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1,943,140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1,927,739</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234,077</w:t>
            </w: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19,115</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Treasury stock</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(217,479)</w:t>
            </w:r>
          </w:p>
        </w:tc>
      </w:tr>
      <w:tr>
        <w:trPr>
          <w:trHeight w:val="236"/>
        </w:trPr>
        <w:tc>
          <w:tcPr>
            <w:tcW w:w="8060" w:type="dxa"/>
            <w:vAlign w:val="bottom"/>
          </w:tcPr>
          <w:p>
            <w:pPr>
              <w:ind w:left="660"/>
              <w:spacing w:after="0"/>
              <w:rPr>
                <w:sz w:val="20"/>
                <w:szCs w:val="20"/>
                <w:color w:val="auto"/>
              </w:rPr>
            </w:pPr>
            <w:r>
              <w:rPr>
                <w:rFonts w:ascii="Arial" w:cs="Arial" w:eastAsia="Arial" w:hAnsi="Arial"/>
                <w:sz w:val="18"/>
                <w:szCs w:val="18"/>
                <w:color w:val="auto"/>
              </w:rPr>
              <w:t>Total Amkor stockholders’ equity</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2,194,618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1,963,739</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 in subsidiaries</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26,500</w:t>
            </w:r>
          </w:p>
        </w:tc>
      </w:tr>
      <w:tr>
        <w:trPr>
          <w:trHeight w:val="236"/>
        </w:trPr>
        <w:tc>
          <w:tcPr>
            <w:tcW w:w="8060" w:type="dxa"/>
            <w:vAlign w:val="bottom"/>
          </w:tcPr>
          <w:p>
            <w:pPr>
              <w:ind w:left="660"/>
              <w:spacing w:after="0"/>
              <w:rPr>
                <w:sz w:val="20"/>
                <w:szCs w:val="20"/>
                <w:color w:val="auto"/>
              </w:rPr>
            </w:pPr>
            <w:r>
              <w:rPr>
                <w:rFonts w:ascii="Arial" w:cs="Arial" w:eastAsia="Arial" w:hAnsi="Arial"/>
                <w:sz w:val="18"/>
                <w:szCs w:val="18"/>
                <w:color w:val="auto"/>
              </w:rPr>
              <w:t>Total equity</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2,222,737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1,990,239</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5,136,620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4,695,615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6"/>
        </w:trPr>
        <w:tc>
          <w:tcPr>
            <w:tcW w:w="7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196"/>
        </w:trPr>
        <w:tc>
          <w:tcPr>
            <w:tcW w:w="7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213,534</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22,812</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377,722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398,013</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20,368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51,533</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(177,576)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(189,026)</w:t>
            </w:r>
          </w:p>
        </w:tc>
      </w:tr>
      <w:tr>
        <w:trPr>
          <w:trHeight w:val="237"/>
        </w:trPr>
        <w:tc>
          <w:tcPr>
            <w:tcW w:w="760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434,048</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283,332</w:t>
            </w: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(275,531)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(328,497)</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Proceeds from insurance recovery for property, plant and equipment</w:t>
            </w:r>
          </w:p>
        </w:tc>
        <w:tc>
          <w:tcPr>
            <w:tcW w:w="3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86,216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6,469</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for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(475,696)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(611,337)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(318,817)</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172,700</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Payments of revolving credit facilities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(92,700)</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short-term debt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86,769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51,434</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Payments of short-term debt</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(76,004)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(42,067)</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714,375</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(370,426)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(847,155)</w:t>
            </w:r>
          </w:p>
        </w:tc>
      </w:tr>
      <w:tr>
        <w:trPr>
          <w:trHeight w:val="27"/>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of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r>
      <w:tr>
        <w:trPr>
          <w:trHeight w:val="243"/>
        </w:trPr>
        <w:tc>
          <w:tcPr>
            <w:tcW w:w="760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7,707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(1,963)</w:t>
            </w: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(153,162)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(49,734)</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w:t>
            </w: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(327,755)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(83,834)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898,532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688,051</w:t>
            </w:r>
          </w:p>
        </w:tc>
      </w:tr>
      <w:tr>
        <w:trPr>
          <w:trHeight w:val="27"/>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570,777</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604,217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federal securities laws. All statements other than statements of historical fact are considered forward-looking statements, including statements regarding future demand, operating performance, free cash flow generation, financial outlook, investment and return of capital, statements regarding future dividends and all of the statements made under “Business Outlook” above. These forward-looking statements involve a number of risks, uncertainties, assumptions and other factors that could affect future results and cause actual results and events to differ materially from historical and expected results and those expressed or implied in the forward-looking statements, including, but not limited to, the following:</w:t>
      </w:r>
    </w:p>
    <w:p>
      <w:pPr>
        <w:spacing w:after="0" w:line="138"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the highly cyclical, volatile semiconductor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downturns and declines in global economic and financial conditions;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 and fluctuations in our manufacturing yields;</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75"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costs, quality, availability and delivery times of raw materials, components and equipment, including any disruption in the supply of certain materials due to regulations and customer requirements, as well as wage inflation and fluctuations in commodity prices;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other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other governments;</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and new competitors, including foundries;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decisions by our integrated device manufacturer and foundry customers to curtail outsourcing;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achieving high capacity utilization rates due to high percentage of 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can be no assurance regarding when our factory and research and development center in Korea will be fully utilized, or that the actual scope, costs, timeline or benefits of the project will be consistent with our expectations;</w:t>
      </w:r>
    </w:p>
    <w:p>
      <w:pPr>
        <w:sectPr>
          <w:pgSz w:w="11900" w:h="16838" w:orient="portrait"/>
          <w:cols w:equalWidth="0" w:num="1">
            <w:col w:w="11240"/>
          </w:cols>
          <w:pgMar w:left="320" w:top="1255" w:right="339" w:bottom="1440" w:gutter="0" w:footer="0" w:header="0"/>
        </w:sectPr>
      </w:pPr>
    </w:p>
    <w:bookmarkStart w:id="12" w:name="page13"/>
    <w:bookmarkEnd w:id="12"/>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warranty claims, product return and liability risks, and the risk of negative publicity if our products fail, as well as the risk of litigation incident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substantial indebtedness and restrictive covenants in the indentures and agreements governing our current and future indebtedness;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we may decrease or suspend our quarterly dividend;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significant severance plan obligations associated with our manufacturing operations in Korea;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important risk factors that could affect the outcome of the events set forth in these statements and that could affect our operating results and financial condition are discussed in the company’s Annual Report on Form 10-K for the year ended December 31, 2019 and in the company’s subsequent filings with the Securities and Exchange Commission made prior to or after the date hereof. Amkor undertakes no obligation to review or update any forward-looking statements to reflect events or circumstances occurring after the date of this press release except as may be required by law.</w:t>
      </w: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2020-10-26T15:29:47Z</dcterms:created>
  <dcterms:modified xsi:type="dcterms:W3CDTF">2020-10-26T15:29:47Z</dcterms:modified>
</cp:coreProperties>
</file>