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843280</wp:posOffset>
            </wp:positionV>
            <wp:extent cx="693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800735</wp:posOffset>
            </wp:positionV>
            <wp:extent cx="6934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26, 2026</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AMKOR TECHNOLOGY,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 w:type="dxa"/>
            <w:vAlign w:val="bottom"/>
          </w:tcPr>
          <w:p>
            <w:pPr>
              <w:spacing w:after="0"/>
              <w:rPr>
                <w:sz w:val="20"/>
                <w:szCs w:val="20"/>
                <w:color w:val="auto"/>
              </w:rPr>
            </w:pPr>
          </w:p>
        </w:tc>
        <w:tc>
          <w:tcPr>
            <w:tcW w:w="328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000-29472</w:t>
            </w: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259"/>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540" w:type="dxa"/>
            <w:vAlign w:val="bottom"/>
          </w:tcPr>
          <w:p>
            <w:pPr>
              <w:spacing w:after="0"/>
              <w:rPr>
                <w:sz w:val="22"/>
                <w:szCs w:val="22"/>
                <w:color w:val="auto"/>
              </w:rPr>
            </w:pPr>
          </w:p>
        </w:tc>
        <w:tc>
          <w:tcPr>
            <w:tcW w:w="41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31"/>
        </w:trPr>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2045 EAST INNOVATION CIRCLE</w:t>
            </w:r>
          </w:p>
        </w:tc>
        <w:tc>
          <w:tcPr>
            <w:tcW w:w="302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TEMPE, AZ 85284</w:t>
            </w:r>
          </w:p>
        </w:tc>
        <w:tc>
          <w:tcPr>
            <w:tcW w:w="3020" w:type="dxa"/>
            <w:vAlign w:val="bottom"/>
          </w:tcPr>
          <w:p>
            <w:pPr>
              <w:spacing w:after="0"/>
              <w:rPr>
                <w:sz w:val="19"/>
                <w:szCs w:val="19"/>
                <w:color w:val="auto"/>
              </w:rPr>
            </w:pPr>
          </w:p>
        </w:tc>
      </w:tr>
      <w:tr>
        <w:trPr>
          <w:trHeight w:val="234"/>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3020" w:type="dxa"/>
            <w:vAlign w:val="bottom"/>
          </w:tcPr>
          <w:p>
            <w:pPr>
              <w:spacing w:after="0"/>
              <w:rPr>
                <w:sz w:val="20"/>
                <w:szCs w:val="20"/>
                <w:color w:val="auto"/>
              </w:rPr>
            </w:pPr>
          </w:p>
        </w:tc>
      </w:tr>
      <w:tr>
        <w:trPr>
          <w:trHeight w:val="441"/>
        </w:trPr>
        <w:tc>
          <w:tcPr>
            <w:tcW w:w="3280" w:type="dxa"/>
            <w:vAlign w:val="bottom"/>
          </w:tcPr>
          <w:p>
            <w:pPr>
              <w:spacing w:after="0"/>
              <w:rPr>
                <w:sz w:val="24"/>
                <w:szCs w:val="24"/>
                <w:color w:val="auto"/>
              </w:rPr>
            </w:pPr>
          </w:p>
        </w:tc>
        <w:tc>
          <w:tcPr>
            <w:tcW w:w="38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4"/>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0"/>
                <w:szCs w:val="20"/>
                <w:color w:val="auto"/>
              </w:rPr>
            </w:pPr>
          </w:p>
        </w:tc>
      </w:tr>
    </w:tbl>
    <w:p>
      <w:pPr>
        <w:spacing w:after="0" w:line="27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2"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6"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6"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76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22"/>
        </w:trPr>
        <w:tc>
          <w:tcPr>
            <w:tcW w:w="35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6"/>
        </w:trPr>
        <w:tc>
          <w:tcPr>
            <w:tcW w:w="35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800" w:type="dxa"/>
            <w:vAlign w:val="bottom"/>
          </w:tcPr>
          <w:p>
            <w:pPr>
              <w:jc w:val="center"/>
              <w:ind w:left="256"/>
              <w:spacing w:after="0"/>
              <w:rPr>
                <w:sz w:val="20"/>
                <w:szCs w:val="20"/>
                <w:color w:val="auto"/>
              </w:rPr>
            </w:pPr>
            <w:r>
              <w:rPr>
                <w:rFonts w:ascii="Times New Roman" w:cs="Times New Roman" w:eastAsia="Times New Roman" w:hAnsi="Times New Roman"/>
                <w:sz w:val="18"/>
                <w:szCs w:val="18"/>
                <w:color w:val="auto"/>
                <w:w w:val="99"/>
              </w:rPr>
              <w:t>AMKR</w:t>
            </w:r>
          </w:p>
        </w:tc>
        <w:tc>
          <w:tcPr>
            <w:tcW w:w="4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63" w:lineRule="exact"/>
        <w:rPr>
          <w:sz w:val="24"/>
          <w:szCs w:val="24"/>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1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555625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October 26, 2026, Amkor Technology, Inc. announced in a press release its financial performance for the three and nine months ended September 30, 2026. The information in this Current Report on Form 8-K, including the exhibit attached hereto, is being furnished and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regardless of any general incorporation language in such filing.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38" w:lineRule="exact"/>
        <w:rPr>
          <w:sz w:val="20"/>
          <w:szCs w:val="20"/>
          <w:color w:val="auto"/>
        </w:rPr>
      </w:pPr>
    </w:p>
    <w:p>
      <w:pPr>
        <w:ind w:left="260"/>
        <w:spacing w:after="0"/>
        <w:tabs>
          <w:tab w:leader="none" w:pos="578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p>
      <w:pPr>
        <w:ind w:left="32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Press Release dated October 26, 2026, which is furnished (not filed) herewith.</w:t>
      </w:r>
    </w:p>
    <w:p>
      <w:pPr>
        <w:spacing w:after="0" w:line="36" w:lineRule="exact"/>
        <w:rPr>
          <w:sz w:val="20"/>
          <w:szCs w:val="20"/>
          <w:color w:val="auto"/>
        </w:rPr>
      </w:pPr>
    </w:p>
    <w:p>
      <w:pPr>
        <w:ind w:left="34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1007745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9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40" w:lineRule="exact"/>
        <w:rPr>
          <w:sz w:val="20"/>
          <w:szCs w:val="20"/>
          <w:color w:val="auto"/>
        </w:rPr>
      </w:pPr>
    </w:p>
    <w:p>
      <w:pPr>
        <w:ind w:left="3700"/>
        <w:spacing w:after="0"/>
        <w:tabs>
          <w:tab w:leader="none" w:pos="43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17145</wp:posOffset>
            </wp:positionV>
            <wp:extent cx="3917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3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Megan Faust</w:t>
      </w:r>
    </w:p>
    <w:p>
      <w:pPr>
        <w:spacing w:after="0" w:line="3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ectPr>
          <w:pgSz w:w="11900" w:h="16838" w:orient="portrait"/>
          <w:cols w:equalWidth="0" w:num="1">
            <w:col w:w="11240"/>
          </w:cols>
          <w:pgMar w:left="320" w:top="125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668655" cy="248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68655" cy="24892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Amkor Technology Reports Financial Results for the Third Quarter 2026</w:t>
      </w:r>
    </w:p>
    <w:p>
      <w:pPr>
        <w:spacing w:after="0" w:line="24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TEMPE, Ariz. -- October 26, 2026 -- Amkor Technology, Inc. (Nasdaq: AMKR), a leading provider of semiconductor packaging and test services, today announced financial results for the third quarter ended September 30,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2026 Highlights</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sales $1.99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$364 million, operating income $225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income $191 million, earnings per diluted share $0.76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$435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“Amkor delivered a strong quarter, with record revenue in Computing and Automotive &amp; Industrial end markets and continued margin</w:t>
      </w:r>
    </w:p>
    <w:p>
      <w:pPr>
        <w:spacing w:after="0" w:line="1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expansion, despite expected weakness in Communications,” said Kevin Engel, Amkor’s president and chief executive officer. “We are executing on our strategy, advancing key customer programs and benefiting from expanding customer commitments that improve visibility and support disciplined investment to meet future demand.”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060" w:type="dxa"/>
            <w:vAlign w:val="bottom"/>
          </w:tcPr>
          <w:p>
            <w:pPr>
              <w:spacing w:after="0"/>
              <w:rPr>
                <w:sz w:val="20"/>
                <w:szCs w:val="20"/>
                <w:color w:val="auto"/>
              </w:rPr>
            </w:pPr>
            <w:r>
              <w:rPr>
                <w:rFonts w:ascii="Arial" w:cs="Arial" w:eastAsia="Arial" w:hAnsi="Arial"/>
                <w:sz w:val="18"/>
                <w:szCs w:val="18"/>
                <w:b w:val="1"/>
                <w:bCs w:val="1"/>
                <w:color w:val="auto"/>
              </w:rPr>
              <w:t>Quarterly Financial Results</w:t>
            </w:r>
          </w:p>
        </w:tc>
        <w:tc>
          <w:tcPr>
            <w:tcW w:w="3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501"/>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millions, except per share data)</w:t>
            </w:r>
          </w:p>
        </w:tc>
        <w:tc>
          <w:tcPr>
            <w:tcW w:w="3240" w:type="dxa"/>
            <w:vAlign w:val="bottom"/>
            <w:tcBorders>
              <w:bottom w:val="single" w:sz="8" w:color="auto"/>
            </w:tcBorders>
          </w:tcPr>
          <w:p>
            <w:pPr>
              <w:jc w:val="center"/>
              <w:ind w:left="1650"/>
              <w:spacing w:after="0"/>
              <w:rPr>
                <w:sz w:val="20"/>
                <w:szCs w:val="20"/>
                <w:color w:val="auto"/>
              </w:rPr>
            </w:pPr>
            <w:r>
              <w:rPr>
                <w:rFonts w:ascii="Arial" w:cs="Arial" w:eastAsia="Arial" w:hAnsi="Arial"/>
                <w:sz w:val="18"/>
                <w:szCs w:val="18"/>
                <w:b w:val="1"/>
                <w:bCs w:val="1"/>
                <w:color w:val="auto"/>
              </w:rPr>
              <w:t>Q3 2026</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Q2 2026</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Q3 2025</w:t>
            </w:r>
          </w:p>
        </w:tc>
      </w:tr>
      <w:tr>
        <w:trPr>
          <w:trHeight w:val="241"/>
        </w:trPr>
        <w:tc>
          <w:tcPr>
            <w:tcW w:w="50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40" w:type="dxa"/>
            <w:vAlign w:val="bottom"/>
          </w:tcPr>
          <w:p>
            <w:pPr>
              <w:jc w:val="center"/>
              <w:ind w:left="1650"/>
              <w:spacing w:after="0"/>
              <w:rPr>
                <w:sz w:val="20"/>
                <w:szCs w:val="20"/>
                <w:color w:val="auto"/>
              </w:rPr>
            </w:pPr>
            <w:r>
              <w:rPr>
                <w:rFonts w:ascii="Arial" w:cs="Arial" w:eastAsia="Arial" w:hAnsi="Arial"/>
                <w:sz w:val="18"/>
                <w:szCs w:val="18"/>
                <w:color w:val="auto"/>
                <w:w w:val="98"/>
              </w:rPr>
              <w:t>$1,991</w:t>
            </w:r>
          </w:p>
        </w:tc>
        <w:tc>
          <w:tcPr>
            <w:tcW w:w="1500" w:type="dxa"/>
            <w:vAlign w:val="bottom"/>
          </w:tcPr>
          <w:p>
            <w:pPr>
              <w:jc w:val="center"/>
              <w:spacing w:after="0"/>
              <w:rPr>
                <w:sz w:val="20"/>
                <w:szCs w:val="20"/>
                <w:color w:val="auto"/>
              </w:rPr>
            </w:pPr>
            <w:r>
              <w:rPr>
                <w:rFonts w:ascii="Arial" w:cs="Arial" w:eastAsia="Arial" w:hAnsi="Arial"/>
                <w:sz w:val="18"/>
                <w:szCs w:val="18"/>
                <w:color w:val="auto"/>
                <w:w w:val="98"/>
              </w:rPr>
              <w:t>$1,898</w:t>
            </w:r>
          </w:p>
        </w:tc>
        <w:tc>
          <w:tcPr>
            <w:tcW w:w="1440" w:type="dxa"/>
            <w:vAlign w:val="bottom"/>
          </w:tcPr>
          <w:p>
            <w:pPr>
              <w:jc w:val="center"/>
              <w:spacing w:after="0"/>
              <w:rPr>
                <w:sz w:val="20"/>
                <w:szCs w:val="20"/>
                <w:color w:val="auto"/>
              </w:rPr>
            </w:pPr>
            <w:r>
              <w:rPr>
                <w:rFonts w:ascii="Arial" w:cs="Arial" w:eastAsia="Arial" w:hAnsi="Arial"/>
                <w:sz w:val="18"/>
                <w:szCs w:val="18"/>
                <w:color w:val="auto"/>
              </w:rPr>
              <w:t>$1,987</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40" w:type="dxa"/>
            <w:vAlign w:val="bottom"/>
          </w:tcPr>
          <w:p>
            <w:pPr>
              <w:jc w:val="center"/>
              <w:ind w:left="1650"/>
              <w:spacing w:after="0"/>
              <w:rPr>
                <w:sz w:val="20"/>
                <w:szCs w:val="20"/>
                <w:color w:val="auto"/>
              </w:rPr>
            </w:pPr>
            <w:r>
              <w:rPr>
                <w:rFonts w:ascii="Arial" w:cs="Arial" w:eastAsia="Arial" w:hAnsi="Arial"/>
                <w:sz w:val="18"/>
                <w:szCs w:val="18"/>
                <w:color w:val="auto"/>
                <w:w w:val="97"/>
              </w:rPr>
              <w:t>18.3%</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16.8%</w:t>
            </w:r>
          </w:p>
        </w:tc>
        <w:tc>
          <w:tcPr>
            <w:tcW w:w="1440" w:type="dxa"/>
            <w:vAlign w:val="bottom"/>
          </w:tcPr>
          <w:p>
            <w:pPr>
              <w:jc w:val="center"/>
              <w:spacing w:after="0"/>
              <w:rPr>
                <w:sz w:val="20"/>
                <w:szCs w:val="20"/>
                <w:color w:val="auto"/>
              </w:rPr>
            </w:pPr>
            <w:r>
              <w:rPr>
                <w:rFonts w:ascii="Arial" w:cs="Arial" w:eastAsia="Arial" w:hAnsi="Arial"/>
                <w:sz w:val="18"/>
                <w:szCs w:val="18"/>
                <w:color w:val="auto"/>
              </w:rPr>
              <w:t>14.3%</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40" w:type="dxa"/>
            <w:vAlign w:val="bottom"/>
          </w:tcPr>
          <w:p>
            <w:pPr>
              <w:jc w:val="center"/>
              <w:ind w:left="1630"/>
              <w:spacing w:after="0"/>
              <w:rPr>
                <w:sz w:val="20"/>
                <w:szCs w:val="20"/>
                <w:color w:val="auto"/>
              </w:rPr>
            </w:pPr>
            <w:r>
              <w:rPr>
                <w:rFonts w:ascii="Arial" w:cs="Arial" w:eastAsia="Arial" w:hAnsi="Arial"/>
                <w:sz w:val="18"/>
                <w:szCs w:val="18"/>
                <w:color w:val="auto"/>
                <w:w w:val="99"/>
              </w:rPr>
              <w:t>$225</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$200</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$159</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3240" w:type="dxa"/>
            <w:vAlign w:val="bottom"/>
          </w:tcPr>
          <w:p>
            <w:pPr>
              <w:jc w:val="center"/>
              <w:ind w:left="1650"/>
              <w:spacing w:after="0"/>
              <w:rPr>
                <w:sz w:val="20"/>
                <w:szCs w:val="20"/>
                <w:color w:val="auto"/>
              </w:rPr>
            </w:pPr>
            <w:r>
              <w:rPr>
                <w:rFonts w:ascii="Arial" w:cs="Arial" w:eastAsia="Arial" w:hAnsi="Arial"/>
                <w:sz w:val="18"/>
                <w:szCs w:val="18"/>
                <w:color w:val="auto"/>
                <w:w w:val="97"/>
              </w:rPr>
              <w:t>11.3%</w:t>
            </w:r>
          </w:p>
        </w:tc>
        <w:tc>
          <w:tcPr>
            <w:tcW w:w="1500" w:type="dxa"/>
            <w:vAlign w:val="bottom"/>
          </w:tcPr>
          <w:p>
            <w:pPr>
              <w:jc w:val="center"/>
              <w:spacing w:after="0"/>
              <w:rPr>
                <w:sz w:val="20"/>
                <w:szCs w:val="20"/>
                <w:color w:val="auto"/>
              </w:rPr>
            </w:pPr>
            <w:r>
              <w:rPr>
                <w:rFonts w:ascii="Arial" w:cs="Arial" w:eastAsia="Arial" w:hAnsi="Arial"/>
                <w:sz w:val="18"/>
                <w:szCs w:val="18"/>
                <w:color w:val="auto"/>
                <w:w w:val="97"/>
              </w:rPr>
              <w:t>10.5%</w:t>
            </w:r>
          </w:p>
        </w:tc>
        <w:tc>
          <w:tcPr>
            <w:tcW w:w="1440" w:type="dxa"/>
            <w:vAlign w:val="bottom"/>
          </w:tcPr>
          <w:p>
            <w:pPr>
              <w:jc w:val="center"/>
              <w:spacing w:after="0"/>
              <w:rPr>
                <w:sz w:val="20"/>
                <w:szCs w:val="20"/>
                <w:color w:val="auto"/>
              </w:rPr>
            </w:pPr>
            <w:r>
              <w:rPr>
                <w:rFonts w:ascii="Arial" w:cs="Arial" w:eastAsia="Arial" w:hAnsi="Arial"/>
                <w:sz w:val="18"/>
                <w:szCs w:val="18"/>
                <w:color w:val="auto"/>
                <w:w w:val="97"/>
              </w:rPr>
              <w:t>8.0%</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Net income attributable to Amkor</w:t>
            </w:r>
          </w:p>
        </w:tc>
        <w:tc>
          <w:tcPr>
            <w:tcW w:w="3240" w:type="dxa"/>
            <w:vAlign w:val="bottom"/>
          </w:tcPr>
          <w:p>
            <w:pPr>
              <w:jc w:val="center"/>
              <w:ind w:left="1630"/>
              <w:spacing w:after="0"/>
              <w:rPr>
                <w:sz w:val="20"/>
                <w:szCs w:val="20"/>
                <w:color w:val="auto"/>
              </w:rPr>
            </w:pPr>
            <w:r>
              <w:rPr>
                <w:rFonts w:ascii="Arial" w:cs="Arial" w:eastAsia="Arial" w:hAnsi="Arial"/>
                <w:sz w:val="18"/>
                <w:szCs w:val="18"/>
                <w:color w:val="auto"/>
                <w:w w:val="99"/>
              </w:rPr>
              <w:t>$191</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$174</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$127</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Earnings per diluted share</w:t>
            </w:r>
          </w:p>
        </w:tc>
        <w:tc>
          <w:tcPr>
            <w:tcW w:w="3240" w:type="dxa"/>
            <w:vAlign w:val="bottom"/>
          </w:tcPr>
          <w:p>
            <w:pPr>
              <w:jc w:val="center"/>
              <w:ind w:left="1650"/>
              <w:spacing w:after="0"/>
              <w:rPr>
                <w:sz w:val="20"/>
                <w:szCs w:val="20"/>
                <w:color w:val="auto"/>
              </w:rPr>
            </w:pPr>
            <w:r>
              <w:rPr>
                <w:rFonts w:ascii="Arial" w:cs="Arial" w:eastAsia="Arial" w:hAnsi="Arial"/>
                <w:sz w:val="18"/>
                <w:szCs w:val="18"/>
                <w:color w:val="auto"/>
              </w:rPr>
              <w:t>$0.76</w:t>
            </w:r>
          </w:p>
        </w:tc>
        <w:tc>
          <w:tcPr>
            <w:tcW w:w="1500" w:type="dxa"/>
            <w:vAlign w:val="bottom"/>
          </w:tcPr>
          <w:p>
            <w:pPr>
              <w:jc w:val="center"/>
              <w:spacing w:after="0"/>
              <w:rPr>
                <w:sz w:val="20"/>
                <w:szCs w:val="20"/>
                <w:color w:val="auto"/>
              </w:rPr>
            </w:pPr>
            <w:r>
              <w:rPr>
                <w:rFonts w:ascii="Arial" w:cs="Arial" w:eastAsia="Arial" w:hAnsi="Arial"/>
                <w:sz w:val="18"/>
                <w:szCs w:val="18"/>
                <w:color w:val="auto"/>
              </w:rPr>
              <w:t>$0.70</w:t>
            </w:r>
          </w:p>
        </w:tc>
        <w:tc>
          <w:tcPr>
            <w:tcW w:w="1440" w:type="dxa"/>
            <w:vAlign w:val="bottom"/>
          </w:tcPr>
          <w:p>
            <w:pPr>
              <w:jc w:val="center"/>
              <w:spacing w:after="0"/>
              <w:rPr>
                <w:sz w:val="20"/>
                <w:szCs w:val="20"/>
                <w:color w:val="auto"/>
              </w:rPr>
            </w:pPr>
            <w:r>
              <w:rPr>
                <w:rFonts w:ascii="Arial" w:cs="Arial" w:eastAsia="Arial" w:hAnsi="Arial"/>
                <w:sz w:val="18"/>
                <w:szCs w:val="18"/>
                <w:color w:val="auto"/>
              </w:rPr>
              <w:t>$0.51</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EBITDA (1)</w:t>
            </w:r>
          </w:p>
        </w:tc>
        <w:tc>
          <w:tcPr>
            <w:tcW w:w="3240" w:type="dxa"/>
            <w:vAlign w:val="bottom"/>
          </w:tcPr>
          <w:p>
            <w:pPr>
              <w:jc w:val="center"/>
              <w:ind w:left="1630"/>
              <w:spacing w:after="0"/>
              <w:rPr>
                <w:sz w:val="20"/>
                <w:szCs w:val="20"/>
                <w:color w:val="auto"/>
              </w:rPr>
            </w:pPr>
            <w:r>
              <w:rPr>
                <w:rFonts w:ascii="Arial" w:cs="Arial" w:eastAsia="Arial" w:hAnsi="Arial"/>
                <w:sz w:val="18"/>
                <w:szCs w:val="18"/>
                <w:color w:val="auto"/>
                <w:w w:val="99"/>
              </w:rPr>
              <w:t>$435</w:t>
            </w: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$400</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$340</w:t>
            </w:r>
          </w:p>
        </w:tc>
      </w:tr>
    </w:tbl>
    <w:p>
      <w:pPr>
        <w:spacing w:after="0" w:line="301" w:lineRule="exact"/>
        <w:rPr>
          <w:sz w:val="20"/>
          <w:szCs w:val="20"/>
          <w:color w:val="auto"/>
        </w:rPr>
      </w:pPr>
    </w:p>
    <w:p>
      <w:pPr>
        <w:ind w:firstLine="8"/>
        <w:spacing w:after="0" w:line="287" w:lineRule="auto"/>
        <w:tabs>
          <w:tab w:leader="none" w:pos="294"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is a non-GAAP measure. The reconciliation to the comparable GAAP measure is included below under “Selected Operating Data.”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2026, total cash and short-term investments was $2.4 billion, and total debt was $2.5 billion.</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 paid a quarterly dividend of $0.08352 per share on September 22, 2026. The declaration and payment of future dividends, as well as any record and payment dates, are subject to the approval of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2026, the company purchased approximately $32 million of common stock under its stock repurchase program.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Amkor’s guidance for the fourth quarter 2026 (unless otherwise noted):</w:t>
      </w:r>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sales of $1.9 billion to $2.0 billion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of 18.0% to 19.0%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of $160 million to $185 million, or $0.65 to $0.75 per diluted share</w:t>
      </w:r>
    </w:p>
    <w:p>
      <w:pPr>
        <w:spacing w:after="0" w:line="13"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auto"/>
        </w:rPr>
        <w:t>Full year 2026 capital expenditures updated to approximately $2.5 billion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Amkor will conduct a conference call on Monday, October 26, 2026, at 5:00 p.m. Eastern Time. This call may include material information not included in this press release. To access the live audio webcast and the accompanying slide presentation, visit the Investor Relations section of Amkor’s website, located at ir.amkor.com. The live call can also be accessed by dialing 1-877-407-4019 or 1-201-689-8337.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Amkor Technology, Inc.</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Amkor Technology, Inc. (Nasdaq: AMKR) is the world’s largest U.S. headquartered OSAT and is a global leader in outsourced semiconductor packaging and test services. With a strong track record of innovation, a broad and diverse geographic footprint and solid partnerships with lead customers, Amkor delivers high-quality solutions that enable the world’s leading semiconductor and electronics companies to bring advanced technologies to market. The company’s comprehensive portfolio includes advanced packaging, wafer-level processing, and system-in-package solutions targeting applications for smartphones, data centers, artificial intelligence, automobiles and wearables. For more information visit amkor.com.</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Jennifer Jue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480-786-7594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jennifer.jue@amkor.com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Kris Pugsley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480-786-7499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kris.pugsley@amkor.com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Q3 2026</w:t>
            </w: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Q2 2026</w:t>
            </w:r>
          </w:p>
        </w:tc>
        <w:tc>
          <w:tcPr>
            <w:tcW w:w="300" w:type="dxa"/>
            <w:vAlign w:val="bottom"/>
          </w:tcPr>
          <w:p>
            <w:pPr>
              <w:spacing w:after="0"/>
              <w:rPr>
                <w:sz w:val="20"/>
                <w:szCs w:val="20"/>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Q3 2025</w:t>
            </w: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 Data:</w:t>
            </w:r>
          </w:p>
        </w:tc>
        <w:tc>
          <w:tcPr>
            <w:tcW w:w="2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Net sales (in millions):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43"/>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Advanced products (1)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1,684</w:t>
            </w:r>
          </w:p>
        </w:tc>
      </w:tr>
      <w:tr>
        <w:trPr>
          <w:trHeight w:val="243"/>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Mainstream products (2)</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303</w:t>
            </w:r>
          </w:p>
        </w:tc>
      </w:tr>
      <w:tr>
        <w:trPr>
          <w:trHeight w:val="262"/>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1,987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Packaging services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Test services</w:t>
            </w:r>
          </w:p>
        </w:tc>
        <w:tc>
          <w:tcPr>
            <w:tcW w:w="16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03"/>
        </w:trPr>
        <w:tc>
          <w:tcPr>
            <w:tcW w:w="6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Net sales from top ten customers</w:t>
            </w:r>
          </w:p>
        </w:tc>
        <w:tc>
          <w:tcPr>
            <w:tcW w:w="162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03"/>
        </w:trPr>
        <w:tc>
          <w:tcPr>
            <w:tcW w:w="6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End Market Distribution Data:</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 (smartphones, tablets)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Computing (data center, infrastructure, PC/laptop, storage)</w:t>
            </w:r>
          </w:p>
        </w:tc>
        <w:tc>
          <w:tcPr>
            <w:tcW w:w="16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industrial and other (ADAS, electrification, infotainment, safety)</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4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Consumer (AR &amp; gaming, connected home, home electronics, wearables)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r>
      <w:tr>
        <w:trPr>
          <w:trHeight w:val="262"/>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6160" w:type="dxa"/>
            <w:vAlign w:val="bottom"/>
            <w:tcBorders>
              <w:top w:val="single" w:sz="8" w:color="CCEEFF"/>
            </w:tcBorders>
          </w:tcPr>
          <w:p>
            <w:pPr>
              <w:spacing w:after="0"/>
              <w:rPr>
                <w:sz w:val="2"/>
                <w:szCs w:val="2"/>
                <w:color w:val="auto"/>
              </w:rPr>
            </w:pPr>
          </w:p>
        </w:tc>
        <w:tc>
          <w:tcPr>
            <w:tcW w:w="162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62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640" w:type="dxa"/>
            <w:vAlign w:val="bottom"/>
            <w:tcBorders>
              <w:top w:val="single" w:sz="8" w:color="CCEEFF"/>
              <w:bottom w:val="single" w:sz="8" w:color="auto"/>
            </w:tcBorders>
          </w:tcPr>
          <w:p>
            <w:pPr>
              <w:spacing w:after="0"/>
              <w:rPr>
                <w:sz w:val="2"/>
                <w:szCs w:val="2"/>
                <w:color w:val="auto"/>
              </w:rPr>
            </w:pPr>
          </w:p>
        </w:tc>
      </w:tr>
      <w:tr>
        <w:trPr>
          <w:trHeight w:val="25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 Data:</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3"/>
        </w:trPr>
        <w:tc>
          <w:tcPr>
            <w:tcW w:w="6160" w:type="dxa"/>
            <w:vAlign w:val="bottom"/>
          </w:tcPr>
          <w:p>
            <w:pPr>
              <w:ind w:left="220"/>
              <w:spacing w:after="0"/>
              <w:rPr>
                <w:sz w:val="20"/>
                <w:szCs w:val="20"/>
                <w:color w:val="auto"/>
              </w:rPr>
            </w:pPr>
            <w:r>
              <w:rPr>
                <w:rFonts w:ascii="Arial" w:cs="Arial" w:eastAsia="Arial" w:hAnsi="Arial"/>
                <w:sz w:val="18"/>
                <w:szCs w:val="18"/>
                <w:color w:val="auto"/>
              </w:rPr>
              <w:t>Materials</w:t>
            </w:r>
          </w:p>
        </w:tc>
        <w:tc>
          <w:tcPr>
            <w:tcW w:w="1620" w:type="dxa"/>
            <w:vAlign w:val="bottom"/>
          </w:tcPr>
          <w:p>
            <w:pPr>
              <w:jc w:val="right"/>
              <w:spacing w:after="0"/>
              <w:rPr>
                <w:sz w:val="20"/>
                <w:szCs w:val="20"/>
                <w:color w:val="auto"/>
              </w:rPr>
            </w:pPr>
            <w:r>
              <w:rPr>
                <w:rFonts w:ascii="Arial" w:cs="Arial" w:eastAsia="Arial" w:hAnsi="Arial"/>
                <w:sz w:val="18"/>
                <w:szCs w:val="18"/>
                <w:color w:val="auto"/>
              </w:rPr>
              <w:t>50.7 %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52.6 %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57.5 %</w:t>
            </w:r>
          </w:p>
        </w:tc>
      </w:tr>
      <w:tr>
        <w:trPr>
          <w:trHeight w:val="243"/>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43"/>
        </w:trPr>
        <w:tc>
          <w:tcPr>
            <w:tcW w:w="61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162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7.5 %</w:t>
            </w:r>
          </w:p>
        </w:tc>
      </w:tr>
      <w:tr>
        <w:trPr>
          <w:trHeight w:val="243"/>
        </w:trPr>
        <w:tc>
          <w:tcPr>
            <w:tcW w:w="6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manufacturing</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00" w:type="dxa"/>
            <w:vAlign w:val="bottom"/>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36"/>
        </w:trPr>
        <w:tc>
          <w:tcPr>
            <w:tcW w:w="61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18.3 %</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14.3 %</w:t>
            </w:r>
          </w:p>
        </w:tc>
      </w:tr>
      <w:tr>
        <w:trPr>
          <w:trHeight w:val="21"/>
        </w:trPr>
        <w:tc>
          <w:tcPr>
            <w:tcW w:w="6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Advanced products include flip chip, memory and wafer-level processing and related test services.</w:t>
      </w:r>
    </w:p>
    <w:p>
      <w:pPr>
        <w:spacing w:after="0" w:line="27"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this press release, we refer to EBITDA, which is not defined by U.S. GAAP. We define EBITDA as net income before interest expense, income tax expense and depreciation and amortization. We believe EBITDA to be relevant and useful information to our investors because it provides additional information in assessing our financial operating results. Our management uses EBITDA in evaluating our operating performance, and our ability to service debt, fund capital expenditures and pay dividends. However, EBITDA has certain limitations in that it does not reflect the impact of certain expenses on our consolidated statements of income, including interest expense, which is a necessary element of our costs because we have borrowed money in order to finance our operations, income tax expense, which is a necessary element of our costs because taxes are imposed by law, and depreciation and amortization, which is a necessary element of our costs because we use capital assets to generate income. EBITDA should be considered in addition to, and not as a substitute for, or superior to, operating income, net income or other measures of financial performance prepared in accordance with U.S. GAAP. Furthermore, our definition of EBITDA may not be comparable to similarly titled measures reported by other companies. Below is our reconciliation of EBITDA to U.S. GAAP net income.</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Financial Measure Reconciliation:</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millions)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Q3 2026</w:t>
            </w: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Q2 2026</w:t>
            </w: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Q3 2025</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EBITDA Data:</w:t>
            </w: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6460" w:type="dxa"/>
            <w:vAlign w:val="bottom"/>
          </w:tcPr>
          <w:p>
            <w:pPr>
              <w:ind w:left="20"/>
              <w:spacing w:after="0"/>
              <w:rPr>
                <w:sz w:val="20"/>
                <w:szCs w:val="20"/>
                <w:color w:val="auto"/>
              </w:rPr>
            </w:pPr>
            <w:r>
              <w:rPr>
                <w:rFonts w:ascii="Arial" w:cs="Arial" w:eastAsia="Arial" w:hAnsi="Arial"/>
                <w:sz w:val="18"/>
                <w:szCs w:val="18"/>
                <w:color w:val="auto"/>
              </w:rPr>
              <w:t>Plus: Interest expense</w:t>
            </w: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Income tax expense</w:t>
            </w: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Depreciation &amp; amortization</w:t>
            </w:r>
          </w:p>
        </w:tc>
        <w:tc>
          <w:tcPr>
            <w:tcW w:w="1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187</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62"/>
        </w:trPr>
        <w:tc>
          <w:tcPr>
            <w:tcW w:w="6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9"/>
              </w:rPr>
              <w:t>For the Three Months Ended</w:t>
            </w:r>
          </w:p>
        </w:tc>
        <w:tc>
          <w:tcPr>
            <w:tcW w:w="180" w:type="dxa"/>
            <w:vAlign w:val="bottom"/>
          </w:tcPr>
          <w:p>
            <w:pPr>
              <w:spacing w:after="0"/>
              <w:rPr>
                <w:sz w:val="17"/>
                <w:szCs w:val="17"/>
                <w:color w:val="auto"/>
              </w:rPr>
            </w:pPr>
          </w:p>
        </w:tc>
        <w:tc>
          <w:tcPr>
            <w:tcW w:w="266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For the Nine Months Ended</w:t>
            </w:r>
          </w:p>
        </w:tc>
      </w:tr>
      <w:tr>
        <w:trPr>
          <w:trHeight w:val="243"/>
        </w:trPr>
        <w:tc>
          <w:tcPr>
            <w:tcW w:w="5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1"/>
                <w:szCs w:val="21"/>
                <w:color w:val="auto"/>
              </w:rPr>
            </w:pPr>
          </w:p>
        </w:tc>
        <w:tc>
          <w:tcPr>
            <w:tcW w:w="26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4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r>
      <w:tr>
        <w:trPr>
          <w:trHeight w:val="23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1,990,557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5,573,223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4,819,935</w:t>
            </w:r>
          </w:p>
        </w:tc>
      </w:tr>
      <w:tr>
        <w:trPr>
          <w:trHeight w:val="24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1,627,028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1,702,478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4,652,072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4,195,965</w:t>
            </w:r>
          </w:p>
        </w:tc>
      </w:tr>
      <w:tr>
        <w:trPr>
          <w:trHeight w:val="237"/>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363,529</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284,490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921,151</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623,970</w:t>
            </w:r>
          </w:p>
        </w:tc>
      </w:tr>
      <w:tr>
        <w:trPr>
          <w:trHeight w:val="236"/>
        </w:trPr>
        <w:tc>
          <w:tcPr>
            <w:tcW w:w="54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99,026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83,211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274,917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211,541</w:t>
            </w: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42,352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121,382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130,012</w:t>
            </w:r>
          </w:p>
        </w:tc>
      </w:tr>
      <w:tr>
        <w:trPr>
          <w:trHeight w:val="237"/>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138,818</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125,563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396,299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341,553</w:t>
            </w:r>
          </w:p>
        </w:tc>
      </w:tr>
      <w:tr>
        <w:trPr>
          <w:trHeight w:val="237"/>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158,927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282,417</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52,597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54,850</w:t>
            </w: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(35,833)</w:t>
            </w:r>
          </w:p>
        </w:tc>
      </w:tr>
      <w:tr>
        <w:trPr>
          <w:trHeight w:val="236"/>
        </w:trPr>
        <w:tc>
          <w:tcPr>
            <w:tcW w:w="5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19,017</w:t>
            </w:r>
          </w:p>
        </w:tc>
      </w:tr>
      <w:tr>
        <w:trPr>
          <w:trHeight w:val="237"/>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taxes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230,162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529,645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263,400</w:t>
            </w:r>
          </w:p>
        </w:tc>
      </w:tr>
      <w:tr>
        <w:trPr>
          <w:trHeight w:val="24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59,813</w:t>
            </w:r>
          </w:p>
        </w:tc>
      </w:tr>
      <w:tr>
        <w:trPr>
          <w:trHeight w:val="237"/>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190,919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126,682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449,754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203,587</w:t>
            </w:r>
          </w:p>
        </w:tc>
      </w:tr>
      <w:tr>
        <w:trPr>
          <w:trHeight w:val="24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r>
      <w:tr>
        <w:trPr>
          <w:trHeight w:val="262"/>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190,613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447,717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202,134</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 per common share:</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5460" w:type="dxa"/>
            <w:vAlign w:val="bottom"/>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2"/>
        </w:trPr>
        <w:tc>
          <w:tcPr>
            <w:tcW w:w="5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in computing per common share amounts: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5460" w:type="dxa"/>
            <w:vAlign w:val="bottom"/>
          </w:tcPr>
          <w:p>
            <w:pPr>
              <w:ind w:left="2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248,015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247,827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247,035</w:t>
            </w:r>
          </w:p>
        </w:tc>
      </w:tr>
      <w:tr>
        <w:trPr>
          <w:trHeight w:val="243"/>
        </w:trPr>
        <w:tc>
          <w:tcPr>
            <w:tcW w:w="5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249,712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64"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Cash and cash equivalents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Restricted cash</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Short-term investments</w:t>
      </w:r>
    </w:p>
    <w:p>
      <w:pPr>
        <w:spacing w:after="0" w:line="36" w:lineRule="exact"/>
        <w:rPr>
          <w:sz w:val="20"/>
          <w:szCs w:val="20"/>
          <w:color w:val="auto"/>
        </w:rPr>
      </w:pPr>
    </w:p>
    <w:p>
      <w:pPr>
        <w:ind w:left="220" w:right="20"/>
        <w:spacing w:after="0" w:line="281" w:lineRule="auto"/>
        <w:rPr>
          <w:sz w:val="20"/>
          <w:szCs w:val="20"/>
          <w:color w:val="auto"/>
        </w:rPr>
      </w:pPr>
      <w:r>
        <w:rPr>
          <w:rFonts w:ascii="Arial" w:cs="Arial" w:eastAsia="Arial" w:hAnsi="Arial"/>
          <w:sz w:val="18"/>
          <w:szCs w:val="18"/>
          <w:color w:val="auto"/>
        </w:rPr>
        <w:t>Accounts receivable, net of allowances Inventories</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current assets</w:t>
      </w:r>
    </w:p>
    <w:p>
      <w:pPr>
        <w:spacing w:after="0" w:line="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current assets</w:t>
      </w:r>
    </w:p>
    <w:p>
      <w:pPr>
        <w:spacing w:after="0" w:line="36" w:lineRule="exact"/>
        <w:rPr>
          <w:sz w:val="20"/>
          <w:szCs w:val="20"/>
          <w:color w:val="auto"/>
        </w:rPr>
      </w:pPr>
    </w:p>
    <w:p>
      <w:pPr>
        <w:jc w:val="both"/>
        <w:ind w:left="20" w:right="540"/>
        <w:spacing w:after="0" w:line="292" w:lineRule="auto"/>
        <w:rPr>
          <w:sz w:val="20"/>
          <w:szCs w:val="20"/>
          <w:color w:val="auto"/>
        </w:rPr>
      </w:pPr>
      <w:r>
        <w:rPr>
          <w:rFonts w:ascii="Arial" w:cs="Arial" w:eastAsia="Arial" w:hAnsi="Arial"/>
          <w:sz w:val="18"/>
          <w:szCs w:val="18"/>
          <w:color w:val="auto"/>
        </w:rPr>
        <w:t>Property, plant and equipment, net Operating lease right of use assets Goodwill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cash</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ind w:right="406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4060"/>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1200" w:type="dxa"/>
        <w:tblCellMar>
          <w:top w:w="0" w:type="dxa"/>
          <w:left w:w="0" w:type="dxa"/>
          <w:bottom w:w="0" w:type="dxa"/>
          <w:right w:w="0" w:type="dxa"/>
        </w:tblCellMar>
      </w:tblPr>
      <w:tr>
        <w:trPr>
          <w:trHeight w:val="235"/>
        </w:trPr>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 2026</w:t>
            </w:r>
          </w:p>
        </w:tc>
        <w:tc>
          <w:tcPr>
            <w:tcW w:w="220" w:type="dxa"/>
            <w:vAlign w:val="bottom"/>
          </w:tcPr>
          <w:p>
            <w:pPr>
              <w:spacing w:after="0"/>
              <w:rPr>
                <w:sz w:val="20"/>
                <w:szCs w:val="20"/>
                <w:color w:val="auto"/>
              </w:rPr>
            </w:pPr>
          </w:p>
        </w:tc>
        <w:tc>
          <w:tcPr>
            <w:tcW w:w="202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 2025</w:t>
            </w:r>
          </w:p>
        </w:tc>
      </w:tr>
      <w:tr>
        <w:trPr>
          <w:trHeight w:val="235"/>
        </w:trPr>
        <w:tc>
          <w:tcPr>
            <w:tcW w:w="13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r>
      <w:tr>
        <w:trPr>
          <w:trHeight w:val="478"/>
        </w:trPr>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1,603,015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1,378,347</w:t>
            </w:r>
          </w:p>
        </w:tc>
      </w:tr>
      <w:tr>
        <w:trPr>
          <w:trHeight w:val="243"/>
        </w:trPr>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773,181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613,038</w:t>
            </w:r>
          </w:p>
        </w:tc>
      </w:tr>
      <w:tr>
        <w:trPr>
          <w:trHeight w:val="243"/>
        </w:trPr>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1,511,028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1,354,825</w:t>
            </w:r>
          </w:p>
        </w:tc>
      </w:tr>
      <w:tr>
        <w:trPr>
          <w:trHeight w:val="243"/>
        </w:trPr>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603,792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437,797</w:t>
            </w:r>
          </w:p>
        </w:tc>
      </w:tr>
      <w:tr>
        <w:trPr>
          <w:trHeight w:val="239"/>
        </w:trPr>
        <w:tc>
          <w:tcPr>
            <w:tcW w:w="1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125,153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100,754</w:t>
            </w:r>
          </w:p>
        </w:tc>
      </w:tr>
      <w:tr>
        <w:trPr>
          <w:trHeight w:val="241"/>
        </w:trPr>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4,619,780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3,884,761</w:t>
            </w:r>
          </w:p>
        </w:tc>
      </w:tr>
      <w:tr>
        <w:trPr>
          <w:trHeight w:val="243"/>
        </w:trPr>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4,697,784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3,870,808</w:t>
            </w:r>
          </w:p>
        </w:tc>
      </w:tr>
      <w:tr>
        <w:trPr>
          <w:trHeight w:val="270"/>
        </w:trPr>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104,721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93,449</w:t>
            </w:r>
          </w:p>
        </w:tc>
      </w:tr>
      <w:tr>
        <w:trPr>
          <w:trHeight w:val="243"/>
        </w:trPr>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18,003</w:t>
            </w:r>
          </w:p>
        </w:tc>
      </w:tr>
      <w:tr>
        <w:trPr>
          <w:trHeight w:val="243"/>
        </w:trPr>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198,118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67,776</w:t>
            </w:r>
          </w:p>
        </w:tc>
      </w:tr>
      <w:tr>
        <w:trPr>
          <w:trHeight w:val="239"/>
        </w:trPr>
        <w:tc>
          <w:tcPr>
            <w:tcW w:w="1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403,898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201,512</w:t>
            </w:r>
          </w:p>
        </w:tc>
      </w:tr>
      <w:tr>
        <w:trPr>
          <w:trHeight w:val="241"/>
        </w:trPr>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10,042,224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8,136,309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-2350770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-2042160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-1733550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-1424940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-1116330</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-799465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-473710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-165100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17780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-127635</wp:posOffset>
            </wp:positionV>
            <wp:extent cx="29146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3340" w:space="720"/>
            <w:col w:w="7180"/>
          </w:cols>
          <w:pgMar w:left="320" w:top="364" w:right="339" w:bottom="1440" w:gutter="0" w:footer="0" w:header="0"/>
        </w:sectPr>
      </w:pPr>
    </w:p>
    <w:p>
      <w:pPr>
        <w:ind w:left="20"/>
        <w:spacing w:after="0"/>
        <w:rPr>
          <w:sz w:val="20"/>
          <w:szCs w:val="20"/>
          <w:color w:val="auto"/>
        </w:rPr>
      </w:pPr>
      <w:r>
        <w:rPr>
          <w:rFonts w:ascii="Arial" w:cs="Arial" w:eastAsia="Arial" w:hAnsi="Arial"/>
          <w:sz w:val="18"/>
          <w:szCs w:val="18"/>
          <w:color w:val="auto"/>
        </w:rPr>
        <w:t>Current liabilities: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640" w:type="dxa"/>
            <w:vAlign w:val="bottom"/>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149,502</w:t>
            </w:r>
          </w:p>
        </w:tc>
        <w:tc>
          <w:tcPr>
            <w:tcW w:w="100" w:type="dxa"/>
            <w:vAlign w:val="bottom"/>
          </w:tcPr>
          <w:p>
            <w:pPr>
              <w:spacing w:after="0"/>
              <w:rPr>
                <w:sz w:val="20"/>
                <w:szCs w:val="20"/>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162,430</w:t>
            </w:r>
          </w:p>
        </w:tc>
      </w:tr>
      <w:tr>
        <w:trPr>
          <w:trHeight w:val="243"/>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accounts payable</w:t>
            </w:r>
          </w:p>
        </w:tc>
        <w:tc>
          <w:tcPr>
            <w:tcW w:w="7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926,205</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912,766</w:t>
            </w:r>
          </w:p>
        </w:tc>
      </w:tr>
      <w:tr>
        <w:trPr>
          <w:trHeight w:val="243"/>
        </w:trPr>
        <w:tc>
          <w:tcPr>
            <w:tcW w:w="6640" w:type="dxa"/>
            <w:vAlign w:val="bottom"/>
          </w:tcPr>
          <w:p>
            <w:pPr>
              <w:ind w:left="220"/>
              <w:spacing w:after="0"/>
              <w:rPr>
                <w:sz w:val="20"/>
                <w:szCs w:val="20"/>
                <w:color w:val="auto"/>
              </w:rPr>
            </w:pPr>
            <w:r>
              <w:rPr>
                <w:rFonts w:ascii="Arial" w:cs="Arial" w:eastAsia="Arial" w:hAnsi="Arial"/>
                <w:sz w:val="18"/>
                <w:szCs w:val="18"/>
                <w:color w:val="auto"/>
              </w:rPr>
              <w:t>Capital expenditures payable</w:t>
            </w:r>
          </w:p>
        </w:tc>
        <w:tc>
          <w:tcPr>
            <w:tcW w:w="7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496,129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243,543</w:t>
            </w:r>
          </w:p>
        </w:tc>
      </w:tr>
      <w:tr>
        <w:trPr>
          <w:trHeight w:val="243"/>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operating lease liability</w:t>
            </w:r>
          </w:p>
        </w:tc>
        <w:tc>
          <w:tcPr>
            <w:tcW w:w="7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23,140</w:t>
            </w:r>
          </w:p>
        </w:tc>
      </w:tr>
      <w:tr>
        <w:trPr>
          <w:trHeight w:val="243"/>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Accrued expenses</w:t>
            </w:r>
          </w:p>
        </w:tc>
        <w:tc>
          <w:tcPr>
            <w:tcW w:w="7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535,401</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370,093</w:t>
            </w:r>
          </w:p>
        </w:tc>
      </w:tr>
      <w:tr>
        <w:trPr>
          <w:trHeight w:val="236"/>
        </w:trPr>
        <w:tc>
          <w:tcPr>
            <w:tcW w:w="6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2,128,516</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1,711,972</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7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2,317,733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1,282,816</w:t>
            </w:r>
          </w:p>
        </w:tc>
      </w:tr>
      <w:tr>
        <w:trPr>
          <w:trHeight w:val="24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severance obligations</w:t>
            </w:r>
          </w:p>
        </w:tc>
        <w:tc>
          <w:tcPr>
            <w:tcW w:w="7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73,931</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69,218</w:t>
            </w:r>
          </w:p>
        </w:tc>
      </w:tr>
      <w:tr>
        <w:trPr>
          <w:trHeight w:val="270"/>
        </w:trPr>
        <w:tc>
          <w:tcPr>
            <w:tcW w:w="664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7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62,221</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48,549</w:t>
            </w:r>
          </w:p>
        </w:tc>
      </w:tr>
      <w:tr>
        <w:trPr>
          <w:trHeight w:val="24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7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623,631</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517,467</w:t>
            </w:r>
          </w:p>
        </w:tc>
      </w:tr>
      <w:tr>
        <w:trPr>
          <w:trHeight w:val="236"/>
        </w:trPr>
        <w:tc>
          <w:tcPr>
            <w:tcW w:w="6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7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5,206,032</w:t>
            </w:r>
          </w:p>
        </w:tc>
        <w:tc>
          <w:tcPr>
            <w:tcW w:w="1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3,630,022</w:t>
            </w:r>
          </w:p>
        </w:tc>
      </w:tr>
      <w:tr>
        <w:trPr>
          <w:trHeight w:val="237"/>
        </w:trPr>
        <w:tc>
          <w:tcPr>
            <w:tcW w:w="66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43"/>
        </w:trPr>
        <w:tc>
          <w:tcPr>
            <w:tcW w:w="6640" w:type="dxa"/>
            <w:vAlign w:val="bottom"/>
          </w:tcPr>
          <w:p>
            <w:pPr>
              <w:ind w:left="140"/>
              <w:spacing w:after="0"/>
              <w:rPr>
                <w:sz w:val="20"/>
                <w:szCs w:val="20"/>
                <w:color w:val="auto"/>
              </w:rPr>
            </w:pPr>
            <w:r>
              <w:rPr>
                <w:rFonts w:ascii="Arial" w:cs="Arial" w:eastAsia="Arial" w:hAnsi="Arial"/>
                <w:sz w:val="18"/>
                <w:szCs w:val="18"/>
                <w:color w:val="auto"/>
              </w:rPr>
              <w:t>Stockholders’ equity:</w:t>
            </w:r>
          </w:p>
        </w:tc>
        <w:tc>
          <w:tcPr>
            <w:tcW w:w="7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43"/>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7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7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43"/>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7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2,036,526</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2,054,051</w:t>
            </w:r>
          </w:p>
        </w:tc>
      </w:tr>
      <w:tr>
        <w:trPr>
          <w:trHeight w:val="243"/>
        </w:trPr>
        <w:tc>
          <w:tcPr>
            <w:tcW w:w="66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7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3,012,625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2,627,038</w:t>
            </w:r>
          </w:p>
        </w:tc>
      </w:tr>
      <w:tr>
        <w:trPr>
          <w:trHeight w:val="243"/>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7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w:t>
            </w:r>
          </w:p>
        </w:tc>
      </w:tr>
      <w:tr>
        <w:trPr>
          <w:trHeight w:val="243"/>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stock</w:t>
            </w:r>
          </w:p>
        </w:tc>
        <w:tc>
          <w:tcPr>
            <w:tcW w:w="7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(265,648)</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(227,110)</w:t>
            </w:r>
          </w:p>
        </w:tc>
      </w:tr>
      <w:tr>
        <w:trPr>
          <w:trHeight w:val="237"/>
        </w:trPr>
        <w:tc>
          <w:tcPr>
            <w:tcW w:w="6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Amkor stockholders’ equity</w:t>
            </w:r>
          </w:p>
        </w:tc>
        <w:tc>
          <w:tcPr>
            <w:tcW w:w="7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4,799,666</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4,471,106</w:t>
            </w:r>
          </w:p>
        </w:tc>
      </w:tr>
      <w:tr>
        <w:trPr>
          <w:trHeight w:val="243"/>
        </w:trPr>
        <w:tc>
          <w:tcPr>
            <w:tcW w:w="6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 in subsidiaries</w:t>
            </w:r>
          </w:p>
        </w:tc>
        <w:tc>
          <w:tcPr>
            <w:tcW w:w="7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36,526</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35,181</w:t>
            </w:r>
          </w:p>
        </w:tc>
      </w:tr>
      <w:tr>
        <w:trPr>
          <w:trHeight w:val="236"/>
        </w:trPr>
        <w:tc>
          <w:tcPr>
            <w:tcW w:w="6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7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4,836,192</w:t>
            </w:r>
          </w:p>
        </w:tc>
        <w:tc>
          <w:tcPr>
            <w:tcW w:w="1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4,506,287</w:t>
            </w:r>
          </w:p>
        </w:tc>
      </w:tr>
      <w:tr>
        <w:trPr>
          <w:trHeight w:val="237"/>
        </w:trPr>
        <w:tc>
          <w:tcPr>
            <w:tcW w:w="6640" w:type="dxa"/>
            <w:vAlign w:val="bottom"/>
          </w:tcPr>
          <w:p>
            <w:pPr>
              <w:ind w:left="680"/>
              <w:spacing w:after="0"/>
              <w:rPr>
                <w:sz w:val="20"/>
                <w:szCs w:val="20"/>
                <w:color w:val="auto"/>
              </w:rPr>
            </w:pPr>
            <w:r>
              <w:rPr>
                <w:rFonts w:ascii="Arial" w:cs="Arial" w:eastAsia="Arial" w:hAnsi="Arial"/>
                <w:sz w:val="18"/>
                <w:szCs w:val="18"/>
                <w:color w:val="auto"/>
              </w:rPr>
              <w:t>Total liabilities and equity</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10,042,224</w:t>
            </w:r>
          </w:p>
        </w:tc>
        <w:tc>
          <w:tcPr>
            <w:tcW w:w="100" w:type="dxa"/>
            <w:vAlign w:val="bottom"/>
          </w:tcPr>
          <w:p>
            <w:pPr>
              <w:spacing w:after="0"/>
              <w:rPr>
                <w:sz w:val="20"/>
                <w:szCs w:val="20"/>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8,136,309</w:t>
            </w:r>
          </w:p>
        </w:tc>
      </w:tr>
      <w:tr>
        <w:trPr>
          <w:trHeight w:val="20"/>
        </w:trPr>
        <w:tc>
          <w:tcPr>
            <w:tcW w:w="6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64"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jc w:val="center"/>
        <w:ind w:left="7580"/>
        <w:spacing w:after="0"/>
        <w:rPr>
          <w:sz w:val="20"/>
          <w:szCs w:val="20"/>
          <w:color w:val="auto"/>
        </w:rPr>
      </w:pPr>
      <w:r>
        <w:rPr>
          <w:rFonts w:ascii="Arial" w:cs="Arial" w:eastAsia="Arial" w:hAnsi="Arial"/>
          <w:sz w:val="18"/>
          <w:szCs w:val="18"/>
          <w:b w:val="1"/>
          <w:bCs w:val="1"/>
          <w:color w:val="auto"/>
        </w:rPr>
        <w:t>For the Nine Months Ended September</w:t>
      </w:r>
    </w:p>
    <w:p>
      <w:pPr>
        <w:jc w:val="center"/>
        <w:ind w:left="7580"/>
        <w:spacing w:after="0"/>
        <w:rPr>
          <w:sz w:val="20"/>
          <w:szCs w:val="20"/>
          <w:color w:val="auto"/>
        </w:rPr>
      </w:pPr>
      <w:r>
        <w:rPr>
          <w:rFonts w:ascii="Arial" w:cs="Arial" w:eastAsia="Arial" w:hAnsi="Arial"/>
          <w:sz w:val="18"/>
          <w:szCs w:val="18"/>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4818380</wp:posOffset>
            </wp:positionH>
            <wp:positionV relativeFrom="paragraph">
              <wp:posOffset>14605</wp:posOffset>
            </wp:positionV>
            <wp:extent cx="2297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2025</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449,754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203,587</w:t>
            </w:r>
          </w:p>
        </w:tc>
      </w:tr>
      <w:tr>
        <w:trPr>
          <w:trHeight w:val="24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537,115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476,277</w:t>
            </w: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(38,560)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(79,964)</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(228,625)</w:t>
            </w:r>
          </w:p>
        </w:tc>
      </w:tr>
      <w:tr>
        <w:trPr>
          <w:trHeight w:val="237"/>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868,345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451,126</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(1,236,806)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(472,531)</w:t>
            </w:r>
          </w:p>
        </w:tc>
      </w:tr>
      <w:tr>
        <w:trPr>
          <w:trHeight w:val="24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Proceeds from foreign exchange forward contracts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51,947</w:t>
            </w:r>
          </w:p>
        </w:tc>
      </w:tr>
      <w:tr>
        <w:trPr>
          <w:trHeight w:val="24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foreign exchange forward contracts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(43,245)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(45,784)</w:t>
            </w: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Payments for short-term investments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(951,743)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(588,012)</w:t>
            </w:r>
          </w:p>
        </w:tc>
      </w:tr>
      <w:tr>
        <w:trPr>
          <w:trHeight w:val="24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short-term investments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250,404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140,961</w:t>
            </w: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Proceeds from maturities of short-term investments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540,639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350,819</w:t>
            </w:r>
          </w:p>
        </w:tc>
      </w:tr>
      <w:tr>
        <w:trPr>
          <w:trHeight w:val="24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investing activities</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37"/>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(1,344,185)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(554,517)</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Proceeds from long-term debt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1,150,000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4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(108,444)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(360,527)</w:t>
            </w: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Payments for debt issuance costs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(13,235)</w:t>
            </w:r>
          </w:p>
        </w:tc>
      </w:tr>
      <w:tr>
        <w:trPr>
          <w:trHeight w:val="24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capped call transactions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(56,350)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Payments of finance lease obligations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(35,611)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(44,246)</w:t>
            </w:r>
          </w:p>
        </w:tc>
      </w:tr>
      <w:tr>
        <w:trPr>
          <w:trHeight w:val="24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dividends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(61,299)</w:t>
            </w:r>
          </w:p>
        </w:tc>
      </w:tr>
      <w:tr>
        <w:trPr>
          <w:trHeight w:val="243"/>
        </w:trPr>
        <w:tc>
          <w:tcPr>
            <w:tcW w:w="7580" w:type="dxa"/>
            <w:vAlign w:val="bottom"/>
          </w:tcPr>
          <w:p>
            <w:pPr>
              <w:ind w:left="220"/>
              <w:spacing w:after="0"/>
              <w:rPr>
                <w:sz w:val="20"/>
                <w:szCs w:val="20"/>
                <w:color w:val="auto"/>
              </w:rPr>
            </w:pPr>
            <w:r>
              <w:rPr>
                <w:rFonts w:ascii="Arial" w:cs="Arial" w:eastAsia="Arial" w:hAnsi="Arial"/>
                <w:sz w:val="18"/>
                <w:szCs w:val="18"/>
                <w:color w:val="auto"/>
              </w:rPr>
              <w:t>Payments for repurchase of common stock</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(32,328)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financing activities</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36"/>
        </w:trPr>
        <w:tc>
          <w:tcPr>
            <w:tcW w:w="75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833,512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518,863</w:t>
            </w:r>
          </w:p>
        </w:tc>
      </w:tr>
      <w:tr>
        <w:trPr>
          <w:trHeight w:val="237"/>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6,630</w:t>
            </w:r>
          </w:p>
        </w:tc>
      </w:tr>
      <w:tr>
        <w:trPr>
          <w:trHeight w:val="237"/>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358,621</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422,102</w:t>
            </w:r>
          </w:p>
        </w:tc>
      </w:tr>
      <w:tr>
        <w:trPr>
          <w:trHeight w:val="23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1,446,123</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1,134,312</w:t>
            </w: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1,804,744</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1,556,414</w:t>
            </w: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40" w:top="364"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press release contains forward-looking statements within the meaning of the federal securities laws.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All forward-looking statements in this press release are made based on our</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current expectations, forecasts, estimates and assumptions. We assume no obligation to review or update any forward-looking statements to reflect events or circumstances occurring after the date of this press release, except as may be required by applicable law. Because such statements include risks and uncertainties, actual results may differ materially from those anticipated in such forward-looking statements as a result of various factors, including, but not limited to, the following:</w:t>
      </w:r>
    </w:p>
    <w:p>
      <w:pPr>
        <w:spacing w:after="0" w:line="352" w:lineRule="exact"/>
        <w:rPr>
          <w:sz w:val="20"/>
          <w:szCs w:val="20"/>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dependence on the cyclical and volatile semiconductor industry and vulnerability to industry downturns and declines in global economic and financial conditions;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changes in costs, quality, availability and delivery times of raw materials, components and equipment;</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fluctuations in operating results and cash flows;</w:t>
      </w:r>
    </w:p>
    <w:p>
      <w:pPr>
        <w:spacing w:after="0" w:line="125" w:lineRule="exact"/>
        <w:rPr>
          <w:rFonts w:ascii="Arial" w:cs="Arial" w:eastAsia="Arial" w:hAnsi="Arial"/>
          <w:sz w:val="22"/>
          <w:szCs w:val="22"/>
          <w:color w:val="auto"/>
        </w:rPr>
      </w:pPr>
    </w:p>
    <w:p>
      <w:pPr>
        <w:ind w:left="660" w:right="2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competition with established competitors in the packaging and test business, the internal capabilities of integrated device manufacturers and other competitors, including foundries and contract manufacturers;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substantial investments in equipment and facilities to support the demand of our customers;</w:t>
      </w:r>
    </w:p>
    <w:p>
      <w:pPr>
        <w:spacing w:after="0" w:line="125"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warranty claims, product return and liability risks, and the risk of negative publicity if our products fail, as well as the risk of litigation incident to our business;</w:t>
      </w:r>
    </w:p>
    <w:p>
      <w:pPr>
        <w:spacing w:after="0" w:line="126" w:lineRule="exact"/>
        <w:rPr>
          <w:rFonts w:ascii="Arial" w:cs="Arial" w:eastAsia="Arial" w:hAnsi="Arial"/>
          <w:sz w:val="22"/>
          <w:szCs w:val="22"/>
          <w:color w:val="auto"/>
        </w:rPr>
      </w:pPr>
    </w:p>
    <w:p>
      <w:pPr>
        <w:ind w:left="660" w:right="20" w:hanging="328"/>
        <w:spacing w:after="0" w:line="249"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difficulty achieving the relatively high-capacity utilization rates necessary to realize satisfactory gross margins given our high percentage of fixed costs;</w:t>
      </w:r>
    </w:p>
    <w:p>
      <w:pPr>
        <w:spacing w:after="0" w:line="10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absence of backlog and the short-term nature of our customers’ commitments;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historical downward pressure on the prices of our packaging and test services;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fluctuations in our manufacturing yields;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downturn or lower sales to customers in the automotive industry;</w:t>
      </w:r>
    </w:p>
    <w:p>
      <w:pPr>
        <w:spacing w:after="0" w:line="125"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dependence on key customers or concentration of customers in certain end markets, such as mobile communications and automotive;</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difficulty funding our liquidity needs;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challenges with integrating diverse operations;</w:t>
      </w:r>
    </w:p>
    <w:p>
      <w:pPr>
        <w:spacing w:after="0" w:line="125"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dependence on international factories and operations, and risks relating to trade restrictions and regional conflict, including restrictive trade barriers, export controls, tariffs, customs and duties;</w:t>
      </w:r>
    </w:p>
    <w:p>
      <w:pPr>
        <w:spacing w:after="0" w:line="126"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126"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continuing development and implementation of changes to, and maintenance and security of, our information technology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5" w:right="339" w:bottom="1440" w:gutter="0" w:footer="0" w:header="0"/>
        </w:sectPr>
      </w:pPr>
    </w:p>
    <w:bookmarkStart w:id="11" w:name="page12"/>
    <w:bookmarkEnd w:id="11"/>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restrictive covenants in the indentures and agreements governing our current and future indebtedness;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substantial indebtedness;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effect of interest rate increases on our variable rate indebtedness;</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fluctuations in interest rates and changes in credit risk;</w:t>
      </w:r>
    </w:p>
    <w:p>
      <w:pPr>
        <w:spacing w:after="0" w:line="85" w:lineRule="exact"/>
        <w:rPr>
          <w:rFonts w:ascii="Arial" w:cs="Arial" w:eastAsia="Arial" w:hAnsi="Arial"/>
          <w:sz w:val="22"/>
          <w:szCs w:val="22"/>
          <w:color w:val="auto"/>
        </w:rPr>
      </w:pPr>
    </w:p>
    <w:p>
      <w:pPr>
        <w:ind w:left="66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terms of our convertible notes could delay or prevent an otherwise beneficial takeover of us, may dilute the ownership interest of existing stockholders or may otherwise adversely affect the price of our common stock;</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capped call transactions entered into in connection with the issuance of our convertible notes subject us to counterparty risk;</w:t>
      </w:r>
    </w:p>
    <w:p>
      <w:pPr>
        <w:spacing w:after="0" w:line="157" w:lineRule="exact"/>
        <w:rPr>
          <w:rFonts w:ascii="Arial" w:cs="Arial" w:eastAsia="Arial" w:hAnsi="Arial"/>
          <w:sz w:val="18"/>
          <w:szCs w:val="18"/>
          <w:color w:val="auto"/>
        </w:rPr>
      </w:pPr>
    </w:p>
    <w:p>
      <w:pPr>
        <w:ind w:left="660" w:hanging="328"/>
        <w:spacing w:after="0" w:line="237"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ability of certain of our stockholders to effectively determine or substantially influence the outcome of matters requiring stockholder approval;</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the possibility that we may decrease or suspend our quarterly dividend;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difficulty attracting, retaining or replacing qualified personnel;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maintaining an effective system of internal controls;</w:t>
      </w:r>
    </w:p>
    <w:p>
      <w:pPr>
        <w:spacing w:after="0" w:line="139"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environmental, health and safety liabilities and expenditures;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conditions and obligations in connection with the receipt of government awards and incentives;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natural disasters and other calamities, health conditions or pandemics, political instability, hostilities or other disruptions.</w:t>
      </w: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important risk factors that could affect the outcome of the events set forth in these statements and that could affect our operating results and financial condition are discussed in the company’s Annual Report on Form 10-K for the year ended December 31, 2025 (the “Form 10-K”) and from time to time in our other reports filed with or furnished to the Securities and Exchange Commission (“SEC”). You should carefully consider the trends, risks and uncertainties described in this press release, the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press release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3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2026-10-26T15:10:00Z</dcterms:created>
  <dcterms:modified xsi:type="dcterms:W3CDTF">2026-10-26T15:10:00Z</dcterms:modified>
</cp:coreProperties>
</file>