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8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2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spacing w:after="0"/>
              <w:rPr>
                <w:sz w:val="19"/>
                <w:szCs w:val="19"/>
                <w:color w:val="auto"/>
              </w:rPr>
            </w:pPr>
          </w:p>
        </w:tc>
        <w:tc>
          <w:tcPr>
            <w:tcW w:w="4460" w:type="dxa"/>
            <w:vAlign w:val="bottom"/>
          </w:tcPr>
          <w:p>
            <w:pPr>
              <w:jc w:val="right"/>
              <w:ind w:right="1735"/>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90"/>
        </w:trPr>
        <w:tc>
          <w:tcPr>
            <w:tcW w:w="4020" w:type="dxa"/>
            <w:vAlign w:val="bottom"/>
          </w:tcPr>
          <w:p>
            <w:pPr>
              <w:jc w:val="center"/>
              <w:ind w:left="27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76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98"/>
        </w:trPr>
        <w:tc>
          <w:tcPr>
            <w:tcW w:w="4020" w:type="dxa"/>
            <w:vAlign w:val="bottom"/>
          </w:tcPr>
          <w:p>
            <w:pPr>
              <w:spacing w:after="0"/>
              <w:rPr>
                <w:sz w:val="24"/>
                <w:szCs w:val="24"/>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4020" w:type="dxa"/>
            <w:vAlign w:val="bottom"/>
          </w:tcPr>
          <w:p>
            <w:pPr>
              <w:spacing w:after="0"/>
              <w:rPr>
                <w:sz w:val="18"/>
                <w:szCs w:val="18"/>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4020" w:type="dxa"/>
            <w:vAlign w:val="bottom"/>
          </w:tcPr>
          <w:p>
            <w:pPr>
              <w:spacing w:after="0"/>
              <w:rPr>
                <w:sz w:val="16"/>
                <w:szCs w:val="16"/>
                <w:color w:val="auto"/>
              </w:rPr>
            </w:pPr>
          </w:p>
        </w:tc>
        <w:tc>
          <w:tcPr>
            <w:tcW w:w="7220" w:type="dxa"/>
            <w:vAlign w:val="bottom"/>
            <w:gridSpan w:val="2"/>
          </w:tcPr>
          <w:p>
            <w:pPr>
              <w:jc w:val="center"/>
              <w:ind w:right="393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4020" w:type="dxa"/>
            <w:vAlign w:val="bottom"/>
          </w:tcPr>
          <w:p>
            <w:pPr>
              <w:spacing w:after="0"/>
              <w:rPr>
                <w:sz w:val="24"/>
                <w:szCs w:val="24"/>
                <w:color w:val="auto"/>
              </w:rPr>
            </w:pPr>
          </w:p>
        </w:tc>
        <w:tc>
          <w:tcPr>
            <w:tcW w:w="2760" w:type="dxa"/>
            <w:vAlign w:val="bottom"/>
          </w:tcPr>
          <w:p>
            <w:pPr>
              <w:jc w:val="center"/>
              <w:ind w:left="355"/>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7220" w:type="dxa"/>
            <w:vAlign w:val="bottom"/>
            <w:gridSpan w:val="2"/>
          </w:tcPr>
          <w:p>
            <w:pPr>
              <w:jc w:val="center"/>
              <w:ind w:right="391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4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7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2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5"/>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95"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98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July 22, 2025 was 247,143,055.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74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and Six Months Ended June 30,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 Three and Six Months Ended June 30, 2025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June 30, 2025 and December 31,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 Three and Six Months Ended June 30, 2025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Six Months Ended June 30,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527"/>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2025, (2) our ability to fund our operating activities and financial requirements for the next twelve months, (3) the effect of changes in revenue levels and capacity utilization on our gross margin, (4) the impact of health conditions or pandemics on our operations, financial results and supply chain, (5) the focus of our research and development activities,</w:t>
      </w:r>
    </w:p>
    <w:p>
      <w:pPr>
        <w:spacing w:after="0" w:line="3" w:lineRule="exact"/>
        <w:rPr>
          <w:sz w:val="20"/>
          <w:szCs w:val="20"/>
          <w:color w:val="auto"/>
        </w:rPr>
      </w:pPr>
    </w:p>
    <w:p>
      <w:pPr>
        <w:jc w:val="both"/>
        <w:ind w:firstLine="8"/>
        <w:spacing w:after="0" w:line="251" w:lineRule="auto"/>
        <w:tabs>
          <w:tab w:leader="none" w:pos="2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and our technology leadership and potential growth in our end markets, (18) projects to install or integrate new information technology systems or upgrade our existing systems, (19) our expected revenue recognition, (20) the anticipated benefits from our new manufacturing facility in Bac Ninh, Vietnam (the “Vietnam Facility”), (21) the anticipated schedule for construction of our new facility in Arizona, United States (the “Arizona Facility”), (22) the receipt of government awards and incentives and the conditions and obligations thereto, (23) the effects of business, economic, political, legal and regulatory impacts, conflicts or natural disasters on our global operations, (24) the impact of interest rate changes on our investment portfolio and (25) other</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2024 (the “2024 Form 10-K”) and from time to time in our other reports filed with or furnished to the Securities and Exchange Commission (“SEC”). You should carefully consider the trends, risks and uncertainties described in this Form 10-Q, the 2024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720" w:type="dxa"/>
            <w:vAlign w:val="bottom"/>
            <w:gridSpan w:val="8"/>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24"/>
                <w:szCs w:val="24"/>
                <w:color w:val="auto"/>
              </w:rPr>
            </w:pPr>
          </w:p>
        </w:tc>
        <w:tc>
          <w:tcPr>
            <w:tcW w:w="248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1,461,474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2,832,967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2,826,985</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2,493,487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2,412,967</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414,018</w:t>
            </w: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181,626</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77,739</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259,365</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154,653</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32,244</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153,552</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26,508</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127,044</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125,794</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246,118</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247,790</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127,044</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5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net unrealized gains (losses) on available-for-sale debt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r>
      <w:tr>
        <w:trPr>
          <w:trHeight w:val="223"/>
        </w:trPr>
        <w:tc>
          <w:tcPr>
            <w:tcW w:w="5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114,908</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1,527,384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1,133,553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$515,788 and $513,494 in 2025 and 2024, respectively)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512,984</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1,125,586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1,055,013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79,994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61,012</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3,073,472</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3,802,045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3,576,148</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17,947</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166,272</w:t>
            </w:r>
          </w:p>
        </w:tc>
        <w:tc>
          <w:tcPr>
            <w:tcW w:w="0" w:type="dxa"/>
            <w:vAlign w:val="bottom"/>
          </w:tcPr>
          <w:p>
            <w:pPr>
              <w:spacing w:after="0"/>
              <w:rPr>
                <w:sz w:val="1"/>
                <w:szCs w:val="1"/>
                <w:color w:val="auto"/>
              </w:rPr>
            </w:pPr>
          </w:p>
        </w:tc>
      </w:tr>
      <w:tr>
        <w:trPr>
          <w:trHeight w:val="227"/>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7,705,626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6,944,328</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236,029</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712,887</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123,195</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26,827</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344,100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356,337</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1,455,275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1,198,190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923,431</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70,594</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57,983</w:t>
            </w:r>
          </w:p>
        </w:tc>
        <w:tc>
          <w:tcPr>
            <w:tcW w:w="0" w:type="dxa"/>
            <w:vAlign w:val="bottom"/>
          </w:tcPr>
          <w:p>
            <w:pPr>
              <w:spacing w:after="0"/>
              <w:rPr>
                <w:sz w:val="1"/>
                <w:szCs w:val="1"/>
                <w:color w:val="auto"/>
              </w:rPr>
            </w:pPr>
          </w:p>
        </w:tc>
      </w:tr>
      <w:tr>
        <w:trPr>
          <w:trHeight w:val="22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226,165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253,880</w:t>
            </w:r>
          </w:p>
        </w:tc>
        <w:tc>
          <w:tcPr>
            <w:tcW w:w="0" w:type="dxa"/>
            <w:vAlign w:val="bottom"/>
          </w:tcPr>
          <w:p>
            <w:pPr>
              <w:spacing w:after="0"/>
              <w:rPr>
                <w:sz w:val="1"/>
                <w:szCs w:val="1"/>
                <w:color w:val="auto"/>
              </w:rPr>
            </w:pPr>
          </w:p>
        </w:tc>
      </w:tr>
      <w:tr>
        <w:trPr>
          <w:trHeight w:val="227"/>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3,473,552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2,761,163</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Common stock, $0.001 par value, 500,000 shares authorized; 293,577 and 293,052 shares issued; and</w:t>
            </w:r>
          </w:p>
        </w:tc>
        <w:tc>
          <w:tcPr>
            <w:tcW w:w="2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247,142 and 246,684 shares outstanding in 2025 and 2024, respectively</w:t>
            </w:r>
          </w:p>
        </w:tc>
        <w:tc>
          <w:tcPr>
            <w:tcW w:w="2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2,031,643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2,369,797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2,335,132</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46,435 and 46,368 shares in 2025 and 2024, respectively</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(226,514)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(225,033)</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4,149,545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33,620</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4,232,074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4,183,165</w:t>
            </w:r>
          </w:p>
        </w:tc>
        <w:tc>
          <w:tcPr>
            <w:tcW w:w="0" w:type="dxa"/>
            <w:vAlign w:val="bottom"/>
          </w:tcPr>
          <w:p>
            <w:pPr>
              <w:spacing w:after="0"/>
              <w:rPr>
                <w:sz w:val="1"/>
                <w:szCs w:val="1"/>
                <w:color w:val="auto"/>
              </w:rPr>
            </w:pPr>
          </w:p>
        </w:tc>
      </w:tr>
      <w:tr>
        <w:trPr>
          <w:trHeight w:val="252"/>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7,705,626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6,944,328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2,036,608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2,335,830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4,156,410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4,190,590</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55,052</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($0.08269 per common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(20,450)</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293,577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2,041,548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2,369,797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4,197,424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4,232,074</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293,052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2,031,643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2,335,132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4,149,545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4,183,165</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76,905</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w:t>
            </w: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9,004</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($0.16538 per common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(40,880)</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293,577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2,041,548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2,369,797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4,197,424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4,232,074</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00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2,014,782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2,199,300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3,997,127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4,030,608</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67,258</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($0.07875 per common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(19,402)</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292,642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2,022,512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2,246,795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4,049,657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33,677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4,083,334</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292,167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2,008,170</w:t>
            </w:r>
          </w:p>
        </w:tc>
        <w:tc>
          <w:tcPr>
            <w:tcW w:w="1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127,044</w:t>
            </w: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(12,136)</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9"/>
              </w:rPr>
              <w:t>through surrender of shares</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($0.1575 per common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(38,830)</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292,642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2,022,512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2,246,795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4,049,657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33,677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4,083,334</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127,044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294,874</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(52,816)</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387,068</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(262,543)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(279,526)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(275,059)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(116,921)</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(138,477)</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1,134,312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1,120,617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255,244</w:t>
            </w:r>
          </w:p>
        </w:tc>
        <w:tc>
          <w:tcPr>
            <w:tcW w:w="0" w:type="dxa"/>
            <w:vAlign w:val="bottom"/>
          </w:tcPr>
          <w:p>
            <w:pPr>
              <w:spacing w:after="0"/>
              <w:rPr>
                <w:sz w:val="1"/>
                <w:szCs w:val="1"/>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68,195</w:t>
            </w:r>
          </w:p>
        </w:tc>
        <w:tc>
          <w:tcPr>
            <w:tcW w:w="0" w:type="dxa"/>
            <w:vAlign w:val="bottom"/>
          </w:tcPr>
          <w:p>
            <w:pPr>
              <w:spacing w:after="0"/>
              <w:rPr>
                <w:sz w:val="1"/>
                <w:szCs w:val="1"/>
                <w:color w:val="auto"/>
              </w:rPr>
            </w:pPr>
          </w:p>
        </w:tc>
      </w:tr>
      <w:tr>
        <w:trPr>
          <w:trHeight w:val="234"/>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Grants and incentive receivables for qualified capital expenditures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June 30, 2025, and for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contained in this Form 10-Q (the “Consolidated Financial Statements”) are unaudited pursuant to the rules and regulations of the SEC. The December 31, 2024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2024 Form 10-K. The results of operations for the three and six months ended June 30, 2025 are not necessarily indicative of the results to be expected for the full year ending December 31, 2025.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Total long-term finance lease liabilities as of June 30, 2025 and December 31, 2024 were $112.4 million and $122.7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June 30, 2025 and December 31, 2024 were $262.1 million and $210.1 million, respectively.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$82.9 million and $95.6 million as of June 30, 2025 and December 31, 2024, respectively. As of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December 31, 2024, the short-term portions of the liabilities were $55.0 million and $59.7 million, respectively. Of the remaining June 30, 2025 contract liability balance, $23.9 million is expected to be recognized in revenue over the next 1-5 years, and $4.0 million thereafter. Revenue recognized during the six months ended June 30, 2025 and 2024 that was included in the contract liabilities balance at the beginning of the period was $36.6 million and $37.0 million, respectively.</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 Accounting. </w:t>
      </w:r>
      <w:r>
        <w:rPr>
          <w:rFonts w:ascii="Times New Roman" w:cs="Times New Roman" w:eastAsia="Times New Roman" w:hAnsi="Times New Roman"/>
          <w:sz w:val="18"/>
          <w:szCs w:val="18"/>
          <w:color w:val="auto"/>
        </w:rPr>
        <w:t>From time to time, we may receive grants from governmental agencies. We recognize grants in our financial statements when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assurance that we will comply with conditions attached to the grants and the grants will be received. Investment tax credits and grants receivable recorded reduce the carrying amounts of the qualifying property, plant and equipment in our Consolidated Balance Sheets. The following table presents investment tax credits and grants receivable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3"/>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credits recorded in:</w:t>
            </w: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1,403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 receivable recorded in:</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3,299</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Standards. </w:t>
      </w: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The new standard will result in enhanced disclosures in our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was subsequently amended and clarified. ASU 2024-03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and we expect the new standard to result in enhanced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Business Segments, Product Groups and End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profit or loss and significant segment expenses for our single operating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1,511,392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1,461,474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2,832,967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2,826,985</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Materials cost of sales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1,498,262</w:t>
            </w: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 cost of sales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304,932</w:t>
            </w: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cost of sales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261,668</w:t>
            </w: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cost of sales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348,105</w:t>
            </w: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181,626</w:t>
            </w: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77,739</w:t>
            </w: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32,244</w:t>
            </w: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26,508</w:t>
            </w:r>
          </w:p>
        </w:tc>
      </w:tr>
      <w:tr>
        <w:trPr>
          <w:trHeight w:val="229"/>
        </w:trPr>
        <w:tc>
          <w:tcPr>
            <w:tcW w:w="5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127,044</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Other segment items include interest income, foreign currency (gain) loss, net and other (income)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represent other balances included in net income or that are regularly provided to the Chief Operating Decision Maker (CODM):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312,663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294,874</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262,543</w:t>
            </w:r>
          </w:p>
        </w:tc>
      </w:tr>
      <w:tr>
        <w:trPr>
          <w:trHeight w:val="449"/>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24"/>
                <w:szCs w:val="24"/>
                <w:color w:val="auto"/>
              </w:rPr>
            </w:pPr>
          </w:p>
        </w:tc>
        <w:tc>
          <w:tcPr>
            <w:tcW w:w="182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7,705,626</w:t>
            </w:r>
          </w:p>
        </w:tc>
        <w:tc>
          <w:tcPr>
            <w:tcW w:w="4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6,944,328</w:t>
            </w:r>
          </w:p>
        </w:tc>
      </w:tr>
      <w:tr>
        <w:trPr>
          <w:trHeight w:val="47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8"/>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1,228,678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2,292,295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2,249,552</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540,672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577,433</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2,826,985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Mainstream products include all other wirebond packaging and related test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p>
    <w:p>
      <w:pPr>
        <w:spacing w:after="0" w:line="43" w:lineRule="exact"/>
        <w:rPr>
          <w:sz w:val="20"/>
          <w:szCs w:val="20"/>
          <w:color w:val="auto"/>
        </w:rPr>
      </w:pPr>
    </w:p>
    <w:tbl>
      <w:tblPr>
        <w:tblLayout w:type="fixed"/>
        <w:tblInd w:w="5520" w:type="dxa"/>
        <w:tblCellMar>
          <w:top w:w="0" w:type="dxa"/>
          <w:left w:w="0" w:type="dxa"/>
          <w:bottom w:w="0" w:type="dxa"/>
          <w:right w:w="0" w:type="dxa"/>
        </w:tblCellMar>
      </w:tblPr>
      <w:tr>
        <w:trPr>
          <w:trHeight w:val="190"/>
        </w:trPr>
        <w:tc>
          <w:tcPr>
            <w:tcW w:w="2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p>
      <w:pPr>
        <w:spacing w:after="0" w:line="23" w:lineRule="exact"/>
        <w:rPr>
          <w:sz w:val="20"/>
          <w:szCs w:val="20"/>
          <w:color w:val="auto"/>
        </w:rPr>
      </w:pPr>
    </w:p>
    <w:p>
      <w:pPr>
        <w:ind w:left="260" w:right="220" w:hanging="242"/>
        <w:spacing w:after="0" w:line="234" w:lineRule="auto"/>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p>
      <w:pPr>
        <w:spacing w:after="0" w:line="10" w:lineRule="exact"/>
        <w:rPr>
          <w:sz w:val="20"/>
          <w:szCs w:val="20"/>
          <w:color w:val="auto"/>
        </w:rPr>
      </w:pPr>
    </w:p>
    <w:p>
      <w:pPr>
        <w:ind w:left="20"/>
        <w:spacing w:after="0" w:line="344" w:lineRule="auto"/>
        <w:rPr>
          <w:sz w:val="20"/>
          <w:szCs w:val="20"/>
          <w:color w:val="auto"/>
        </w:rPr>
      </w:pPr>
      <w:r>
        <w:rPr>
          <w:rFonts w:ascii="Times New Roman" w:cs="Times New Roman" w:eastAsia="Times New Roman" w:hAnsi="Times New Roman"/>
          <w:sz w:val="18"/>
          <w:szCs w:val="18"/>
          <w:color w:val="auto"/>
        </w:rPr>
        <w:t>Consumer (AR &amp; gaming, connected home, home electronics, wearables) Total net sales</w:t>
      </w: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Other Income and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4"/>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414"/>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4"/>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-599440</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-187960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2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13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3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p>
      <w:pPr>
        <w:sectPr>
          <w:pgSz w:w="11900" w:h="16838" w:orient="portrait"/>
          <w:cols w:equalWidth="0" w:num="2">
            <w:col w:w="5340" w:space="180"/>
            <w:col w:w="57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w:t>
            </w: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$32.1 million for the six months ended June 30, 2025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were $34.3 million and $36.3 million as of June 30, 2025 and December 31, 2024, respectively. As of June 30, 2025, $30.4 million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2013-2024. The open years contain matters that could be subject to differing interpretations of applicable tax laws and regulations related to the amount and/or timing of income, deductions and tax credits. There can be no assurance that the outcome 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examinations will be favorable. In certain circumstances where we elect to appeal the results of an examination, we may be required to make tax assessment payments to proceed with the administrative appeal process. Current examinations include 2017-2021 Malaysia income tax returns, 2021 and 2023 Philippine income tax returns, 2022-2024 Japan income tax returns and 2020-2021 California income tax returns.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The OBBBA includes significant provisions, including modifications to the international tax framework and restoration of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3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(“PSUs”) and time-vested restricted stock units (“RSUs”).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7"/>
        </w:trPr>
        <w:tc>
          <w:tcPr>
            <w:tcW w:w="5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5"/>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5"/>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246,118</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247,806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247,860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247,790</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67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40" w:type="dxa"/>
            <w:vAlign w:val="bottom"/>
            <w:gridSpan w:val="3"/>
          </w:tcPr>
          <w:p>
            <w:pPr>
              <w:jc w:val="right"/>
              <w:ind w:right="10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r>
      <w:tr>
        <w:trPr>
          <w:trHeight w:val="236"/>
        </w:trPr>
        <w:tc>
          <w:tcPr>
            <w:tcW w:w="6700" w:type="dxa"/>
            <w:vAlign w:val="bottom"/>
            <w:gridSpan w:val="2"/>
            <w:shd w:val="clear" w:color="auto" w:fill="CCEEFF"/>
          </w:tcPr>
          <w:p>
            <w:pPr>
              <w:jc w:val="right"/>
              <w:ind w:right="5168"/>
              <w:spacing w:after="0"/>
              <w:rPr>
                <w:sz w:val="20"/>
                <w:szCs w:val="20"/>
                <w:color w:val="auto"/>
              </w:rPr>
            </w:pPr>
            <w:r>
              <w:rPr>
                <w:rFonts w:ascii="Times New Roman" w:cs="Times New Roman" w:eastAsia="Times New Roman" w:hAnsi="Times New Roman"/>
                <w:sz w:val="18"/>
                <w:szCs w:val="18"/>
                <w:color w:val="auto"/>
              </w:rPr>
              <w:t>Share-based awards</w:t>
            </w:r>
          </w:p>
        </w:tc>
        <w:tc>
          <w:tcPr>
            <w:tcW w:w="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984</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378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(2,575)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at June 30, 2025</w:t>
            </w: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8"/>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w w:val="96"/>
              </w:rPr>
              <w:t>212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15,905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center"/>
              <w:ind w:left="837"/>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at June 30, 2024</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15,735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20" w:hanging="38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94"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April 2024, foreign currency translation includes the gain (loss) from net investment hedges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June 30, 2025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676,192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60,149</w:t>
            </w:r>
          </w:p>
        </w:tc>
        <w:tc>
          <w:tcPr>
            <w:tcW w:w="0" w:type="dxa"/>
            <w:vAlign w:val="bottom"/>
          </w:tcPr>
          <w:p>
            <w:pPr>
              <w:spacing w:after="0"/>
              <w:rPr>
                <w:sz w:val="1"/>
                <w:szCs w:val="1"/>
                <w:color w:val="auto"/>
              </w:rPr>
            </w:pPr>
          </w:p>
        </w:tc>
      </w:tr>
      <w:tr>
        <w:trPr>
          <w:trHeight w:val="229"/>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w:t>
            </w: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260,067</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366,221</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448,505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3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146,679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216,998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110,454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508,556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0" w:type="dxa"/>
            <w:vAlign w:val="bottom"/>
          </w:tcPr>
          <w:p>
            <w:pPr>
              <w:spacing w:after="0"/>
              <w:rPr>
                <w:sz w:val="1"/>
                <w:szCs w:val="1"/>
                <w:color w:val="auto"/>
              </w:rPr>
            </w:pPr>
          </w:p>
        </w:tc>
      </w:tr>
      <w:tr>
        <w:trPr>
          <w:trHeight w:val="223"/>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725,554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436,846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months ended June 30, 2025 and 2024, we sold cash equivalent investments for proceeds of $7.5 million and $16.6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June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954,047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and mortgage-backed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64,779</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1,188,592</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amortized cost and the fair market value of our held-to-maturity government bonds (Level 1) maturing within a year were $4.0 million. As of December 31, 2024, the amortized cost and the fair market value of our held-to-maturity government bonds (Level 1) maturing within a year were $4.4 million.</w:t>
      </w: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six months ended June 30, 2025, we sold receivables totaling $16.1 million and $25.5 million, respectively, net of discounts and fees, which were insignificant for the respective periods. For the three and six months ended June 30, 2024, we sold receivables totaling $11.7 million and $36.1 million, respectively, net of discounts and fees, which were insignificant for the respective periods.</w:t>
      </w: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248,737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246,953</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2,264,474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2,239,481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7,784,999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7,389,787</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246,743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222,377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215,031</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265,521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185,351</w:t>
            </w:r>
          </w:p>
        </w:tc>
        <w:tc>
          <w:tcPr>
            <w:tcW w:w="0" w:type="dxa"/>
            <w:vAlign w:val="bottom"/>
          </w:tcPr>
          <w:p>
            <w:pPr>
              <w:spacing w:after="0"/>
              <w:rPr>
                <w:sz w:val="1"/>
                <w:szCs w:val="1"/>
                <w:color w:val="auto"/>
              </w:rPr>
            </w:pP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11,051,988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10,569,557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(7,249,943)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(6,993,409)</w:t>
            </w:r>
          </w:p>
        </w:tc>
        <w:tc>
          <w:tcPr>
            <w:tcW w:w="0" w:type="dxa"/>
            <w:vAlign w:val="bottom"/>
          </w:tcPr>
          <w:p>
            <w:pPr>
              <w:spacing w:after="0"/>
              <w:rPr>
                <w:sz w:val="1"/>
                <w:szCs w:val="1"/>
                <w:color w:val="auto"/>
              </w:rPr>
            </w:pP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3,802,045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3,576,148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158,720</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312,418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pension and severance plan obligations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59,740</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356,337</w:t>
            </w: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and long-term debt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 (1)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 Revolving Credit Facility, applicable bank rate plus 1.75%, due May 2030 (2)</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A Loans, applicable bank rate plus 1.75%, 6.05% as of June 30, 2025, due May 2030 (3)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3.95%, due May 2027 (4)</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(5)</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89,059</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2.05%, due December 2029</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108,779</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SOFR plus 0.75%, due June 2025</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5.04% as of June 30, 2025, due 2025 (6)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w:t>
            </w:r>
          </w:p>
        </w:tc>
      </w:tr>
      <w:tr>
        <w:trPr>
          <w:trHeight w:val="175"/>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Term loans, SOFR plus 0.95%, weighted average of 5.25% as of June 30, 2025, due December</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2026 (6)</w:t>
            </w: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3"/>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1,164,462</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(236,029)</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923,431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issued a redemption notice for $125.0 million of the outstanding $525.0 million of our 6.625% Senior Notes due September 2027 (the “Senior Notes”). The Senior Notes will be redeemed on July 30, 2025. In accordance with the terms of the indenture governing the Senior Notes, the redemption price was 100% of the principal amount of the Senior Notes plus accrued and unpaid interest. The redemption of the Senior Notes was funded with proceeds from the new $500.0 million Term A Loans described below.</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entered into a $1.0 billion senior secured revolving credit facility (the “2025 Revolving Credit Facility”) that replaced an existing revolving credit facility guaranteed by Amkor Technology Singapore Holding Pte. Ltd. (“ATSH”) and Guardian Assets, Inc. (“Guardian”). The maximum borrowing capacity under the 2025 Revolving Credit Facility is $1.0 billion. The 2025 Revolving Credit Facility includes an uncommitted optional accordion of up to $200.0 million, which may be incurred in the form of revolving commitment increases or term loans. As of June 30, 2025, $1.0 billion was available for future borrowings under the 2025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line="25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2025, we amended the 2025 Revolving Credit Facility and created a new tranche of term loans (the “Term A Loans”), which are secured and guaranteed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revolver loans under the existing agreement. The Term A Loans have an aggregate principal amount of $500.0 million and will mature in May 2030. The payments are subject to 2.5% amortization of the original principal amount per year in 2026 and 2027, and 5% thereafter, payable quarterly, with the remaining balance due at maturity. The proceeds will be used for the partial redemption of the Senior Notes, prepayment of outstanding term loans under Amkor Assembly &amp; Test (Shanghai) Co., Ltd. (“AATS”) and general corporate purposes.</w:t>
      </w:r>
    </w:p>
    <w:p>
      <w:pPr>
        <w:spacing w:after="0" w:line="92" w:lineRule="exact"/>
        <w:rPr>
          <w:rFonts w:ascii="Times New Roman" w:cs="Times New Roman" w:eastAsia="Times New Roman" w:hAnsi="Times New Roman"/>
          <w:sz w:val="18"/>
          <w:szCs w:val="18"/>
          <w:color w:val="auto"/>
        </w:rPr>
      </w:pPr>
    </w:p>
    <w:p>
      <w:pPr>
        <w:jc w:val="both"/>
        <w:ind w:left="660" w:hanging="328"/>
        <w:spacing w:after="0" w:line="28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term loan agreement with the option to borrow and re-borrow the funds up to six times per year through April 2024 at a fixed rate of 1.85%. In May 2024, we replaced this loan by entering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(approximately $59 million) term loan agreement with the option to borrow and re-borrow the funds up to six times per year through May 2027. Principal is payable at maturity, and interest is payable monthly at a fixed rate of 3.95%. As of June 30, 2025,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$59 million, was available to be drawn.</w:t>
      </w:r>
    </w:p>
    <w:p>
      <w:pPr>
        <w:spacing w:after="0" w:line="7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As of June 30, 2025, $3.5 million was available to be drawn.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issued a prepayment notice for the remaining $98.0 million of outstanding term loans under AATS (the “AATS Loans”). We repaid the AATS Loans in July 2025 with proceeds from the new Term A Loans described above.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debt is collateralized by the land, buildings, equipment and capital stock of subsidiaries. As of June 30, 2025, the collateralized debt balance was $1,054.3 million, of which $765.9 million of assets and subsidiary capital stock were pledged as collateral.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ATSH and Guardian guarantee certain debt of our subsidiaries. The agreements governing our indebtedness contain affirmative and negative covenants, including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Curtailment gain</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8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pension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7,322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16,627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hedge certain net investment positions in foreign subsidiaries. To accomplish this, we enter into foreign currency forward contracts, generally settled monthly, that are designated as hedges of net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500" w:type="dxa"/>
            <w:vAlign w:val="bottom"/>
          </w:tcPr>
          <w:p>
            <w:pPr>
              <w:jc w:val="center"/>
              <w:ind w:left="37"/>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not designated as hedging instruments</w:t>
            </w:r>
          </w:p>
        </w:tc>
        <w:tc>
          <w:tcPr>
            <w:tcW w:w="10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228,764</w:t>
            </w:r>
          </w:p>
        </w:tc>
        <w:tc>
          <w:tcPr>
            <w:tcW w:w="12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254,783</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not</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designated as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397,816</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383,078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500" w:type="dxa"/>
            <w:vAlign w:val="bottom"/>
            <w:tcBorders>
              <w:top w:val="single" w:sz="8" w:color="auto"/>
            </w:tcBorders>
          </w:tcPr>
          <w:p>
            <w:pPr>
              <w:jc w:val="center"/>
              <w:ind w:left="37"/>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tcBorders>
              <w:top w:val="single" w:sz="8" w:color="auto"/>
            </w:tcBorders>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98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designated as net investment hedging instruments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designated</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as net investment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133,740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we incurred a net loss of $3.7 million and $6.6 million, respectively, due to the impact of derivatives not designated as hedging instruments, which includes the forward costs, and the related hedged items. For the three and six months ended June 30, 2024, the derivatives not designated as hedging instruments resulted in a net loss of $19.1 million and $46.6 million, respectively, which were nearly offset by the foreign currency gains associated with the underlying net liabilities.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2025, a gain of $1.3 million and $2.7 million, respectively, was recognized in other (income) expense, net of the difference between the forward rate and the spot rate of the net investment hedge. For the three and six months ended June 30, 2025, a loss of $4.1 million and $8.9 million, respectively, was recognized in other comprehensive income (loss) for the changes in fair value of the net investment hedges. For the three and six months ended June 30, 2024, a gain of $1.1 million was recognized in other (income) expense, net of the difference between the forward rate and the spot rate of the net investment hedge. For the three and six months ended June 30, 2024, a gain of $3.1 million was recognized in other comprehensive income (loss) for the changes in fair value of the net investment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6"/>
                <w:szCs w:val="16"/>
                <w:color w:val="auto"/>
              </w:rPr>
            </w:pPr>
          </w:p>
        </w:tc>
        <w:tc>
          <w:tcPr>
            <w:tcW w:w="27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523,024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636,845</w:t>
            </w:r>
          </w:p>
        </w:tc>
      </w:tr>
      <w:tr>
        <w:trPr>
          <w:trHeight w:val="248"/>
        </w:trPr>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1,159,460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Insolvency payments associated with Nanium acquisition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2025, we received $72.8 million for a receivable subject to bankruptcy proceedings included as part of our Nanium acquisition in May 2017 (“Nanium Insolvency Receipt”). The terms of the purchase agreement require us to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remit any insolvency payments received to the selling shareholders, less certain costs, including tax costs, incurred by us. During the quarter, we remitted $40.4 million to the selling shareholders. Such amounts were recorded on a net basis within selling, general and administrative expenses in our Consolidated Statements of Income and as operating cash flows within our Condensed Consolidated Statements of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on our business, liquidity, results of operations, financial condition or cash flows. Our evaluation of the potential impact of these claims and legal proceedings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have entered into additional lease agreements that have not yet commenced of approximately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Amkor is the world’s largest U.S. headquartered OSAT and is a global leader in outsourced semiconductor packaging and test services. We are an industry leader in developing and commercializing advanced packaging and test technologies, which we believe provide substantial value to our customers. Our primary financial objective is profitable sales growth. To achieve this goal, we are focused on leveraging our leadership position in services for advanced technologies, providing our customers with a geographically diverse manufacturing footprint, growing within the industry secular growth markets of high-performance computing (“HPC”), automotive, Internet-of-Things (“IoT”) and mobile communications, selectively growing our scale and scope through strategic investments and optimizing utilization of existing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High performance computing supporting artificial intelligence and increasing demand for improved networking speed and storage within data centers, cloud computing, PCs and laptops, are driving demand for more semiconductors and advanced packaging in the computing end market. Increasing semiconductor content in automobiles is driving increased demand for advanced packaging to enable the proliferation of safety features such as ADAS and radar and digital cockpit features such as infotainment displays and telematics. The IoT wearables within our consumer end market are evolving in multiple applications, such as hearables, watches and augmented reality and virtual reality devices. Integration of multiple functions into small form factors, such as processors, sensors and connectivity devices, relies on innovation in advanced packaging. Within our communications end market, we have a strong position across multiple device functionalities within premium and high tier smartphones. We are collaborating with industry leaders as smartphones transition to include artificial intelligence and drive semiconductor growth through integration of a broad range of applications, enhanced features and higher performance requirements to support increased data processing.</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multiple countries across Asia, in Portugal and our headquarters in the United States, is a key differentiator and positions us well to support evolving global supply chains, including initiatives to regionalize supply chains. We began delivering advanced packages from the Vietnam Facility in the third quarter of 2024. In addition, we are progressing plans to build an advanced packaging and test facility in Arizona and were awarded up to $407 million in direct funding by the U.S. Department of Commerce (“Commerce”) pursuant to the U.S. CHIPS and Science Act of 2022 (“CHIPS Act”) to support the facility, conditioned on, among other things, the achievement of certain construction and production milestones. We acquired the land for the Arizona Facility in 2024 and expect to begin construction in the second half of 2025. We believe our broad geographic footprint provides customers with multiple options to mitigate risk and diversify their supply chains.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Another key factor in our results of operations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June 30, 2025, we had cash and cash equivalents and short-term investments of $1,527.4 million and $516.4 million, respectively.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continue to monitor the recent changes in global trade policy, including tariffs and related trade actions announced by the U.S. and other countries. The degree to which such tariffs and other related actions impact our business, financial condition and results of operations will depend on future developments, which are uncertain. We will continue to make prudent investments, and we will closely manage capacity expansion and control costs in response to any changes in market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increased $49.9 million, or 3.4%, to $1,511.4 million for the three months ended June 30, 2025 compared to $1,461.5 million for the three months ended June 30, 2024, primarily due to growth in our consumer and computing end markets, partially offset by lower sales in our communication end market.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June 30, 2025 decreased to 12.0% compared to 14.5% for the three months ended June 30, 2024. The decrease in gross margin was primarily due to increased overhead and employee compensation costs to prepare for our seasonal second half volume. Gross margin was also impacted by the ramp up of the Vietnam Facility, which is in the early stages of high-volume manufacturing.</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increased 50 basis points to 6.1% for the three months ended June 30, 2025 from 5.6% for the three months ended June 30, 2024. The increase in our operating income margin was primarily due to the net cash received in the Nanium Insolvency Receipt, partially offset by the decrease in our gross margin discussed above.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$226.1 million for the six months ended June 30, 2025 compared to $262.5 million for the six months ended June 30, 2024. Our spending was primarily focused on investments in advanced packaging and test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$282.6 million for the six months ended June 30, 2025 compared to $387.1 million for the six months ended June 30, 2024. This decrease was primarily due to changes in working capital and lower operating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80" w:type="dxa"/>
            <w:vAlign w:val="bottom"/>
          </w:tcPr>
          <w:p>
            <w:pPr>
              <w:spacing w:after="0"/>
              <w:rPr>
                <w:sz w:val="16"/>
                <w:szCs w:val="16"/>
                <w:color w:val="auto"/>
              </w:rPr>
            </w:pPr>
          </w:p>
        </w:tc>
      </w:tr>
      <w:tr>
        <w:trPr>
          <w:trHeight w:val="23"/>
        </w:trPr>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20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Materials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52.9 %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3"/>
        </w:trPr>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21"/>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8"/>
        </w:trPr>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
        </w:trPr>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90"/>
        </w:trPr>
        <w:tc>
          <w:tcPr>
            <w:tcW w:w="20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2"/>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gridSpan w:val="2"/>
          </w:tcPr>
          <w:p>
            <w:pPr>
              <w:spacing w:after="0"/>
              <w:rPr>
                <w:sz w:val="16"/>
                <w:szCs w:val="16"/>
                <w:color w:val="auto"/>
              </w:rPr>
            </w:pPr>
          </w:p>
        </w:tc>
        <w:tc>
          <w:tcPr>
            <w:tcW w:w="7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r>
      <w:tr>
        <w:trPr>
          <w:trHeight w:val="196"/>
        </w:trPr>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1,511,392</w:t>
            </w:r>
          </w:p>
        </w:tc>
        <w:tc>
          <w:tcPr>
            <w:tcW w:w="3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1,461,474</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49,918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3.4 %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2,832,967</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2,826,985</w:t>
            </w:r>
          </w:p>
        </w:tc>
        <w:tc>
          <w:tcPr>
            <w:tcW w:w="7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5,982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net sales for the three and six months ended June 30, 2025 compared to the three and six months ended June 30, 2024 was primarily due to growth in our consumer and computing end markets, partially offset by lower sales in our communication end market. The consumer end market grew 52% and 37% and the computing end market grew 16% and 18% for the three and six months ended June 30, 2025 compared to 2024, respectively, primarily driven by strong demand for IoT wearables, AI devices and ARM-based PCs. The communications end market decreased 15% and 17% for the three and six months ended June 30, 2025 compared to 2024, respectively, primarily due to lower supported content in premium tier smartphones.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60" w:type="dxa"/>
            <w:vAlign w:val="bottom"/>
          </w:tcPr>
          <w:p>
            <w:pPr>
              <w:spacing w:after="0"/>
              <w:rPr>
                <w:sz w:val="16"/>
                <w:szCs w:val="16"/>
                <w:color w:val="auto"/>
              </w:rPr>
            </w:pPr>
          </w:p>
        </w:tc>
      </w:tr>
      <w:tr>
        <w:trPr>
          <w:trHeight w:val="2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181,897</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212,375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(30,478)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339,480</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414,018</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(74,538)</w:t>
            </w: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12.0 %</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12.0 %</w:t>
            </w:r>
          </w:p>
        </w:tc>
        <w:tc>
          <w:tcPr>
            <w:tcW w:w="3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14.6 %</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and gross margin decreased for the three and six months ended June 30, 2025 compared to the three and six months ended June 30, 2024, primarily due to increased overhead and employee compensation costs to prepare for our seasonal second half volume. Gross profit and gross margin were also impacted by the ramp up of the Vietnam Facility, which is in the early stages of high-volume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4"/>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2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Pr>
          <w:p>
            <w:pPr>
              <w:spacing w:after="0"/>
              <w:rPr>
                <w:sz w:val="16"/>
                <w:szCs w:val="16"/>
                <w:color w:val="auto"/>
              </w:rPr>
            </w:pPr>
          </w:p>
        </w:tc>
      </w:tr>
      <w:tr>
        <w:trPr>
          <w:trHeight w:val="23"/>
        </w:trPr>
        <w:tc>
          <w:tcPr>
            <w:tcW w:w="2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3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91,280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rPr>
              <w:t>(43,358)</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  $</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128,330</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181,626</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(53,296)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and six months ended June 30, 2025 compared to the three and six months ended June 30, 2024, primarily due to net cash received in the Nanium Insolvency Receipt and the incremental costs incurred in 2024 during start-up at the Vietnam Facility. The amount recognized from the Nanium Insolvency Receipt for the three and six months ended June 30, 2025, net of amounts remitted to the selling shareholders, was $32.4 million. The incremental costs incurred during start-up at the Vietnam Facility were approximately $13 million and $25 million for the three and six months ended June 30, 2024, respectively. For additional information regarding the Nanium Insolvency Receipt, please refer to Note 15 to our Consolidated Financial Statements in Part 1, Item 1 of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60" w:type="dxa"/>
            <w:vAlign w:val="bottom"/>
            <w:gridSpan w:val="4"/>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6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42,008</w:t>
            </w:r>
          </w:p>
        </w:tc>
        <w:tc>
          <w:tcPr>
            <w:tcW w:w="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39,568</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2,440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6.2 %  $</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87,660</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77,739</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9,921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and six months ended June 30, 2025 compared to the three and six months ended June 30, 2024, primarily due to development projects in new mainstream and advanced packaging technologies.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Pr>
          <w:p>
            <w:pPr>
              <w:spacing w:after="0"/>
              <w:rPr>
                <w:sz w:val="16"/>
                <w:szCs w:val="16"/>
                <w:color w:val="auto"/>
              </w:rPr>
            </w:pPr>
          </w:p>
        </w:tc>
      </w:tr>
      <w:tr>
        <w:trPr>
          <w:trHeight w:val="23"/>
        </w:trPr>
        <w:tc>
          <w:tcPr>
            <w:tcW w:w="2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16,810</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1,005</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33,619</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2,706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5,106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4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37"/>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8,796</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14,487</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13,386</w:t>
            </w:r>
          </w:p>
        </w:tc>
        <w:tc>
          <w:tcPr>
            <w:tcW w:w="4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for the three and six months ended June 30, 2025 compared to the three and six months ended June 30, 2024, primarily due to lower interest rates.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foreign currency (gain) loss, net for the three and six months ended June 30, 2025 compared to the three and six months ended June 30, 2024 were primarily due to the weakening of the U.S. dollar compared to the foreign currencies of our subsidiaries and the associated impact on our unhedged net monetary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28,162</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14,312</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13,850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32,098</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26,508</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w:t>
            </w: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and six months ended June 30, 2025 compared to the three and six months ended June 30, 2024, primarily due to discrete tax expense associated with the Nanium Insolvency Receipt. For additional information regarding the Nanium Insolvency Receipt, please refer to Note 15 to our Consolidated Financial Statements in Part 1, Item 1 of this Form 10-Q.</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our subsidiaries in Korea, Singapore and Vietnam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4 to our Consolidated Financial Statements in Part 1, Item 1 of this Form 10-Q for additional information about our income tax expense and the OBBBA legislation.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we had cash and cash equivalents and short-term investments of $2,043.8 million. Included in our cash and short-term investments balances as of June 30, 2025 is $1,347.3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sold receivables totaling $25.5 million and $36.1 million, respectively, net of discounts and fees which were insignificant for the respective periods.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we signed a Direct Funding Agreement with Commerce for the award of up to $407 million in government incentives pursuant to the CHIPS Act, and no funds have been received to date. The award requires us to achieve construction and production milestones over the next several years. In addition, we are eligible to receive an investment tax credit on qualified investments in U.S. semiconductor manufacturing under the CHIPS Act. On July 4, 2025, the OBBBA was enacted in the United States, which includes a provision to increase the investment tax credit rate from 25% to 35% starting in 2026. For additional information, please refer to Note 1 to our Consolidated Financial Statements in Part I, Item 1 of this Form 10-Q.</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9, 2025, we entered into the 2025 Revolving Credit Facility, which replaced our existing revolving credit facility. The maximum amount available to draw under the 2025 Revolving Credit Facility is $1.0 billion. The 2025 Revolving Credit Facility includes an uncommitted optional accordion of up to $200.0 million, which may be incurred in the form of revolving commitment increases or term loans. On June 27, 2025, we amended the 2025 Revolving Credit Facility agreement and created the $500.0 million Term A Loans, which are secured and guaranteed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existing agreement. In July 2025, a portion of the proceeds will be used to redeem $125.0 million of the Senior Notes and repay the remaining $98.0 million of the AATS Loans. The 2025 Revolving Credit Facility and Term A Loans will mature on May 9, 2030. As of June 30, 2025, we had availability of $1,000.0 million under the 2025 Revolving Credit Facility. As of June 30, 2025, our foreign subsidiaries also had $62.6 million available to be borrowed under term loan credit facilities.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we had debt of $1,573.0 million, with $374.9 million payable within 12 months. As of June 30, 2025, the interest payment obligations, based on stated coupon rates for fixed rate debt and interest rates applicable at June 30, 2025 for variable rate debt, were $214.1 million during the remaining term of the debt. Interest payment obligations payable within 12 months were $68.1 million. We were in compliance with all debt covenants as of June 30, 2025, and we expect to remain in compliance with these covenants for at least the next 12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contain affirmative and negative covenants, including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ATSH and Guardian guarantee certain debt of our subsidiaries.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June 30, 2025, our total remaining operating lease obligations and finance lease obligations were $88.5 million and $187.6 million, respectively, with $28.5 million and $59.9 million payable within 12 months, respectively. The lease obligations represent our future minimum lease payments including interest payments.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June 30, 2025, the purchase obligations were $445.2 million, with $404.0 million payable within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paid total quarterly cash dividends of $40.9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six months ended June 30, 2025, our capital expenditures totaled $226.1 million.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2025 capital expenditures will be approximately $850 million, approximately 5% to 10% of which we expect to spend on the construction of the Arizona Facility. Ultimately, the amount of our 2025 capital expenditures will depend on several factors including, among others, the timing and implementation of any capital projects under review, including the commencement of construction for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six months ended June 30, 2025 and 2024,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282,612</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387,068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1380" w:type="dxa"/>
            <w:vAlign w:val="bottom"/>
          </w:tcPr>
          <w:p>
            <w:pPr>
              <w:jc w:val="center"/>
              <w:ind w:left="439"/>
              <w:spacing w:after="0"/>
              <w:rPr>
                <w:sz w:val="20"/>
                <w:szCs w:val="20"/>
                <w:color w:val="auto"/>
              </w:rPr>
            </w:pPr>
            <w:r>
              <w:rPr>
                <w:rFonts w:ascii="Times New Roman" w:cs="Times New Roman" w:eastAsia="Times New Roman" w:hAnsi="Times New Roman"/>
                <w:sz w:val="18"/>
                <w:szCs w:val="18"/>
                <w:color w:val="auto"/>
                <w:w w:val="99"/>
              </w:rPr>
              <w:t>(205,797)</w:t>
            </w:r>
          </w:p>
        </w:tc>
        <w:tc>
          <w:tcPr>
            <w:tcW w:w="620" w:type="dxa"/>
            <w:vAlign w:val="bottom"/>
          </w:tcPr>
          <w:p>
            <w:pPr>
              <w:spacing w:after="0"/>
              <w:rPr>
                <w:sz w:val="19"/>
                <w:szCs w:val="19"/>
                <w:color w:val="auto"/>
              </w:rPr>
            </w:pP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(275,059)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308,220</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(138,477)</w:t>
            </w: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six months ended June 30, 2025 decreased by $104.5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primarily due to changes in working capital and lower operating profits.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six months ended June 30, 2025 decreased by $69.3 million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primarily due to net proceeds from foreign exchange forward contracts in the current year and lower payments for property, plant and equipment, partially offset by lower net proceeds for short-term investment activity. Payments for property, plant and equipment can fluctuate based on the timing of purchase, receipt and acceptance of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changes in financing activities for the six months ended June 30, 2025 compared to the six months ended June 30,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net debt borrowings in the current year compared to net debt repayments in the prior year.</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387,068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(262,543)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134,781</w:t>
            </w:r>
          </w:p>
        </w:tc>
      </w:tr>
      <w:tr>
        <w:trPr>
          <w:trHeight w:val="21"/>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 Item 1 of this Form 10-Q.</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2025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six months ended June 30, 2025 would have been approximately $16 million lower, due to the remeasurement of monetary assets and liabilities.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six months ended June 30, 2025, approximately 90% of our net sales were denominated in U.S. dollars. Our remaining net sales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principally denominated in Japanese yen. For the six months ended June 30, 2025,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2025 to assess the potential impact of fluctuations in exchange rates for all foreign denominated sales and operating expenses. Assuming that all foreign currencies appreciated 10% against the U.S. dollar, our operating income for the six months ended June 30, 2025 would have been approximately $78 million lower.</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$6.2 million for the six months ended June 30, 2025 and a loss of $11.4 million for the three months ended June 30, 2024, respectively, and was recognized as an adjustment to equity through other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June 30,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2025 -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w w:val="92"/>
              </w:rPr>
              <w:t>2029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201,586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138,037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519,848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98,046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981,262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974,633</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598,000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598,000</w:t>
            </w:r>
          </w:p>
        </w:tc>
      </w:tr>
      <w:tr>
        <w:trPr>
          <w:trHeight w:val="196"/>
        </w:trPr>
        <w:tc>
          <w:tcPr>
            <w:tcW w:w="1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2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299,586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150,537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532,348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123,046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48,745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425,000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1,579,262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1,572,633</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column reflects the early redemption and prepayment of the Senior Notes and AATS Notes,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2025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June 30, 2025. There have been no changes in our internal control over financial reporting that occurred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2024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35" w:lineRule="exact"/>
        <w:rPr>
          <w:sz w:val="20"/>
          <w:szCs w:val="20"/>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 and contract manufacturers;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Operations</w:t>
      </w:r>
    </w:p>
    <w:p>
      <w:pPr>
        <w:spacing w:after="0" w:line="148" w:lineRule="exact"/>
        <w:rPr>
          <w:sz w:val="20"/>
          <w:szCs w:val="20"/>
          <w:color w:val="auto"/>
        </w:rPr>
      </w:pPr>
    </w:p>
    <w:p>
      <w:pPr>
        <w:ind w:left="660" w:hanging="328"/>
        <w:spacing w:after="0" w:line="23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 including restrictive trade barriers, export controls, tariffs, customs and duties.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62"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35" w:lineRule="exact"/>
        <w:rPr>
          <w:sz w:val="20"/>
          <w:szCs w:val="20"/>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3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environmental, health and safety liabilities and expenditures;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obligations in connection with the receipt of government awards and incentives.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computing, automotive and industrial or consumer electronics, could have a material adverse effect on our business and operating results. During downturns, we have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conflicts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U.S. Bureau of Industry and Security has announced new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 and contract manufacturers.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from foundries, such as TSMC and Samsung,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began delivering advanced packages from the Vietnam Facility in the third quarter of 2024. While manufacturing has begun at the Vietnam Facility, there can be no assurance that the actual scope, costs or benefits of the project will be consistent with our current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achieve consistently high-capacity utilization, and if we fail to do so, our gross margins may be negatively impacted.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competitive. Our production yields on new packages, particularly those packages which are based on new technologies, typically are significantly lower than our production yields on our more established packages.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2024.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decreased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2025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Taiwan and Vietnam.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geopolitical tensions, increasing protectionism and economic nationalism leading to increasing export restrictions, trade barriers, tariffs, and other changes in trade policy;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half of 2025, the United States government announced additional tariffs on goods imported into the U.S. from numerous countries, and some nations countered with tariffs and other actions. Many of the announced tariffs were paused after announcement or had exemptions for certain products, and the U.S. government is negotiating with other countries regarding the tariffs as well as assessing potential product-based sectoral tariffs. We cannot predict what further actions may ultimately be taken by the U.S. with respect to tariffs, export restrictions or other trade measures, what products or entities may be subject to such actions, or what actions may be taken by other countries in response to these U.S. actions. Imposed tariffs may affect end-user demand in each geography where our customers sell their products and services, which may materially and adversely affect demand for our services, our operating results and our financial condition.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affect end-user demand in each geography where our customers sell their products and services, which may materially and adversely affect demand for our services, our operating results and our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3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June 30, 2025, our total debt balance was $1,573.0 million, of which $374.9 million was classified as a current liability and $1,054.3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Susan Y. Kim and members of her family can effectively determine or substantially influence the outcome of all matters requiring stockholder approval.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Susan Y. Kim, the Chairman of our Board of Directors, and members of the Kim family and affiliates owned approximately 132.1 million shares, or approximately 53%, of our outstanding common stock. The Kim family also has options to acquire approximately 0.6 million shares. If the options are exercised, the Kim family’s total ownership would be an aggregate of approximately 132.7 million shares, or approximately 54% of our outstanding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June 30, 2025,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periods are subject to the risk that our internal controls may become inadequate because of changes in conditions, or that the degree of compliance with our policies or procedures may deteriorate.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effective in 2024. While the Pillar Two Model Rules did not have a material impact on our 2024 results, additional countries where we operate, including Singapore, have adopted Pillar Two Model Rules effective in 2025. Enactment of this legislation is expected to adversely affect our effective tax rate, tax payments and conditional reduced tax rates. On July 4, 2025, the OBBBA was enacted in the United States, which includes significant provisions such as modifications to the international tax framework and restoration of tax treatment for certain business provisions. The legislation has multiple effective dates, with certain provisions effective in 2025 and others implemented through 2027. We are currently assessing its impact on our consolidated financial statements. Changes in U.S. or foreign tax laws, including new or modified guidance with respect to existing tax laws, could have a material adverse impact on our liquidity, results of operations, financial condition and cash flows.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awards and incentives from the agreement with Commerce pursuant to the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2024, Commerce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Commerce will provide or continue to provide such funding. The award arrangements provide Commerce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June 30,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29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2025, Giel Rutten, Amkor’s President and Chief Executive Officer, adopted a “Rule 10b5-1 trading arrangement” as such term is defined in paragraph (a) of Item 408 of Regulation S-K promulgated under the Securities Act, which is intended to satisfy the affirmative defense of Rule 10b5-1(c). Mr. Rutten’s Rule 10b5-1 trading arrangement will terminate on the earliest of: (a) February 27, 2026; (b) the first date on which all trades have been executed or all trading orders relating to such trades have expired; and (c) the date on which Mr. Rutten gives notice to terminate his Rule 10b5-1 trading arrangement. 60,000 shares of our common stock are to be sold under Mr. Rutten’s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800" w:type="dxa"/>
            <w:vAlign w:val="bottom"/>
            <w:gridSpan w:val="21"/>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80" w:type="dxa"/>
            <w:vAlign w:val="bottom"/>
            <w:tcBorders>
              <w:bottom w:val="single" w:sz="8" w:color="auto"/>
            </w:tcBorders>
          </w:tcPr>
          <w:p>
            <w:pPr>
              <w:jc w:val="center"/>
              <w:ind w:left="1033"/>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gridSpan w:val="18"/>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gridSpan w:val="18"/>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3.1</w:t>
            </w:r>
          </w:p>
        </w:tc>
        <w:tc>
          <w:tcPr>
            <w:tcW w:w="5240" w:type="dxa"/>
            <w:vAlign w:val="bottom"/>
            <w:gridSpan w:val="20"/>
          </w:tcPr>
          <w:p>
            <w:pPr>
              <w:spacing w:after="0" w:line="199" w:lineRule="exact"/>
              <w:rPr>
                <w:sz w:val="20"/>
                <w:szCs w:val="20"/>
                <w:color w:val="auto"/>
              </w:rPr>
            </w:pPr>
            <w:r>
              <w:rPr>
                <w:rFonts w:ascii="Times New Roman" w:cs="Times New Roman" w:eastAsia="Times New Roman" w:hAnsi="Times New Roman"/>
                <w:sz w:val="18"/>
                <w:szCs w:val="18"/>
                <w:color w:val="0000FF"/>
              </w:rPr>
              <w:t>Amended  and  Restated  Certificate  of  Incorporation  of  Amkor</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jc w:val="center"/>
              <w:ind w:left="1033"/>
              <w:spacing w:after="0" w:line="19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Technology, Inc., dated as of May 15, 2025</w:t>
            </w:r>
          </w:p>
        </w:tc>
        <w:tc>
          <w:tcPr>
            <w:tcW w:w="20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5240" w:type="dxa"/>
            <w:vAlign w:val="bottom"/>
            <w:gridSpan w:val="20"/>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Credit Agreement, dated May 9, 2025, among Amkor Technology,</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5/9/25</w:t>
            </w:r>
          </w:p>
        </w:tc>
        <w:tc>
          <w:tcPr>
            <w:tcW w:w="96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right"/>
              <w:ind w:right="1273"/>
              <w:spacing w:after="0"/>
              <w:rPr>
                <w:sz w:val="20"/>
                <w:szCs w:val="20"/>
                <w:color w:val="auto"/>
              </w:rPr>
            </w:pPr>
            <w:r>
              <w:rPr>
                <w:rFonts w:ascii="Times New Roman" w:cs="Times New Roman" w:eastAsia="Times New Roman" w:hAnsi="Times New Roman"/>
                <w:sz w:val="18"/>
                <w:szCs w:val="18"/>
                <w:color w:val="auto"/>
              </w:rPr>
              <w:t>5/13/25</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Inc, as the Borrower, the Lenders party thereto from time to time,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L/C Issuers party thereto from time to time and Bank of America,</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0" w:type="dxa"/>
            <w:vAlign w:val="bottom"/>
            <w:gridSpan w:val="18"/>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N.A., as the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5240" w:type="dxa"/>
            <w:vAlign w:val="bottom"/>
            <w:gridSpan w:val="20"/>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First Amendment to Credit Agreement, dated June 27, 2025, among</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6/27/25</w:t>
            </w:r>
          </w:p>
        </w:tc>
        <w:tc>
          <w:tcPr>
            <w:tcW w:w="96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Amkor Technology, Inc., as the Borrower, the Guarantors, the Non-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Loan Party Equity Pledgor, the Term A-1 Lenders, the Revolving</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40" w:type="dxa"/>
            <w:vAlign w:val="bottom"/>
            <w:gridSpan w:val="20"/>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Lenders party thereto and Bank of America, N.A., as Administrative</w:t>
              </w:r>
            </w:hyperlink>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70">
              <w:r>
                <w:rPr>
                  <w:rFonts w:ascii="Times New Roman" w:cs="Times New Roman" w:eastAsia="Times New Roman" w:hAnsi="Times New Roman"/>
                  <w:sz w:val="18"/>
                  <w:szCs w:val="18"/>
                  <w:color w:val="0000FF"/>
                  <w:w w:val="94"/>
                </w:rPr>
                <w:t>Agent.</w:t>
              </w:r>
            </w:hyperlink>
          </w:p>
        </w:tc>
        <w:tc>
          <w:tcPr>
            <w:tcW w:w="47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Fifth Amended and Restated Non-Employee Director Compensation</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Policy</w:t>
            </w:r>
          </w:p>
        </w:tc>
        <w:tc>
          <w:tcPr>
            <w:tcW w:w="46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52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4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Officer of Amkor Technology, Inc., pursuant to Rule 13a-14(a) under</w:t>
            </w: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80" w:type="dxa"/>
            <w:vAlign w:val="bottom"/>
            <w:gridSpan w:val="4"/>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100" w:type="dxa"/>
            <w:vAlign w:val="bottom"/>
            <w:gridSpan w:val="5"/>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200" w:type="dxa"/>
            <w:vAlign w:val="bottom"/>
            <w:tcBorders>
              <w:top w:val="single" w:sz="8" w:color="0000FF"/>
            </w:tcBorders>
            <w:gridSpan w:val="9"/>
          </w:tcPr>
          <w:p>
            <w:pPr>
              <w:spacing w:after="0"/>
              <w:rPr>
                <w:sz w:val="14"/>
                <w:szCs w:val="14"/>
                <w:color w:val="auto"/>
              </w:rPr>
            </w:pPr>
          </w:p>
        </w:tc>
        <w:tc>
          <w:tcPr>
            <w:tcW w:w="120" w:type="dxa"/>
            <w:vAlign w:val="bottom"/>
            <w:gridSpan w:val="6"/>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2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jc w:val="center"/>
              <w:ind w:left="10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4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240" w:type="dxa"/>
            <w:vAlign w:val="bottom"/>
            <w:gridSpan w:val="20"/>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tcPr>
          <w:p>
            <w:pPr>
              <w:jc w:val="center"/>
              <w:ind w:left="1033"/>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6"/>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17" w:right="339" w:bottom="1440" w:gutter="0" w:footer="0" w:header="0"/>
        </w:sectPr>
      </w:pPr>
    </w:p>
    <w:bookmarkStart w:id="56" w:name="page57"/>
    <w:bookmarkEnd w:id="56"/>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CERTIFICATE OF INCORPORATION</w:t>
      </w:r>
    </w:p>
    <w:p>
      <w:pPr>
        <w:jc w:val="center"/>
        <w:spacing w:after="0" w:line="204" w:lineRule="auto"/>
        <w:rPr>
          <w:sz w:val="20"/>
          <w:szCs w:val="20"/>
          <w:color w:val="auto"/>
        </w:rPr>
      </w:pPr>
      <w:r>
        <w:rPr>
          <w:rFonts w:ascii="Times New Roman" w:cs="Times New Roman" w:eastAsia="Times New Roman" w:hAnsi="Times New Roman"/>
          <w:sz w:val="22"/>
          <w:szCs w:val="22"/>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Amkor Technology, Inc., a corporation organized and existing under and by virtue of the General Corporation Law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Delaware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DOES HEREBY CERTIFY:</w:t>
      </w:r>
    </w:p>
    <w:p>
      <w:pPr>
        <w:spacing w:after="0" w:line="196" w:lineRule="exact"/>
        <w:rPr>
          <w:sz w:val="20"/>
          <w:szCs w:val="20"/>
          <w:color w:val="auto"/>
        </w:rPr>
      </w:pPr>
    </w:p>
    <w:p>
      <w:pPr>
        <w:ind w:right="1080"/>
        <w:spacing w:after="0" w:line="284" w:lineRule="auto"/>
        <w:rPr>
          <w:sz w:val="20"/>
          <w:szCs w:val="20"/>
          <w:color w:val="auto"/>
        </w:rPr>
      </w:pPr>
      <w:r>
        <w:rPr>
          <w:rFonts w:ascii="Times New Roman" w:cs="Times New Roman" w:eastAsia="Times New Roman" w:hAnsi="Times New Roman"/>
          <w:sz w:val="22"/>
          <w:szCs w:val="22"/>
          <w:color w:val="auto"/>
        </w:rPr>
        <w:t>FIRST: The name of the Corporation is “Amkor Technology, Inc.”. The date of filing of its original Certificate of Incorporation with the Secretary of State of the State of Delaware was September 26, 1997.</w:t>
      </w:r>
    </w:p>
    <w:p>
      <w:pPr>
        <w:spacing w:after="0" w:line="144"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 xml:space="preserve">SECOND: This Amended and Restated Certificate of Incorporation restates and integrates and amends in its entirety the Certificate of Incorporation of the Corporation to read in full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THIRD: The Corporation’s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vote of the stockholders therefor.</w:t>
      </w:r>
    </w:p>
    <w:p>
      <w:pPr>
        <w:spacing w:after="0" w:line="17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FOURTH: This Amended and Restated Certificate of Incorporation was duly adopted by vote of the stockholders in accordance with the applicable provisions of Sections 242 and 245 of the General Corporation Law of the State of Delaware.</w:t>
      </w:r>
    </w:p>
    <w:p>
      <w:pPr>
        <w:spacing w:after="0" w:line="15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FIFTH: This Amended and Restated Certificate of Incorporation shall become effective upon filing with the Secretary of State of the State of Delaware.</w:t>
      </w:r>
    </w:p>
    <w:p>
      <w:pPr>
        <w:spacing w:after="0" w:line="17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Amkor Technology, Inc. has caused this Amended and Restated Certificate of Incorporation to be signed in its name this 15th day of May, 2025.</w:t>
      </w:r>
    </w:p>
    <w:p>
      <w:pPr>
        <w:spacing w:after="0" w:line="3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Mark N.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230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Mark N. Rogers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 General Counsel, and Corporate Secretary</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CERTIFICATE OF INCORPORATION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FIRST:</w:t>
      </w:r>
      <w:r>
        <w:rPr>
          <w:sz w:val="20"/>
          <w:szCs w:val="20"/>
          <w:color w:val="auto"/>
        </w:rPr>
        <w:tab/>
      </w:r>
      <w:r>
        <w:rPr>
          <w:rFonts w:ascii="Times New Roman" w:cs="Times New Roman" w:eastAsia="Times New Roman" w:hAnsi="Times New Roman"/>
          <w:sz w:val="21"/>
          <w:szCs w:val="21"/>
          <w:color w:val="auto"/>
        </w:rPr>
        <w:t>The name of the Corporation is Amkor Technology, Inc. (the “Corporation”).</w:t>
      </w:r>
    </w:p>
    <w:p>
      <w:pPr>
        <w:spacing w:after="0" w:line="220" w:lineRule="exact"/>
        <w:rPr>
          <w:sz w:val="20"/>
          <w:szCs w:val="20"/>
          <w:color w:val="auto"/>
        </w:rPr>
      </w:pPr>
    </w:p>
    <w:p>
      <w:pPr>
        <w:ind w:left="1140" w:hanging="1943"/>
        <w:spacing w:after="0" w:line="257" w:lineRule="auto"/>
        <w:tabs>
          <w:tab w:leader="none" w:pos="1120" w:val="left"/>
        </w:tabs>
        <w:rPr>
          <w:sz w:val="20"/>
          <w:szCs w:val="20"/>
          <w:color w:val="auto"/>
        </w:rPr>
      </w:pPr>
      <w:r>
        <w:rPr>
          <w:rFonts w:ascii="Times New Roman" w:cs="Times New Roman" w:eastAsia="Times New Roman" w:hAnsi="Times New Roman"/>
          <w:sz w:val="22"/>
          <w:szCs w:val="22"/>
          <w:color w:val="auto"/>
        </w:rPr>
        <w:t>SECOND:</w:t>
        <w:tab/>
        <w:t>The address of the Corporation’s registered office in the State of Delaware is 251 Little Falls Drive, in the city of Wilmington, County of New Castle zip code 19808. The name of the registered agent at such address is the Corporation Service Company.</w:t>
      </w:r>
    </w:p>
    <w:p>
      <w:pPr>
        <w:spacing w:after="0" w:line="186" w:lineRule="exact"/>
        <w:rPr>
          <w:sz w:val="20"/>
          <w:szCs w:val="20"/>
          <w:color w:val="auto"/>
        </w:rPr>
      </w:pPr>
    </w:p>
    <w:p>
      <w:pPr>
        <w:ind w:left="940" w:right="420" w:hanging="1943"/>
        <w:spacing w:after="0" w:line="271" w:lineRule="auto"/>
        <w:tabs>
          <w:tab w:leader="none" w:pos="920" w:val="left"/>
        </w:tabs>
        <w:rPr>
          <w:sz w:val="20"/>
          <w:szCs w:val="20"/>
          <w:color w:val="auto"/>
        </w:rPr>
      </w:pPr>
      <w:r>
        <w:rPr>
          <w:rFonts w:ascii="Times New Roman" w:cs="Times New Roman" w:eastAsia="Times New Roman" w:hAnsi="Times New Roman"/>
          <w:sz w:val="22"/>
          <w:szCs w:val="22"/>
          <w:color w:val="auto"/>
        </w:rPr>
        <w:t>THIRD:</w:t>
        <w:tab/>
        <w:t>The purpose of the Corporation is to engage in any lawful act or activity for which corporations may be organized under the General Corporation Law of Delaware.</w:t>
      </w:r>
    </w:p>
    <w:p>
      <w:pPr>
        <w:spacing w:after="0" w:line="158" w:lineRule="exact"/>
        <w:rPr>
          <w:sz w:val="20"/>
          <w:szCs w:val="20"/>
          <w:color w:val="auto"/>
        </w:rPr>
      </w:pPr>
    </w:p>
    <w:p>
      <w:pPr>
        <w:ind w:left="1140" w:right="140" w:hanging="1943"/>
        <w:spacing w:after="0" w:line="252" w:lineRule="auto"/>
        <w:tabs>
          <w:tab w:leader="none" w:pos="1120" w:val="left"/>
        </w:tabs>
        <w:rPr>
          <w:sz w:val="20"/>
          <w:szCs w:val="20"/>
          <w:color w:val="auto"/>
        </w:rPr>
      </w:pPr>
      <w:r>
        <w:rPr>
          <w:rFonts w:ascii="Times New Roman" w:cs="Times New Roman" w:eastAsia="Times New Roman" w:hAnsi="Times New Roman"/>
          <w:sz w:val="22"/>
          <w:szCs w:val="22"/>
          <w:color w:val="auto"/>
        </w:rPr>
        <w:t>FOURTH:</w:t>
        <w:tab/>
        <w:t>The Corporation is authorized to issue two classes of stock to be designated respectively Common Stock and Preferred Stock. The total number of shares of all classes of stock which the Corporation has authority to issue is 510,000,000, consisting of 500,000,000 shares of Common Stock, $.001 par value (the “Common Stock”), and 10,000,000 shares of Preferred Stock, $.001 par value (the “Preferred Stock”).</w:t>
      </w:r>
    </w:p>
    <w:p>
      <w:pPr>
        <w:spacing w:after="0" w:line="193" w:lineRule="exact"/>
        <w:rPr>
          <w:sz w:val="20"/>
          <w:szCs w:val="20"/>
          <w:color w:val="auto"/>
        </w:rPr>
      </w:pPr>
    </w:p>
    <w:p>
      <w:pPr>
        <w:ind w:left="1960" w:right="100"/>
        <w:spacing w:after="0" w:line="249" w:lineRule="auto"/>
        <w:rPr>
          <w:sz w:val="20"/>
          <w:szCs w:val="20"/>
          <w:color w:val="auto"/>
        </w:rPr>
      </w:pPr>
      <w:r>
        <w:rPr>
          <w:rFonts w:ascii="Times New Roman" w:cs="Times New Roman" w:eastAsia="Times New Roman" w:hAnsi="Times New Roman"/>
          <w:sz w:val="22"/>
          <w:szCs w:val="22"/>
          <w:color w:val="auto"/>
        </w:rPr>
        <w:t>The Preferred Stock may be issued from time to time in one or more series. The Board of Directors is hereby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any such series and the designation thereof, or any of the foregoing.</w:t>
      </w:r>
    </w:p>
    <w:p>
      <w:pPr>
        <w:spacing w:after="0" w:line="182" w:lineRule="exact"/>
        <w:rPr>
          <w:sz w:val="20"/>
          <w:szCs w:val="20"/>
          <w:color w:val="auto"/>
        </w:rPr>
      </w:pPr>
    </w:p>
    <w:p>
      <w:pPr>
        <w:ind w:left="1960" w:right="160"/>
        <w:spacing w:after="0" w:line="253" w:lineRule="auto"/>
        <w:rPr>
          <w:sz w:val="20"/>
          <w:szCs w:val="20"/>
          <w:color w:val="auto"/>
        </w:rPr>
      </w:pPr>
      <w:r>
        <w:rPr>
          <w:rFonts w:ascii="Times New Roman" w:cs="Times New Roman" w:eastAsia="Times New Roman" w:hAnsi="Times New Roman"/>
          <w:sz w:val="22"/>
          <w:szCs w:val="22"/>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issue of shares of such series then outstanding, subject to the powers, preferences and rights, and the qualifications, limitations and restrictions</w:t>
      </w:r>
    </w:p>
    <w:p>
      <w:pPr>
        <w:sectPr>
          <w:pgSz w:w="11900" w:h="16838" w:orient="portrait"/>
          <w:cols w:equalWidth="0" w:num="1">
            <w:col w:w="11220"/>
          </w:cols>
          <w:pgMar w:left="320" w:top="1440" w:right="359" w:bottom="1440" w:gutter="0" w:footer="0" w:header="0"/>
        </w:sectPr>
      </w:pPr>
    </w:p>
    <w:bookmarkStart w:id="58" w:name="page59"/>
    <w:bookmarkEnd w:id="58"/>
    <w:p>
      <w:pPr>
        <w:ind w:left="1960"/>
        <w:spacing w:after="0" w:line="256" w:lineRule="auto"/>
        <w:rPr>
          <w:sz w:val="20"/>
          <w:szCs w:val="20"/>
          <w:color w:val="auto"/>
        </w:rPr>
      </w:pPr>
      <w:r>
        <w:rPr>
          <w:rFonts w:ascii="Times New Roman" w:cs="Times New Roman" w:eastAsia="Times New Roman" w:hAnsi="Times New Roman"/>
          <w:sz w:val="22"/>
          <w:szCs w:val="22"/>
          <w:color w:val="auto"/>
        </w:rPr>
        <w:t>thereof stated in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FIFTH:</w:t>
      </w:r>
      <w:r>
        <w:rPr>
          <w:sz w:val="20"/>
          <w:szCs w:val="20"/>
          <w:color w:val="auto"/>
        </w:rPr>
        <w:tab/>
      </w:r>
      <w:r>
        <w:rPr>
          <w:rFonts w:ascii="Times New Roman" w:cs="Times New Roman" w:eastAsia="Times New Roman" w:hAnsi="Times New Roman"/>
          <w:sz w:val="21"/>
          <w:szCs w:val="21"/>
          <w:color w:val="auto"/>
        </w:rPr>
        <w:t>The Corporation is to have perpetual existence.</w:t>
      </w:r>
    </w:p>
    <w:p>
      <w:pPr>
        <w:spacing w:after="0" w:line="220" w:lineRule="exact"/>
        <w:rPr>
          <w:sz w:val="20"/>
          <w:szCs w:val="20"/>
          <w:color w:val="auto"/>
        </w:rPr>
      </w:pPr>
    </w:p>
    <w:p>
      <w:pPr>
        <w:ind w:left="920" w:right="20" w:hanging="1943"/>
        <w:spacing w:after="0" w:line="271" w:lineRule="auto"/>
        <w:tabs>
          <w:tab w:leader="none" w:pos="900" w:val="left"/>
        </w:tabs>
        <w:rPr>
          <w:sz w:val="20"/>
          <w:szCs w:val="20"/>
          <w:color w:val="auto"/>
        </w:rPr>
      </w:pPr>
      <w:r>
        <w:rPr>
          <w:rFonts w:ascii="Times New Roman" w:cs="Times New Roman" w:eastAsia="Times New Roman" w:hAnsi="Times New Roman"/>
          <w:sz w:val="22"/>
          <w:szCs w:val="22"/>
          <w:color w:val="auto"/>
        </w:rPr>
        <w:t>SIXTH:</w:t>
        <w:tab/>
        <w:t>The election of directors need not be by written ballot unless a stockholder demands election by written ballot at a meeting of stockholders and before voting begins or unless the Bylaws of the Corporation shall so provide.</w:t>
      </w:r>
    </w:p>
    <w:p>
      <w:pPr>
        <w:spacing w:after="0" w:line="158" w:lineRule="exact"/>
        <w:rPr>
          <w:sz w:val="20"/>
          <w:szCs w:val="20"/>
          <w:color w:val="auto"/>
        </w:rPr>
      </w:pPr>
    </w:p>
    <w:p>
      <w:pPr>
        <w:ind w:left="1260" w:right="240" w:hanging="1943"/>
        <w:spacing w:after="0" w:line="284" w:lineRule="auto"/>
        <w:tabs>
          <w:tab w:leader="none" w:pos="1240" w:val="left"/>
        </w:tabs>
        <w:rPr>
          <w:sz w:val="20"/>
          <w:szCs w:val="20"/>
          <w:color w:val="auto"/>
        </w:rPr>
      </w:pPr>
      <w:r>
        <w:rPr>
          <w:rFonts w:ascii="Times New Roman" w:cs="Times New Roman" w:eastAsia="Times New Roman" w:hAnsi="Times New Roman"/>
          <w:sz w:val="22"/>
          <w:szCs w:val="22"/>
          <w:color w:val="auto"/>
        </w:rPr>
        <w:t>SEVENTH:</w:t>
        <w:tab/>
        <w:t>The number of directors which constitute the whole Board of Directors of the Corporation shall be designated in the Bylaws of the Corporation.</w:t>
      </w:r>
    </w:p>
    <w:p>
      <w:pPr>
        <w:spacing w:after="0" w:line="144" w:lineRule="exact"/>
        <w:rPr>
          <w:sz w:val="20"/>
          <w:szCs w:val="20"/>
          <w:color w:val="auto"/>
        </w:rPr>
      </w:pPr>
    </w:p>
    <w:p>
      <w:pPr>
        <w:ind w:left="1080" w:right="20" w:hanging="1943"/>
        <w:spacing w:after="0" w:line="254" w:lineRule="auto"/>
        <w:tabs>
          <w:tab w:leader="none" w:pos="1060" w:val="left"/>
        </w:tabs>
        <w:rPr>
          <w:sz w:val="20"/>
          <w:szCs w:val="20"/>
          <w:color w:val="auto"/>
        </w:rPr>
      </w:pPr>
      <w:r>
        <w:rPr>
          <w:rFonts w:ascii="Times New Roman" w:cs="Times New Roman" w:eastAsia="Times New Roman" w:hAnsi="Times New Roman"/>
          <w:sz w:val="22"/>
          <w:szCs w:val="22"/>
          <w:color w:val="auto"/>
        </w:rPr>
        <w:t>EIGHTH:</w:t>
        <w:tab/>
        <w:t>In furtherance and not in limitation of the powers conferred by the laws of the State of Delaware, the Board of Directors is expressly authorized to adopt, alter, amend or repeal the Bylaws of the Corporation. The stockholders may adopt, alter, amend or repeal the Bylaws of the Corporation upon an affirmative majority vote.</w:t>
      </w:r>
    </w:p>
    <w:p>
      <w:pPr>
        <w:spacing w:after="0" w:line="200" w:lineRule="exact"/>
        <w:rPr>
          <w:sz w:val="20"/>
          <w:szCs w:val="20"/>
          <w:color w:val="auto"/>
        </w:rPr>
      </w:pPr>
    </w:p>
    <w:p>
      <w:pPr>
        <w:spacing w:after="0" w:line="239" w:lineRule="exact"/>
        <w:rPr>
          <w:sz w:val="20"/>
          <w:szCs w:val="20"/>
          <w:color w:val="auto"/>
        </w:rPr>
      </w:pPr>
    </w:p>
    <w:p>
      <w:pPr>
        <w:ind w:left="960" w:hanging="1943"/>
        <w:spacing w:after="0" w:line="252" w:lineRule="auto"/>
        <w:tabs>
          <w:tab w:leader="none" w:pos="940" w:val="left"/>
        </w:tabs>
        <w:rPr>
          <w:sz w:val="20"/>
          <w:szCs w:val="20"/>
          <w:color w:val="auto"/>
        </w:rPr>
      </w:pPr>
      <w:r>
        <w:rPr>
          <w:rFonts w:ascii="Times New Roman" w:cs="Times New Roman" w:eastAsia="Times New Roman" w:hAnsi="Times New Roman"/>
          <w:sz w:val="22"/>
          <w:szCs w:val="22"/>
          <w:color w:val="auto"/>
        </w:rPr>
        <w:t>NINTH:</w:t>
        <w:tab/>
        <w:t>To the fullest extent permitted by the Delaware General Corporation Law as the same exists or may hereafter be amended, no director or officer of the Corporation shall be personally liable to the Corporation or its stockholders for monetary damages for breach of fiduciary duty as a director or officer. If the Delaware General Corporation Law is amended to authorize corporate action further eliminating or limiting the personal liability of directors or officers, then the liability of a director or officer of the corporation shall be eliminated or limited to the fullest extent permitted by the Delaware General Corporation Law, as so amended.</w:t>
      </w:r>
    </w:p>
    <w:p>
      <w:pPr>
        <w:spacing w:after="0" w:line="200" w:lineRule="exact"/>
        <w:rPr>
          <w:sz w:val="20"/>
          <w:szCs w:val="20"/>
          <w:color w:val="auto"/>
        </w:rPr>
      </w:pPr>
    </w:p>
    <w:p>
      <w:pPr>
        <w:spacing w:after="0" w:line="245" w:lineRule="exact"/>
        <w:rPr>
          <w:sz w:val="20"/>
          <w:szCs w:val="20"/>
          <w:color w:val="auto"/>
        </w:rPr>
      </w:pPr>
    </w:p>
    <w:p>
      <w:pPr>
        <w:ind w:left="1960" w:right="80"/>
        <w:spacing w:after="0" w:line="252" w:lineRule="auto"/>
        <w:rPr>
          <w:sz w:val="20"/>
          <w:szCs w:val="20"/>
          <w:color w:val="auto"/>
        </w:rPr>
      </w:pPr>
      <w:r>
        <w:rPr>
          <w:rFonts w:ascii="Times New Roman" w:cs="Times New Roman" w:eastAsia="Times New Roman" w:hAnsi="Times New Roman"/>
          <w:sz w:val="22"/>
          <w:szCs w:val="22"/>
          <w:color w:val="auto"/>
        </w:rPr>
        <w:t>Neither any amendment nor repeal of this Article, nor the adoption of any provision of this Certificate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spacing w:after="0" w:line="193" w:lineRule="exact"/>
        <w:rPr>
          <w:sz w:val="20"/>
          <w:szCs w:val="20"/>
          <w:color w:val="auto"/>
        </w:rPr>
      </w:pPr>
    </w:p>
    <w:p>
      <w:pPr>
        <w:ind w:left="980" w:right="140" w:hanging="1943"/>
        <w:spacing w:after="0" w:line="271" w:lineRule="auto"/>
        <w:tabs>
          <w:tab w:leader="none" w:pos="960" w:val="left"/>
        </w:tabs>
        <w:rPr>
          <w:sz w:val="20"/>
          <w:szCs w:val="20"/>
          <w:color w:val="auto"/>
        </w:rPr>
      </w:pPr>
      <w:r>
        <w:rPr>
          <w:rFonts w:ascii="Times New Roman" w:cs="Times New Roman" w:eastAsia="Times New Roman" w:hAnsi="Times New Roman"/>
          <w:sz w:val="22"/>
          <w:szCs w:val="22"/>
          <w:color w:val="auto"/>
        </w:rPr>
        <w:t>TENTH:</w:t>
        <w:tab/>
        <w:t>At the election of directors of the Corporation, each holder of stock of any class or series shall be entitled to one vote for each share held. No stockholder will be permitted to cumulate votes at any election of directors.</w:t>
      </w:r>
    </w:p>
    <w:p>
      <w:pPr>
        <w:spacing w:after="0" w:line="158" w:lineRule="exact"/>
        <w:rPr>
          <w:sz w:val="20"/>
          <w:szCs w:val="20"/>
          <w:color w:val="auto"/>
        </w:rPr>
      </w:pPr>
    </w:p>
    <w:p>
      <w:pPr>
        <w:ind w:left="1400" w:right="620" w:hanging="1943"/>
        <w:spacing w:after="0" w:line="271" w:lineRule="auto"/>
        <w:tabs>
          <w:tab w:leader="none" w:pos="1380" w:val="left"/>
        </w:tabs>
        <w:rPr>
          <w:sz w:val="20"/>
          <w:szCs w:val="20"/>
          <w:color w:val="auto"/>
        </w:rPr>
      </w:pPr>
      <w:r>
        <w:rPr>
          <w:rFonts w:ascii="Times New Roman" w:cs="Times New Roman" w:eastAsia="Times New Roman" w:hAnsi="Times New Roman"/>
          <w:sz w:val="22"/>
          <w:szCs w:val="22"/>
          <w:color w:val="auto"/>
        </w:rPr>
        <w:t>ELEVENTH:</w:t>
        <w:tab/>
        <w:t>Any action that is required or permitted to be taken by the stockholders of the corporation at any annual or special meeting of stockholders may be</w:t>
      </w:r>
    </w:p>
    <w:p>
      <w:pPr>
        <w:sectPr>
          <w:pgSz w:w="11900" w:h="16838" w:orient="portrait"/>
          <w:cols w:equalWidth="0" w:num="1">
            <w:col w:w="11220"/>
          </w:cols>
          <w:pgMar w:left="320" w:top="1422" w:right="359" w:bottom="1440" w:gutter="0" w:footer="0" w:header="0"/>
        </w:sectPr>
      </w:pPr>
    </w:p>
    <w:bookmarkStart w:id="59" w:name="page60"/>
    <w:bookmarkEnd w:id="59"/>
    <w:p>
      <w:pPr>
        <w:jc w:val="center"/>
        <w:ind w:right="360"/>
        <w:spacing w:after="0"/>
        <w:rPr>
          <w:sz w:val="20"/>
          <w:szCs w:val="20"/>
          <w:color w:val="auto"/>
        </w:rPr>
      </w:pPr>
      <w:r>
        <w:rPr>
          <w:rFonts w:ascii="Times New Roman" w:cs="Times New Roman" w:eastAsia="Times New Roman" w:hAnsi="Times New Roman"/>
          <w:sz w:val="22"/>
          <w:szCs w:val="22"/>
          <w:color w:val="auto"/>
        </w:rPr>
        <w:t>effected by written consent of stockholders in lieu of a meeting of stockholders.</w:t>
      </w:r>
    </w:p>
    <w:p>
      <w:pPr>
        <w:spacing w:after="0" w:line="220" w:lineRule="exact"/>
        <w:rPr>
          <w:sz w:val="20"/>
          <w:szCs w:val="20"/>
          <w:color w:val="auto"/>
        </w:rPr>
      </w:pPr>
    </w:p>
    <w:p>
      <w:pPr>
        <w:ind w:left="1300" w:hanging="1943"/>
        <w:spacing w:after="0" w:line="256" w:lineRule="auto"/>
        <w:tabs>
          <w:tab w:leader="none" w:pos="1280" w:val="left"/>
        </w:tabs>
        <w:rPr>
          <w:sz w:val="20"/>
          <w:szCs w:val="20"/>
          <w:color w:val="auto"/>
        </w:rPr>
      </w:pPr>
      <w:r>
        <w:rPr>
          <w:rFonts w:ascii="Times New Roman" w:cs="Times New Roman" w:eastAsia="Times New Roman" w:hAnsi="Times New Roman"/>
          <w:sz w:val="22"/>
          <w:szCs w:val="22"/>
          <w:color w:val="auto"/>
        </w:rPr>
        <w:t>TWELFTH:</w:t>
        <w:tab/>
        <w:t>Meetings of stockholders may be held within or without the State of Delaware, as the Bylaws may provide. The books of the Corporation may be kept (subject to any provision contained in the laws of the State of Delaware) outside of the State of Delaware at such place or places as may be designated from time to time by the Board of Directors or in the Bylaws of the Corporation.</w:t>
      </w:r>
    </w:p>
    <w:p>
      <w:pPr>
        <w:spacing w:after="0" w:line="176" w:lineRule="exact"/>
        <w:rPr>
          <w:sz w:val="20"/>
          <w:szCs w:val="20"/>
          <w:color w:val="auto"/>
        </w:rPr>
      </w:pPr>
    </w:p>
    <w:p>
      <w:pPr>
        <w:ind w:left="1620" w:hanging="1943"/>
        <w:spacing w:after="0" w:line="257" w:lineRule="auto"/>
        <w:tabs>
          <w:tab w:leader="none" w:pos="1600" w:val="left"/>
        </w:tabs>
        <w:rPr>
          <w:sz w:val="20"/>
          <w:szCs w:val="20"/>
          <w:color w:val="auto"/>
        </w:rPr>
      </w:pPr>
      <w:r>
        <w:rPr>
          <w:rFonts w:ascii="Times New Roman" w:cs="Times New Roman" w:eastAsia="Times New Roman" w:hAnsi="Times New Roman"/>
          <w:sz w:val="22"/>
          <w:szCs w:val="22"/>
          <w:color w:val="auto"/>
        </w:rPr>
        <w:t>THIRTEENTH:</w:t>
        <w:tab/>
        <w:t>The Corporation reserves the right to amend, alter, change or repeal any provision contained in this Certificate of Incorporation, in the manner now or hereafter prescribed by the laws of the State of Delaware, and all rights conferred herein are granted subject to this reservation.</w:t>
      </w:r>
    </w:p>
    <w:p>
      <w:pPr>
        <w:sectPr>
          <w:pgSz w:w="11900" w:h="16838" w:orient="portrait"/>
          <w:cols w:equalWidth="0" w:num="1">
            <w:col w:w="11140"/>
          </w:cols>
          <w:pgMar w:left="320" w:top="1422" w:right="439" w:bottom="1440" w:gutter="0" w:footer="0" w:header="0"/>
        </w:sectPr>
      </w:pPr>
    </w:p>
    <w:bookmarkStart w:id="60" w:name="page61"/>
    <w:bookmarkEnd w:id="60"/>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April 24, 2025</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Amkor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will be eligible to receive the compensation described in this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for his or her Board service. Unless otherwise defined herein, capitalized terms used in this Policy will have the meaning given to such terms in the Company’s 2021 Equity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any successor equity incentive plan.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The Policy, as amended and restated, will be effective on April 24,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Policy may be amended at any time in the sole discretion of the Board.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Commencing with the Effective Date, each Non-Employee Director will be eligible to receive the applicable compensation set forth below. Cash retainers may be paid either as a lump sum or in periodic (e.g., quarterly) installments and may be prorated for service of less than an annual period. Any equity compensation contemplated under this Policy will be granted under the Plan or any successor equity incentive plan.</w:t>
      </w:r>
    </w:p>
    <w:p>
      <w:pPr>
        <w:spacing w:after="0" w:line="158" w:lineRule="exact"/>
        <w:rPr>
          <w:sz w:val="20"/>
          <w:szCs w:val="20"/>
          <w:color w:val="auto"/>
        </w:rPr>
      </w:pPr>
    </w:p>
    <w:p>
      <w:pPr>
        <w:ind w:left="1300" w:right="40" w:hanging="644"/>
        <w:spacing w:after="0" w:line="497" w:lineRule="auto"/>
        <w:tabs>
          <w:tab w:leader="none" w:pos="129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Board Service. </w:t>
      </w:r>
      <w:r>
        <w:rPr>
          <w:rFonts w:ascii="Times New Roman" w:cs="Times New Roman" w:eastAsia="Times New Roman" w:hAnsi="Times New Roman"/>
          <w:sz w:val="18"/>
          <w:szCs w:val="18"/>
          <w:color w:val="auto"/>
        </w:rPr>
        <w:t>Each person serving as a Non-Employee Director will be paid an annual cash retainer of $85,000.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additional annual cash retainers will be paid to a Non-Employee Director serving in each of the following applicable roles: Lead Independent Director: $30,000</w:t>
      </w: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Chairman: $150,000</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Strategic Oversight Role: $75,000</w:t>
      </w:r>
    </w:p>
    <w:p>
      <w:pPr>
        <w:spacing w:after="0" w:line="207" w:lineRule="exact"/>
        <w:rPr>
          <w:rFonts w:ascii="Times New Roman" w:cs="Times New Roman" w:eastAsia="Times New Roman" w:hAnsi="Times New Roman"/>
          <w:sz w:val="18"/>
          <w:szCs w:val="18"/>
          <w:b w:val="1"/>
          <w:bCs w:val="1"/>
          <w:color w:val="auto"/>
        </w:rPr>
      </w:pPr>
    </w:p>
    <w:p>
      <w:pPr>
        <w:ind w:firstLine="656"/>
        <w:spacing w:after="0" w:line="239" w:lineRule="auto"/>
        <w:tabs>
          <w:tab w:leader="none" w:pos="128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Committee Service. </w:t>
      </w:r>
      <w:r>
        <w:rPr>
          <w:rFonts w:ascii="Times New Roman" w:cs="Times New Roman" w:eastAsia="Times New Roman" w:hAnsi="Times New Roman"/>
          <w:sz w:val="18"/>
          <w:szCs w:val="18"/>
          <w:color w:val="auto"/>
        </w:rPr>
        <w:t>The following annual cash retainers will be paid to a Non-Employee Director serving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of a committee of the Board as listed below:</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Chair: $25,000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Chair: $15,000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Finance Committee Chair: $15,000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Committee Chair: $10,000</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following annual cash retainers will be paid to a Non-Employee Director serving as a member of a committee of the Board (including the Chair of the committee) as listed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member: $12,000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member: $10,000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Finance Committee member: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8"/>
          <w:szCs w:val="18"/>
          <w:color w:val="auto"/>
        </w:rPr>
        <w:t>Nominating and Governance Committee member: $7,500</w:t>
      </w:r>
    </w:p>
    <w:p>
      <w:pPr>
        <w:spacing w:after="0" w:line="208" w:lineRule="exact"/>
        <w:rPr>
          <w:sz w:val="20"/>
          <w:szCs w:val="20"/>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Equity Award Grant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15" w:lineRule="auto"/>
        <w:tabs>
          <w:tab w:leader="none" w:pos="1938"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Grants. </w:t>
      </w:r>
      <w:r>
        <w:rPr>
          <w:rFonts w:ascii="Times New Roman" w:cs="Times New Roman" w:eastAsia="Times New Roman" w:hAnsi="Times New Roman"/>
          <w:sz w:val="18"/>
          <w:szCs w:val="18"/>
          <w:color w:val="auto"/>
        </w:rPr>
        <w:t>Without any further action by the Board, at the close of business on the date of each annual meeting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commencing with the Effective Date (each,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each person who is then a Non-Employee Director will automatically be granted Restricted Stock Units equal to (A) $195,000 divided by (B) the Fair Market Value of a share of Common Stock on the date of the applicable Annual Meeting (each, an “</w:t>
      </w: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A Non-Employee Director who has been elected or appointed for the first time to be a Non-Employee Director after the Annual Meeting (a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will receive a prorated Annual Grant. The value of the prorated Annual Grant for a New Director will be equal to the product of (1) the Annual Grant value and (2) a fraction, the numerator of which will be equal to the number of days in the period beginning on the date the New Director was elected or appointed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to the date of the next subsequent Annual Meeting and the denominator of which will be 365 (the “</w:t>
      </w:r>
      <w:r>
        <w:rPr>
          <w:rFonts w:ascii="Times New Roman" w:cs="Times New Roman" w:eastAsia="Times New Roman" w:hAnsi="Times New Roman"/>
          <w:sz w:val="18"/>
          <w:szCs w:val="18"/>
          <w:b w:val="1"/>
          <w:bCs w:val="1"/>
          <w:color w:val="auto"/>
        </w:rPr>
        <w:t>Prorated Annual Grant</w:t>
      </w:r>
      <w:r>
        <w:rPr>
          <w:rFonts w:ascii="Times New Roman" w:cs="Times New Roman" w:eastAsia="Times New Roman" w:hAnsi="Times New Roman"/>
          <w:sz w:val="18"/>
          <w:szCs w:val="18"/>
          <w:color w:val="auto"/>
        </w:rPr>
        <w:t>”). The number of RSUs covered by such Prorated Annual Grant will be equal to (1) the Prorated Annual Grant value divided by (2) the Fair Market Value of a share of Common Stock on the Start Date. Each Annual Grant, including any Prorated Annual Grant, will fully vest on the earlier of (1) the first anniversary of the applicable grant date and (2) the date of the first Annual Meeting following the applicable grant date, subject to the Non-Employee Director’s continuous service as a Director through the vesting date.</w:t>
      </w:r>
    </w:p>
    <w:p>
      <w:pPr>
        <w:spacing w:after="0" w:line="160" w:lineRule="exact"/>
        <w:rPr>
          <w:rFonts w:ascii="Times New Roman" w:cs="Times New Roman" w:eastAsia="Times New Roman" w:hAnsi="Times New Roman"/>
          <w:sz w:val="18"/>
          <w:szCs w:val="18"/>
          <w:b w:val="1"/>
          <w:bCs w:val="1"/>
          <w:color w:val="auto"/>
        </w:rPr>
      </w:pPr>
    </w:p>
    <w:p>
      <w:pPr>
        <w:jc w:val="both"/>
        <w:ind w:firstLine="1304"/>
        <w:spacing w:after="0" w:line="232" w:lineRule="auto"/>
        <w:tabs>
          <w:tab w:leader="none" w:pos="1934"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Notwithstanding the foregoing, all unvested equity awards granted pursuant to this Section (c) will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upon a Change in Control if the successor or acquiring company does not assume or provide a substitute for the awards in connection with the Change in Control.</w:t>
      </w:r>
    </w:p>
    <w:p>
      <w:pPr>
        <w:spacing w:after="0" w:line="15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right="20" w:firstLine="1304"/>
        <w:spacing w:after="0" w:line="255" w:lineRule="auto"/>
        <w:tabs>
          <w:tab w:leader="none" w:pos="1938"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Equity awards granted to Non-Employee Directors pursuant to the Policy will fully vest upon such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death or termination of service as a Director due to disability.</w:t>
      </w:r>
    </w:p>
    <w:p>
      <w:pPr>
        <w:spacing w:after="0" w:line="140" w:lineRule="exact"/>
        <w:rPr>
          <w:rFonts w:ascii="Times New Roman" w:cs="Times New Roman" w:eastAsia="Times New Roman" w:hAnsi="Times New Roman"/>
          <w:sz w:val="18"/>
          <w:szCs w:val="18"/>
          <w:b w:val="1"/>
          <w:bCs w:val="1"/>
          <w:color w:val="auto"/>
        </w:rPr>
      </w:pPr>
    </w:p>
    <w:p>
      <w:pPr>
        <w:ind w:right="20" w:firstLine="1304"/>
        <w:spacing w:after="0" w:line="239" w:lineRule="auto"/>
        <w:tabs>
          <w:tab w:leader="none" w:pos="1934"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remaining terms and conditions of each Restricted Stock Unit award will be as set forth in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Stock Unit award agreement for Directors, in the form adopted from time to time by the Board.</w:t>
      </w:r>
    </w:p>
    <w:p>
      <w:pPr>
        <w:spacing w:after="0" w:line="16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cash and equity compensation each Non-Employee Director is eligible to receive under this Policy (or otherwise) will be subject to the limits set forth in Section 12 of the Plan.</w:t>
      </w:r>
    </w:p>
    <w:p>
      <w:pPr>
        <w:spacing w:after="0" w:line="144"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reimburse each Non-Employee Director for ordinary, necessary and reasonable out-of-pocket travel expenses to cover in-person attendance at and participation in Board and committee meetings, subject to the Non-Employee Director submitting to the Company appropriate 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7" w:right="339" w:bottom="1440" w:gutter="0" w:footer="0" w:header="0"/>
        </w:sectPr>
      </w:pPr>
    </w:p>
    <w:bookmarkStart w:id="62" w:name="page63"/>
    <w:bookmarkEnd w:id="62"/>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2025</w:t>
      </w:r>
    </w:p>
    <w:p>
      <w:pPr>
        <w:sectPr>
          <w:pgSz w:w="11900" w:h="16838" w:orient="portrait"/>
          <w:cols w:equalWidth="0" w:num="1">
            <w:col w:w="11240"/>
          </w:cols>
          <w:pgMar w:left="320" w:top="144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June 30, 2025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July 29, 2025</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July 29, 2025</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6"/>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9" Type="http://schemas.openxmlformats.org/officeDocument/2006/relationships/hyperlink" Target="https://www.sec.gov/Archives/edgar/data/1047127/000104712725000092/amkr8-kmay2025ex101.htm" TargetMode="External"/><Relationship Id="rId70" Type="http://schemas.openxmlformats.org/officeDocument/2006/relationships/hyperlink" Target="https://www.sec.gov/Archives/edgar/data/1047127/000104712725000152/amkr8-kjune202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2025-07-29T14:37:39Z</dcterms:created>
  <dcterms:modified xsi:type="dcterms:W3CDTF">2025-07-29T14:37:39Z</dcterms:modified>
</cp:coreProperties>
</file>