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166370</wp:posOffset>
            </wp:positionH>
            <wp:positionV relativeFrom="page">
              <wp:posOffset>937895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894715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72" w:lineRule="exact"/>
        <w:rPr>
          <w:sz w:val="24"/>
          <w:szCs w:val="24"/>
          <w:color w:val="auto"/>
        </w:rPr>
      </w:pPr>
    </w:p>
    <w:p>
      <w:pPr>
        <w:ind w:left="660" w:right="260" w:hanging="621"/>
        <w:spacing w:after="0" w:line="256"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660" w:right="240" w:hanging="621"/>
        <w:spacing w:after="0" w:line="256"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jc w:val="center"/>
              <w:ind w:left="293"/>
              <w:spacing w:after="0"/>
              <w:rPr>
                <w:sz w:val="20"/>
                <w:szCs w:val="20"/>
                <w:color w:val="auto"/>
              </w:rPr>
            </w:pPr>
            <w:r>
              <w:rPr>
                <w:rFonts w:ascii="Arial" w:cs="Arial" w:eastAsia="Arial" w:hAnsi="Arial"/>
                <w:sz w:val="18"/>
                <w:szCs w:val="18"/>
                <w:b w:val="1"/>
                <w:bCs w:val="1"/>
                <w:color w:val="auto"/>
                <w:w w:val="91"/>
              </w:rPr>
              <w:t>For the transition period from</w:t>
            </w:r>
          </w:p>
        </w:tc>
        <w:tc>
          <w:tcPr>
            <w:tcW w:w="560" w:type="dxa"/>
            <w:vAlign w:val="bottom"/>
          </w:tcPr>
          <w:p>
            <w:pPr>
              <w:ind w:left="220"/>
              <w:spacing w:after="0"/>
              <w:rPr>
                <w:sz w:val="20"/>
                <w:szCs w:val="20"/>
                <w:color w:val="auto"/>
              </w:rPr>
            </w:pPr>
            <w:r>
              <w:rPr>
                <w:rFonts w:ascii="Arial" w:cs="Arial" w:eastAsia="Arial" w:hAnsi="Arial"/>
                <w:sz w:val="18"/>
                <w:szCs w:val="18"/>
                <w:b w:val="1"/>
                <w:bCs w:val="1"/>
                <w:color w:val="auto"/>
              </w:rPr>
              <w:t>to</w:t>
            </w:r>
          </w:p>
        </w:tc>
        <w:tc>
          <w:tcPr>
            <w:tcW w:w="356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351"/>
        </w:trPr>
        <w:tc>
          <w:tcPr>
            <w:tcW w:w="3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60" w:type="dxa"/>
            <w:vAlign w:val="bottom"/>
          </w:tcPr>
          <w:p>
            <w:pPr>
              <w:jc w:val="center"/>
              <w:ind w:left="238"/>
              <w:spacing w:after="0"/>
              <w:rPr>
                <w:sz w:val="20"/>
                <w:szCs w:val="20"/>
                <w:color w:val="auto"/>
              </w:rPr>
            </w:pPr>
            <w:r>
              <w:rPr>
                <w:rFonts w:ascii="Arial" w:cs="Arial" w:eastAsia="Arial" w:hAnsi="Arial"/>
                <w:sz w:val="18"/>
                <w:szCs w:val="18"/>
                <w:b w:val="1"/>
                <w:bCs w:val="1"/>
                <w:color w:val="auto"/>
                <w:w w:val="90"/>
              </w:rPr>
              <w:t>Commission File Number 000-29472</w:t>
            </w:r>
          </w:p>
        </w:tc>
        <w:tc>
          <w:tcPr>
            <w:tcW w:w="4080" w:type="dxa"/>
            <w:vAlign w:val="bottom"/>
          </w:tcPr>
          <w:p>
            <w:pPr>
              <w:spacing w:after="0"/>
              <w:rPr>
                <w:sz w:val="24"/>
                <w:szCs w:val="24"/>
                <w:color w:val="auto"/>
              </w:rPr>
            </w:pPr>
          </w:p>
        </w:tc>
      </w:tr>
      <w:tr>
        <w:trPr>
          <w:trHeight w:val="589"/>
        </w:trPr>
        <w:tc>
          <w:tcPr>
            <w:tcW w:w="11400" w:type="dxa"/>
            <w:vAlign w:val="bottom"/>
            <w:gridSpan w:val="4"/>
          </w:tcPr>
          <w:p>
            <w:pPr>
              <w:jc w:val="center"/>
              <w:spacing w:after="0"/>
              <w:rPr>
                <w:sz w:val="20"/>
                <w:szCs w:val="20"/>
                <w:color w:val="auto"/>
              </w:rPr>
            </w:pPr>
            <w:r>
              <w:rPr>
                <w:rFonts w:ascii="Arial" w:cs="Arial" w:eastAsia="Arial" w:hAnsi="Arial"/>
                <w:sz w:val="43"/>
                <w:szCs w:val="43"/>
                <w:b w:val="1"/>
                <w:bCs w:val="1"/>
                <w:color w:val="auto"/>
              </w:rPr>
              <w:t>AMKOR TECHNOLOGY, INC.</w:t>
            </w:r>
          </w:p>
        </w:tc>
      </w:tr>
      <w:tr>
        <w:trPr>
          <w:trHeight w:val="182"/>
        </w:trPr>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560" w:type="dxa"/>
            <w:vAlign w:val="bottom"/>
          </w:tcPr>
          <w:p>
            <w:pPr>
              <w:jc w:val="center"/>
              <w:ind w:left="21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4080" w:type="dxa"/>
            <w:vAlign w:val="bottom"/>
          </w:tcPr>
          <w:p>
            <w:pPr>
              <w:spacing w:after="0"/>
              <w:rPr>
                <w:sz w:val="15"/>
                <w:szCs w:val="15"/>
                <w:color w:val="auto"/>
              </w:rPr>
            </w:pPr>
          </w:p>
        </w:tc>
      </w:tr>
      <w:tr>
        <w:trPr>
          <w:trHeight w:val="269"/>
        </w:trPr>
        <w:tc>
          <w:tcPr>
            <w:tcW w:w="3200" w:type="dxa"/>
            <w:vAlign w:val="bottom"/>
          </w:tcPr>
          <w:p>
            <w:pPr>
              <w:jc w:val="center"/>
              <w:ind w:left="333"/>
              <w:spacing w:after="0"/>
              <w:rPr>
                <w:sz w:val="20"/>
                <w:szCs w:val="20"/>
                <w:color w:val="auto"/>
              </w:rPr>
            </w:pPr>
            <w:r>
              <w:rPr>
                <w:rFonts w:ascii="Arial" w:cs="Arial" w:eastAsia="Arial" w:hAnsi="Arial"/>
                <w:sz w:val="18"/>
                <w:szCs w:val="18"/>
                <w:b w:val="1"/>
                <w:bCs w:val="1"/>
                <w:color w:val="auto"/>
                <w:w w:val="91"/>
              </w:rPr>
              <w:t>Delaware</w:t>
            </w:r>
          </w:p>
        </w:tc>
        <w:tc>
          <w:tcPr>
            <w:tcW w:w="5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080" w:type="dxa"/>
            <w:vAlign w:val="bottom"/>
          </w:tcPr>
          <w:p>
            <w:pPr>
              <w:jc w:val="center"/>
              <w:ind w:left="239"/>
              <w:spacing w:after="0"/>
              <w:rPr>
                <w:sz w:val="20"/>
                <w:szCs w:val="20"/>
                <w:color w:val="auto"/>
              </w:rPr>
            </w:pPr>
            <w:r>
              <w:rPr>
                <w:rFonts w:ascii="Arial" w:cs="Arial" w:eastAsia="Arial" w:hAnsi="Arial"/>
                <w:sz w:val="18"/>
                <w:szCs w:val="18"/>
                <w:b w:val="1"/>
                <w:bCs w:val="1"/>
                <w:color w:val="auto"/>
                <w:w w:val="91"/>
              </w:rPr>
              <w:t>23-1722724</w:t>
            </w:r>
          </w:p>
        </w:tc>
      </w:tr>
      <w:tr>
        <w:trPr>
          <w:trHeight w:val="184"/>
        </w:trPr>
        <w:tc>
          <w:tcPr>
            <w:tcW w:w="3200" w:type="dxa"/>
            <w:vAlign w:val="bottom"/>
          </w:tcPr>
          <w:p>
            <w:pPr>
              <w:jc w:val="center"/>
              <w:ind w:left="333"/>
              <w:spacing w:after="0"/>
              <w:rPr>
                <w:sz w:val="20"/>
                <w:szCs w:val="20"/>
                <w:color w:val="auto"/>
              </w:rPr>
            </w:pPr>
            <w:r>
              <w:rPr>
                <w:rFonts w:ascii="Arial" w:cs="Arial" w:eastAsia="Arial" w:hAnsi="Arial"/>
                <w:sz w:val="14"/>
                <w:szCs w:val="14"/>
                <w:i w:val="1"/>
                <w:iCs w:val="1"/>
                <w:color w:val="auto"/>
                <w:w w:val="95"/>
              </w:rPr>
              <w:t>(State of incorporation)</w:t>
            </w:r>
          </w:p>
        </w:tc>
        <w:tc>
          <w:tcPr>
            <w:tcW w:w="5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080" w:type="dxa"/>
            <w:vAlign w:val="bottom"/>
          </w:tcPr>
          <w:p>
            <w:pPr>
              <w:jc w:val="center"/>
              <w:ind w:left="239"/>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080" w:type="dxa"/>
            <w:vAlign w:val="bottom"/>
          </w:tcPr>
          <w:p>
            <w:pPr>
              <w:jc w:val="center"/>
              <w:ind w:left="239"/>
              <w:spacing w:after="0"/>
              <w:rPr>
                <w:sz w:val="20"/>
                <w:szCs w:val="20"/>
                <w:color w:val="auto"/>
              </w:rPr>
            </w:pPr>
            <w:r>
              <w:rPr>
                <w:rFonts w:ascii="Arial" w:cs="Arial" w:eastAsia="Arial" w:hAnsi="Arial"/>
                <w:sz w:val="14"/>
                <w:szCs w:val="14"/>
                <w:i w:val="1"/>
                <w:iCs w:val="1"/>
                <w:color w:val="auto"/>
                <w:w w:val="96"/>
              </w:rPr>
              <w:t>Identification Number)</w:t>
            </w:r>
          </w:p>
        </w:tc>
      </w:tr>
      <w:tr>
        <w:trPr>
          <w:trHeight w:val="318"/>
        </w:trPr>
        <w:tc>
          <w:tcPr>
            <w:tcW w:w="3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60" w:type="dxa"/>
            <w:vAlign w:val="bottom"/>
          </w:tcPr>
          <w:p>
            <w:pPr>
              <w:jc w:val="center"/>
              <w:ind w:left="218"/>
              <w:spacing w:after="0"/>
              <w:rPr>
                <w:sz w:val="20"/>
                <w:szCs w:val="20"/>
                <w:color w:val="auto"/>
              </w:rPr>
            </w:pPr>
            <w:r>
              <w:rPr>
                <w:rFonts w:ascii="Arial" w:cs="Arial" w:eastAsia="Arial" w:hAnsi="Arial"/>
                <w:sz w:val="18"/>
                <w:szCs w:val="18"/>
                <w:b w:val="1"/>
                <w:bCs w:val="1"/>
                <w:color w:val="auto"/>
                <w:w w:val="91"/>
              </w:rPr>
              <w:t>2045 East Innovation Circle</w:t>
            </w:r>
          </w:p>
        </w:tc>
        <w:tc>
          <w:tcPr>
            <w:tcW w:w="408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60" w:type="dxa"/>
            <w:vAlign w:val="bottom"/>
          </w:tcPr>
          <w:p>
            <w:pPr>
              <w:jc w:val="center"/>
              <w:ind w:left="218"/>
              <w:spacing w:after="0"/>
              <w:rPr>
                <w:sz w:val="20"/>
                <w:szCs w:val="20"/>
                <w:color w:val="auto"/>
              </w:rPr>
            </w:pPr>
            <w:r>
              <w:rPr>
                <w:rFonts w:ascii="Arial" w:cs="Arial" w:eastAsia="Arial" w:hAnsi="Arial"/>
                <w:sz w:val="18"/>
                <w:szCs w:val="18"/>
                <w:b w:val="1"/>
                <w:bCs w:val="1"/>
                <w:color w:val="auto"/>
                <w:w w:val="91"/>
              </w:rPr>
              <w:t>Tempe, AZ 85284</w:t>
            </w:r>
          </w:p>
        </w:tc>
        <w:tc>
          <w:tcPr>
            <w:tcW w:w="4080" w:type="dxa"/>
            <w:vAlign w:val="bottom"/>
          </w:tcPr>
          <w:p>
            <w:pPr>
              <w:spacing w:after="0"/>
              <w:rPr>
                <w:sz w:val="18"/>
                <w:szCs w:val="18"/>
                <w:color w:val="auto"/>
              </w:rPr>
            </w:pPr>
          </w:p>
        </w:tc>
      </w:tr>
      <w:tr>
        <w:trPr>
          <w:trHeight w:val="182"/>
        </w:trPr>
        <w:tc>
          <w:tcPr>
            <w:tcW w:w="3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560" w:type="dxa"/>
            <w:vAlign w:val="bottom"/>
          </w:tcPr>
          <w:p>
            <w:pPr>
              <w:jc w:val="center"/>
              <w:ind w:left="218"/>
              <w:spacing w:after="0"/>
              <w:rPr>
                <w:sz w:val="20"/>
                <w:szCs w:val="20"/>
                <w:color w:val="auto"/>
              </w:rPr>
            </w:pPr>
            <w:r>
              <w:rPr>
                <w:rFonts w:ascii="Arial" w:cs="Arial" w:eastAsia="Arial" w:hAnsi="Arial"/>
                <w:sz w:val="14"/>
                <w:szCs w:val="14"/>
                <w:i w:val="1"/>
                <w:iCs w:val="1"/>
                <w:color w:val="auto"/>
                <w:w w:val="93"/>
              </w:rPr>
              <w:t>(Address of principal executive offices and zip code)</w:t>
            </w:r>
          </w:p>
        </w:tc>
        <w:tc>
          <w:tcPr>
            <w:tcW w:w="4080" w:type="dxa"/>
            <w:vAlign w:val="bottom"/>
          </w:tcPr>
          <w:p>
            <w:pPr>
              <w:spacing w:after="0"/>
              <w:rPr>
                <w:sz w:val="15"/>
                <w:szCs w:val="15"/>
                <w:color w:val="auto"/>
              </w:rPr>
            </w:pPr>
          </w:p>
        </w:tc>
      </w:tr>
      <w:tr>
        <w:trPr>
          <w:trHeight w:val="323"/>
        </w:trPr>
        <w:tc>
          <w:tcPr>
            <w:tcW w:w="3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60" w:type="dxa"/>
            <w:vAlign w:val="bottom"/>
          </w:tcPr>
          <w:p>
            <w:pPr>
              <w:jc w:val="center"/>
              <w:ind w:left="238"/>
              <w:spacing w:after="0"/>
              <w:rPr>
                <w:sz w:val="20"/>
                <w:szCs w:val="20"/>
                <w:color w:val="auto"/>
              </w:rPr>
            </w:pPr>
            <w:r>
              <w:rPr>
                <w:rFonts w:ascii="Arial" w:cs="Arial" w:eastAsia="Arial" w:hAnsi="Arial"/>
                <w:sz w:val="18"/>
                <w:szCs w:val="18"/>
                <w:b w:val="1"/>
                <w:bCs w:val="1"/>
                <w:color w:val="auto"/>
                <w:w w:val="90"/>
              </w:rPr>
              <w:t>(480) 821-5000</w:t>
            </w:r>
          </w:p>
        </w:tc>
        <w:tc>
          <w:tcPr>
            <w:tcW w:w="4080" w:type="dxa"/>
            <w:vAlign w:val="bottom"/>
          </w:tcPr>
          <w:p>
            <w:pPr>
              <w:spacing w:after="0"/>
              <w:rPr>
                <w:sz w:val="24"/>
                <w:szCs w:val="24"/>
                <w:color w:val="auto"/>
              </w:rPr>
            </w:pPr>
          </w:p>
        </w:tc>
      </w:tr>
      <w:tr>
        <w:trPr>
          <w:trHeight w:val="218"/>
        </w:trPr>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60" w:type="dxa"/>
            <w:vAlign w:val="bottom"/>
          </w:tcPr>
          <w:p>
            <w:pPr>
              <w:jc w:val="center"/>
              <w:ind w:left="218"/>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40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40" w:type="dxa"/>
            <w:vAlign w:val="bottom"/>
            <w:gridSpan w:val="2"/>
          </w:tcPr>
          <w:p>
            <w:pPr>
              <w:jc w:val="center"/>
              <w:ind w:right="3679"/>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305"/>
        </w:trPr>
        <w:tc>
          <w:tcPr>
            <w:tcW w:w="3200" w:type="dxa"/>
            <w:vAlign w:val="bottom"/>
          </w:tcPr>
          <w:p>
            <w:pPr>
              <w:jc w:val="center"/>
              <w:ind w:left="1293"/>
              <w:spacing w:after="0"/>
              <w:rPr>
                <w:sz w:val="20"/>
                <w:szCs w:val="20"/>
                <w:color w:val="auto"/>
              </w:rPr>
            </w:pPr>
            <w:r>
              <w:rPr>
                <w:rFonts w:ascii="Arial" w:cs="Arial" w:eastAsia="Arial" w:hAnsi="Arial"/>
                <w:sz w:val="17"/>
                <w:szCs w:val="17"/>
                <w:b w:val="1"/>
                <w:bCs w:val="1"/>
                <w:color w:val="auto"/>
                <w:w w:val="89"/>
              </w:rPr>
              <w:t>Title of Each Class</w:t>
            </w:r>
          </w:p>
        </w:tc>
        <w:tc>
          <w:tcPr>
            <w:tcW w:w="560" w:type="dxa"/>
            <w:vAlign w:val="bottom"/>
          </w:tcPr>
          <w:p>
            <w:pPr>
              <w:spacing w:after="0"/>
              <w:rPr>
                <w:sz w:val="24"/>
                <w:szCs w:val="24"/>
                <w:color w:val="auto"/>
              </w:rPr>
            </w:pPr>
          </w:p>
        </w:tc>
        <w:tc>
          <w:tcPr>
            <w:tcW w:w="3560" w:type="dxa"/>
            <w:vAlign w:val="bottom"/>
          </w:tcPr>
          <w:p>
            <w:pPr>
              <w:jc w:val="center"/>
              <w:ind w:left="258"/>
              <w:spacing w:after="0"/>
              <w:rPr>
                <w:sz w:val="20"/>
                <w:szCs w:val="20"/>
                <w:color w:val="auto"/>
              </w:rPr>
            </w:pPr>
            <w:r>
              <w:rPr>
                <w:rFonts w:ascii="Arial" w:cs="Arial" w:eastAsia="Arial" w:hAnsi="Arial"/>
                <w:sz w:val="17"/>
                <w:szCs w:val="17"/>
                <w:b w:val="1"/>
                <w:bCs w:val="1"/>
                <w:color w:val="auto"/>
                <w:w w:val="91"/>
              </w:rPr>
              <w:t>Trading Symbol</w:t>
            </w:r>
          </w:p>
        </w:tc>
        <w:tc>
          <w:tcPr>
            <w:tcW w:w="4080" w:type="dxa"/>
            <w:vAlign w:val="bottom"/>
          </w:tcPr>
          <w:p>
            <w:pPr>
              <w:jc w:val="center"/>
              <w:ind w:right="439"/>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31"/>
        </w:trPr>
        <w:tc>
          <w:tcPr>
            <w:tcW w:w="3760" w:type="dxa"/>
            <w:vAlign w:val="bottom"/>
            <w:tcBorders>
              <w:bottom w:val="single" w:sz="8" w:color="auto"/>
            </w:tcBorders>
            <w:gridSpan w:val="2"/>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19"/>
        </w:trPr>
        <w:tc>
          <w:tcPr>
            <w:tcW w:w="3760" w:type="dxa"/>
            <w:vAlign w:val="bottom"/>
            <w:gridSpan w:val="2"/>
          </w:tcPr>
          <w:p>
            <w:pPr>
              <w:jc w:val="center"/>
              <w:ind w:left="753"/>
              <w:spacing w:after="0"/>
              <w:rPr>
                <w:sz w:val="20"/>
                <w:szCs w:val="20"/>
                <w:color w:val="auto"/>
              </w:rPr>
            </w:pPr>
            <w:r>
              <w:rPr>
                <w:rFonts w:ascii="Arial" w:cs="Arial" w:eastAsia="Arial" w:hAnsi="Arial"/>
                <w:sz w:val="17"/>
                <w:szCs w:val="17"/>
                <w:color w:val="auto"/>
                <w:w w:val="91"/>
              </w:rPr>
              <w:t>Common Stock, $0.001 par value</w:t>
            </w:r>
          </w:p>
        </w:tc>
        <w:tc>
          <w:tcPr>
            <w:tcW w:w="3560" w:type="dxa"/>
            <w:vAlign w:val="bottom"/>
          </w:tcPr>
          <w:p>
            <w:pPr>
              <w:jc w:val="center"/>
              <w:ind w:left="278"/>
              <w:spacing w:after="0"/>
              <w:rPr>
                <w:sz w:val="20"/>
                <w:szCs w:val="20"/>
                <w:color w:val="auto"/>
              </w:rPr>
            </w:pPr>
            <w:r>
              <w:rPr>
                <w:rFonts w:ascii="Arial" w:cs="Arial" w:eastAsia="Arial" w:hAnsi="Arial"/>
                <w:sz w:val="17"/>
                <w:szCs w:val="17"/>
                <w:color w:val="auto"/>
              </w:rPr>
              <w:t>AMKR</w:t>
            </w:r>
          </w:p>
        </w:tc>
        <w:tc>
          <w:tcPr>
            <w:tcW w:w="4080" w:type="dxa"/>
            <w:vAlign w:val="bottom"/>
          </w:tcPr>
          <w:p>
            <w:pPr>
              <w:jc w:val="center"/>
              <w:ind w:right="439"/>
              <w:spacing w:after="0"/>
              <w:rPr>
                <w:sz w:val="20"/>
                <w:szCs w:val="20"/>
                <w:color w:val="auto"/>
              </w:rPr>
            </w:pPr>
            <w:r>
              <w:rPr>
                <w:rFonts w:ascii="Arial" w:cs="Arial" w:eastAsia="Arial" w:hAnsi="Arial"/>
                <w:sz w:val="17"/>
                <w:szCs w:val="17"/>
                <w:color w:val="auto"/>
                <w:w w:val="93"/>
              </w:rPr>
              <w:t>The NASDAQ Global Select Market</w:t>
            </w:r>
          </w:p>
        </w:tc>
      </w:tr>
    </w:tbl>
    <w:p>
      <w:pPr>
        <w:spacing w:after="0" w:line="200" w:lineRule="exact"/>
        <w:rPr>
          <w:sz w:val="24"/>
          <w:szCs w:val="24"/>
          <w:color w:val="auto"/>
        </w:rPr>
      </w:pPr>
    </w:p>
    <w:p>
      <w:pPr>
        <w:spacing w:after="0" w:line="218"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89" w:lineRule="exact"/>
        <w:rPr>
          <w:sz w:val="24"/>
          <w:szCs w:val="24"/>
          <w:color w:val="auto"/>
        </w:rPr>
      </w:pPr>
    </w:p>
    <w:p>
      <w:pPr>
        <w:jc w:val="both"/>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180" w:type="dxa"/>
        <w:tblCellMar>
          <w:top w:w="0" w:type="dxa"/>
          <w:left w:w="0" w:type="dxa"/>
          <w:bottom w:w="0" w:type="dxa"/>
          <w:right w:w="0" w:type="dxa"/>
        </w:tblCellMar>
      </w:tblPr>
      <w:tr>
        <w:trPr>
          <w:trHeight w:val="243"/>
        </w:trPr>
        <w:tc>
          <w:tcPr>
            <w:tcW w:w="2100" w:type="dxa"/>
            <w:vAlign w:val="bottom"/>
          </w:tcPr>
          <w:p>
            <w:pPr>
              <w:ind w:left="1820"/>
              <w:spacing w:after="0" w:line="171" w:lineRule="exact"/>
              <w:rPr>
                <w:sz w:val="20"/>
                <w:szCs w:val="20"/>
                <w:color w:val="auto"/>
              </w:rPr>
            </w:pPr>
            <w:r>
              <w:rPr>
                <w:rFonts w:ascii="MS PGothic" w:cs="MS PGothic" w:eastAsia="MS PGothic" w:hAnsi="MS PGothic"/>
                <w:sz w:val="17"/>
                <w:szCs w:val="17"/>
                <w:color w:val="auto"/>
              </w:rPr>
              <w:t>☑</w:t>
            </w:r>
          </w:p>
        </w:tc>
        <w:tc>
          <w:tcPr>
            <w:tcW w:w="1380" w:type="dxa"/>
            <w:vAlign w:val="bottom"/>
          </w:tcPr>
          <w:p>
            <w:pPr>
              <w:spacing w:after="0"/>
              <w:rPr>
                <w:sz w:val="21"/>
                <w:szCs w:val="21"/>
                <w:color w:val="auto"/>
              </w:rPr>
            </w:pPr>
          </w:p>
        </w:tc>
        <w:tc>
          <w:tcPr>
            <w:tcW w:w="2100" w:type="dxa"/>
            <w:vAlign w:val="bottom"/>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2620" w:type="dxa"/>
            <w:vAlign w:val="bottom"/>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460" w:type="dxa"/>
            <w:vAlign w:val="bottom"/>
          </w:tcPr>
          <w:p>
            <w:pPr>
              <w:ind w:left="1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2460" w:type="dxa"/>
            <w:vAlign w:val="bottom"/>
          </w:tcPr>
          <w:p>
            <w:pPr>
              <w:ind w:left="230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16"/>
        </w:trPr>
        <w:tc>
          <w:tcPr>
            <w:tcW w:w="21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380" w:type="dxa"/>
            <w:vAlign w:val="bottom"/>
          </w:tcPr>
          <w:p>
            <w:pPr>
              <w:ind w:left="120"/>
              <w:spacing w:after="0"/>
              <w:rPr>
                <w:sz w:val="20"/>
                <w:szCs w:val="20"/>
                <w:color w:val="auto"/>
              </w:rPr>
            </w:pPr>
            <w:r>
              <w:rPr>
                <w:rFonts w:ascii="Arial" w:cs="Arial" w:eastAsia="Arial" w:hAnsi="Arial"/>
                <w:sz w:val="17"/>
                <w:szCs w:val="17"/>
                <w:color w:val="auto"/>
              </w:rPr>
              <w:t>Accelerated filer</w:t>
            </w:r>
          </w:p>
        </w:tc>
        <w:tc>
          <w:tcPr>
            <w:tcW w:w="2100" w:type="dxa"/>
            <w:vAlign w:val="bottom"/>
          </w:tcPr>
          <w:p>
            <w:pPr>
              <w:ind w:left="520"/>
              <w:spacing w:after="0"/>
              <w:rPr>
                <w:sz w:val="20"/>
                <w:szCs w:val="20"/>
                <w:color w:val="auto"/>
              </w:rPr>
            </w:pPr>
            <w:r>
              <w:rPr>
                <w:rFonts w:ascii="Arial" w:cs="Arial" w:eastAsia="Arial" w:hAnsi="Arial"/>
                <w:sz w:val="17"/>
                <w:szCs w:val="17"/>
                <w:color w:val="auto"/>
                <w:w w:val="99"/>
              </w:rPr>
              <w:t>Non-accelerated filer</w:t>
            </w:r>
          </w:p>
        </w:tc>
        <w:tc>
          <w:tcPr>
            <w:tcW w:w="2620" w:type="dxa"/>
            <w:vAlign w:val="bottom"/>
          </w:tcPr>
          <w:p>
            <w:pPr>
              <w:ind w:left="580"/>
              <w:spacing w:after="0"/>
              <w:rPr>
                <w:sz w:val="20"/>
                <w:szCs w:val="20"/>
                <w:color w:val="auto"/>
              </w:rPr>
            </w:pPr>
            <w:r>
              <w:rPr>
                <w:rFonts w:ascii="Arial" w:cs="Arial" w:eastAsia="Arial" w:hAnsi="Arial"/>
                <w:sz w:val="17"/>
                <w:szCs w:val="17"/>
                <w:color w:val="auto"/>
                <w:w w:val="99"/>
              </w:rPr>
              <w:t>Smaller reporting company</w:t>
            </w:r>
          </w:p>
        </w:tc>
        <w:tc>
          <w:tcPr>
            <w:tcW w:w="460" w:type="dxa"/>
            <w:vAlign w:val="bottom"/>
          </w:tcPr>
          <w:p>
            <w:pPr>
              <w:spacing w:after="0"/>
              <w:rPr>
                <w:sz w:val="18"/>
                <w:szCs w:val="18"/>
                <w:color w:val="auto"/>
              </w:rPr>
            </w:pPr>
          </w:p>
        </w:tc>
        <w:tc>
          <w:tcPr>
            <w:tcW w:w="2460" w:type="dxa"/>
            <w:vAlign w:val="bottom"/>
          </w:tcPr>
          <w:p>
            <w:pPr>
              <w:ind w:left="140"/>
              <w:spacing w:after="0"/>
              <w:rPr>
                <w:sz w:val="20"/>
                <w:szCs w:val="20"/>
                <w:color w:val="auto"/>
              </w:rPr>
            </w:pPr>
            <w:r>
              <w:rPr>
                <w:rFonts w:ascii="Arial" w:cs="Arial" w:eastAsia="Arial" w:hAnsi="Arial"/>
                <w:sz w:val="17"/>
                <w:szCs w:val="17"/>
                <w:color w:val="auto"/>
              </w:rPr>
              <w:t>Emerging growth company</w:t>
            </w:r>
          </w:p>
        </w:tc>
      </w:tr>
    </w:tbl>
    <w:p>
      <w:pPr>
        <w:spacing w:after="0" w:line="121"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0" w:lineRule="exact"/>
        <w:rPr>
          <w:sz w:val="24"/>
          <w:szCs w:val="24"/>
          <w:color w:val="auto"/>
        </w:rPr>
      </w:pPr>
    </w:p>
    <w:p>
      <w:pPr>
        <w:ind w:right="2620"/>
        <w:spacing w:after="0" w:line="28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outstanding shares of the registrant’s Common Stock as of October 25, 2019 was 239,783,075.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1062355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45720</wp:posOffset>
            </wp:positionV>
            <wp:extent cx="72294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20320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80"/>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Quarter Ended September 30, 2019</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01"/>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80" w:type="dxa"/>
            <w:vAlign w:val="bottom"/>
            <w:gridSpan w:val="12"/>
          </w:tcPr>
          <w:p>
            <w:pPr>
              <w:jc w:val="center"/>
              <w:ind w:right="3300"/>
              <w:spacing w:after="0" w:line="201" w:lineRule="exact"/>
              <w:rPr>
                <w:rFonts w:ascii="Arial" w:cs="Arial" w:eastAsia="Arial" w:hAnsi="Arial"/>
                <w:sz w:val="18"/>
                <w:szCs w:val="18"/>
                <w:b w:val="1"/>
                <w:bCs w:val="1"/>
                <w:color w:val="0000FF"/>
                <w:w w:val="94"/>
              </w:rPr>
            </w:pPr>
            <w:hyperlink w:anchor="page2">
              <w:r>
                <w:rPr>
                  <w:rFonts w:ascii="Arial" w:cs="Arial" w:eastAsia="Arial" w:hAnsi="Arial"/>
                  <w:sz w:val="18"/>
                  <w:szCs w:val="18"/>
                  <w:b w:val="1"/>
                  <w:bCs w:val="1"/>
                  <w:color w:val="0000FF"/>
                  <w:w w:val="94"/>
                </w:rPr>
                <w:t>PART I. Financial Information</w:t>
              </w:r>
            </w:hyperlink>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98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3500" w:type="dxa"/>
            <w:vAlign w:val="bottom"/>
            <w:gridSpan w:val="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380" w:type="dxa"/>
            <w:vAlign w:val="bottom"/>
            <w:tcBorders>
              <w:top w:val="single" w:sz="8" w:color="0000FF"/>
            </w:tcBorders>
            <w:gridSpan w:val="6"/>
          </w:tcPr>
          <w:p>
            <w:pPr>
              <w:spacing w:after="0"/>
              <w:rPr>
                <w:sz w:val="18"/>
                <w:szCs w:val="18"/>
                <w:color w:val="auto"/>
              </w:rPr>
            </w:pPr>
          </w:p>
        </w:tc>
        <w:tc>
          <w:tcPr>
            <w:tcW w:w="3300" w:type="dxa"/>
            <w:vAlign w:val="bottom"/>
            <w:gridSpan w:val="6"/>
          </w:tcPr>
          <w:p>
            <w:pPr>
              <w:spacing w:after="0"/>
              <w:rPr>
                <w:sz w:val="18"/>
                <w:szCs w:val="18"/>
                <w:color w:val="auto"/>
              </w:rPr>
            </w:pPr>
          </w:p>
        </w:tc>
        <w:tc>
          <w:tcPr>
            <w:tcW w:w="12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Statements of Income - Three and Nine Months Ended September 30, 2019 and 2018</w:t>
              </w:r>
            </w:hyperlink>
          </w:p>
        </w:tc>
        <w:tc>
          <w:tcPr>
            <w:tcW w:w="2040" w:type="dxa"/>
            <w:vAlign w:val="bottom"/>
            <w:gridSpan w:val="4"/>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180" w:type="dxa"/>
            <w:vAlign w:val="bottom"/>
            <w:gridSpan w:val="19"/>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Consolidated Statements of Comprehensive Income - Three and Nine Months Ended September 30, 2019 and 2018</w:t>
              </w:r>
            </w:hyperlink>
          </w:p>
        </w:tc>
        <w:tc>
          <w:tcPr>
            <w:tcW w:w="12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00" w:type="dxa"/>
            <w:vAlign w:val="bottom"/>
            <w:tcBorders>
              <w:top w:val="single" w:sz="8" w:color="0000FF"/>
            </w:tcBorders>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Balance Sheets - September 30, 2019 and December 31, 2018</w:t>
              </w:r>
            </w:hyperlink>
          </w:p>
        </w:tc>
        <w:tc>
          <w:tcPr>
            <w:tcW w:w="8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4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Consolidated Statements of Stockholders’ Equity — Three and Nine Months Ended September 30, 2019 and 2018</w:t>
              </w:r>
            </w:hyperlink>
          </w:p>
        </w:tc>
        <w:tc>
          <w:tcPr>
            <w:tcW w:w="9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Cash Flows - Nine Months Ended September 30, 2019 and 2018</w:t>
              </w:r>
            </w:hyperlink>
          </w:p>
        </w:tc>
        <w:tc>
          <w:tcPr>
            <w:tcW w:w="1660" w:type="dxa"/>
            <w:vAlign w:val="bottom"/>
            <w:gridSpan w:val="3"/>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18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w:t>
              </w:r>
            </w:hyperlink>
          </w:p>
        </w:tc>
        <w:tc>
          <w:tcPr>
            <w:tcW w:w="120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980" w:type="dxa"/>
            <w:vAlign w:val="bottom"/>
            <w:gridSpan w:val="4"/>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Item 2.</w:t>
              </w:r>
            </w:hyperlink>
          </w:p>
        </w:tc>
        <w:tc>
          <w:tcPr>
            <w:tcW w:w="9180" w:type="dxa"/>
            <w:vAlign w:val="bottom"/>
            <w:gridSpan w:val="19"/>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20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640" w:type="dxa"/>
            <w:vAlign w:val="bottom"/>
            <w:tcBorders>
              <w:bottom w:val="single" w:sz="8" w:color="0000FF"/>
            </w:tcBorders>
            <w:gridSpan w:val="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3.</w:t>
              </w:r>
            </w:hyperlink>
          </w:p>
        </w:tc>
        <w:tc>
          <w:tcPr>
            <w:tcW w:w="340" w:type="dxa"/>
            <w:vAlign w:val="bottom"/>
            <w:gridSpan w:val="2"/>
          </w:tcPr>
          <w:p>
            <w:pPr>
              <w:spacing w:after="0"/>
              <w:rPr>
                <w:sz w:val="18"/>
                <w:szCs w:val="18"/>
                <w:color w:val="auto"/>
              </w:rPr>
            </w:pPr>
          </w:p>
        </w:tc>
        <w:tc>
          <w:tcPr>
            <w:tcW w:w="43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28">
              <w:r>
                <w:rPr>
                  <w:rFonts w:ascii="Arial" w:cs="Arial" w:eastAsia="Arial" w:hAnsi="Arial"/>
                  <w:sz w:val="18"/>
                  <w:szCs w:val="18"/>
                  <w:color w:val="0000FF"/>
                  <w:w w:val="92"/>
                </w:rPr>
                <w:t>Quantitative and Qualitative Disclosures About Market Risk</w:t>
              </w:r>
            </w:hyperlink>
          </w:p>
        </w:tc>
        <w:tc>
          <w:tcPr>
            <w:tcW w:w="4820" w:type="dxa"/>
            <w:vAlign w:val="bottom"/>
            <w:gridSpan w:val="9"/>
          </w:tcPr>
          <w:p>
            <w:pPr>
              <w:spacing w:after="0"/>
              <w:rPr>
                <w:sz w:val="18"/>
                <w:szCs w:val="18"/>
                <w:color w:val="auto"/>
              </w:rPr>
            </w:pPr>
          </w:p>
        </w:tc>
        <w:tc>
          <w:tcPr>
            <w:tcW w:w="120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10"/>
        </w:trPr>
        <w:tc>
          <w:tcPr>
            <w:tcW w:w="980" w:type="dxa"/>
            <w:vAlign w:val="bottom"/>
            <w:gridSpan w:val="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4.</w:t>
              </w:r>
            </w:hyperlink>
          </w:p>
        </w:tc>
        <w:tc>
          <w:tcPr>
            <w:tcW w:w="9180" w:type="dxa"/>
            <w:vAlign w:val="bottom"/>
            <w:gridSpan w:val="1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12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480"/>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11"/>
          </w:tcPr>
          <w:p>
            <w:pPr>
              <w:jc w:val="center"/>
              <w:ind w:right="3400"/>
              <w:spacing w:after="0"/>
              <w:rPr>
                <w:rFonts w:ascii="Arial" w:cs="Arial" w:eastAsia="Arial" w:hAnsi="Arial"/>
                <w:sz w:val="18"/>
                <w:szCs w:val="18"/>
                <w:b w:val="1"/>
                <w:bCs w:val="1"/>
                <w:color w:val="0000FF"/>
                <w:w w:val="96"/>
              </w:rPr>
            </w:pPr>
            <w:hyperlink w:anchor="page30">
              <w:r>
                <w:rPr>
                  <w:rFonts w:ascii="Arial" w:cs="Arial" w:eastAsia="Arial" w:hAnsi="Arial"/>
                  <w:sz w:val="18"/>
                  <w:szCs w:val="18"/>
                  <w:b w:val="1"/>
                  <w:bCs w:val="1"/>
                  <w:color w:val="0000FF"/>
                  <w:w w:val="96"/>
                </w:rPr>
                <w:t>PART II. Other Information</w:t>
              </w:r>
            </w:hyperlink>
          </w:p>
        </w:tc>
        <w:tc>
          <w:tcPr>
            <w:tcW w:w="10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10"/>
        </w:trPr>
        <w:tc>
          <w:tcPr>
            <w:tcW w:w="98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1.</w:t>
              </w:r>
            </w:hyperlink>
          </w:p>
        </w:tc>
        <w:tc>
          <w:tcPr>
            <w:tcW w:w="3600" w:type="dxa"/>
            <w:vAlign w:val="bottom"/>
            <w:gridSpan w:val="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2180" w:type="dxa"/>
            <w:vAlign w:val="bottom"/>
            <w:tcBorders>
              <w:top w:val="single" w:sz="8" w:color="0000FF"/>
            </w:tcBorders>
            <w:gridSpan w:val="4"/>
          </w:tcPr>
          <w:p>
            <w:pPr>
              <w:spacing w:after="0"/>
              <w:rPr>
                <w:sz w:val="18"/>
                <w:szCs w:val="18"/>
                <w:color w:val="auto"/>
              </w:rPr>
            </w:pPr>
          </w:p>
        </w:tc>
        <w:tc>
          <w:tcPr>
            <w:tcW w:w="3400" w:type="dxa"/>
            <w:vAlign w:val="bottom"/>
            <w:gridSpan w:val="7"/>
          </w:tcPr>
          <w:p>
            <w:pPr>
              <w:spacing w:after="0"/>
              <w:rPr>
                <w:sz w:val="18"/>
                <w:szCs w:val="18"/>
                <w:color w:val="auto"/>
              </w:rPr>
            </w:pPr>
          </w:p>
        </w:tc>
        <w:tc>
          <w:tcPr>
            <w:tcW w:w="120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Item 1A.</w:t>
              </w:r>
            </w:hyperlink>
          </w:p>
        </w:tc>
        <w:tc>
          <w:tcPr>
            <w:tcW w:w="340" w:type="dxa"/>
            <w:vAlign w:val="bottom"/>
            <w:gridSpan w:val="2"/>
          </w:tcPr>
          <w:p>
            <w:pPr>
              <w:spacing w:after="0"/>
              <w:rPr>
                <w:sz w:val="18"/>
                <w:szCs w:val="18"/>
                <w:color w:val="auto"/>
              </w:rPr>
            </w:pPr>
          </w:p>
        </w:tc>
        <w:tc>
          <w:tcPr>
            <w:tcW w:w="918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120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640" w:type="dxa"/>
            <w:vAlign w:val="bottom"/>
            <w:gridSpan w:val="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2.</w:t>
              </w:r>
            </w:hyperlink>
          </w:p>
        </w:tc>
        <w:tc>
          <w:tcPr>
            <w:tcW w:w="340" w:type="dxa"/>
            <w:vAlign w:val="bottom"/>
            <w:gridSpan w:val="2"/>
          </w:tcPr>
          <w:p>
            <w:pPr>
              <w:spacing w:after="0"/>
              <w:rPr>
                <w:sz w:val="18"/>
                <w:szCs w:val="18"/>
                <w:color w:val="auto"/>
              </w:rPr>
            </w:pPr>
          </w:p>
        </w:tc>
        <w:tc>
          <w:tcPr>
            <w:tcW w:w="9180" w:type="dxa"/>
            <w:vAlign w:val="bottom"/>
            <w:gridSpan w:val="1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Unregistered Sales of Equity Securities and Use of Proceeds</w:t>
              </w:r>
            </w:hyperlink>
          </w:p>
        </w:tc>
        <w:tc>
          <w:tcPr>
            <w:tcW w:w="120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8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3.</w:t>
              </w:r>
            </w:hyperlink>
          </w:p>
        </w:tc>
        <w:tc>
          <w:tcPr>
            <w:tcW w:w="918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Defaults Upon Senior Securities</w:t>
              </w:r>
            </w:hyperlink>
          </w:p>
        </w:tc>
        <w:tc>
          <w:tcPr>
            <w:tcW w:w="120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8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4.</w:t>
              </w:r>
            </w:hyperlink>
          </w:p>
        </w:tc>
        <w:tc>
          <w:tcPr>
            <w:tcW w:w="918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Mine Safety Disclosures</w:t>
              </w:r>
            </w:hyperlink>
          </w:p>
        </w:tc>
        <w:tc>
          <w:tcPr>
            <w:tcW w:w="120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80" w:type="dxa"/>
            <w:vAlign w:val="bottom"/>
            <w:gridSpan w:val="4"/>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Item 5.</w:t>
              </w:r>
            </w:hyperlink>
          </w:p>
        </w:tc>
        <w:tc>
          <w:tcPr>
            <w:tcW w:w="9180" w:type="dxa"/>
            <w:vAlign w:val="bottom"/>
            <w:gridSpan w:val="1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120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6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980" w:type="dxa"/>
            <w:vAlign w:val="bottom"/>
            <w:gridSpan w:val="4"/>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6.</w:t>
              </w:r>
            </w:hyperlink>
          </w:p>
        </w:tc>
        <w:tc>
          <w:tcPr>
            <w:tcW w:w="9180" w:type="dxa"/>
            <w:vAlign w:val="bottom"/>
            <w:gridSpan w:val="19"/>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Exhibits</w:t>
              </w:r>
            </w:hyperlink>
          </w:p>
        </w:tc>
        <w:tc>
          <w:tcPr>
            <w:tcW w:w="120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760" w:type="dxa"/>
            <w:vAlign w:val="bottom"/>
            <w:gridSpan w:val="3"/>
          </w:tcPr>
          <w:p>
            <w:pPr>
              <w:spacing w:after="0"/>
              <w:rPr>
                <w:rFonts w:ascii="Arial" w:cs="Arial" w:eastAsia="Arial" w:hAnsi="Arial"/>
                <w:sz w:val="18"/>
                <w:szCs w:val="18"/>
                <w:color w:val="0000FF"/>
                <w:w w:val="85"/>
              </w:rPr>
            </w:pPr>
            <w:hyperlink w:anchor="page49">
              <w:r>
                <w:rPr>
                  <w:rFonts w:ascii="Arial" w:cs="Arial" w:eastAsia="Arial" w:hAnsi="Arial"/>
                  <w:sz w:val="18"/>
                  <w:szCs w:val="18"/>
                  <w:color w:val="0000FF"/>
                  <w:w w:val="85"/>
                </w:rPr>
                <w:t>Signatures</w:t>
              </w:r>
            </w:hyperlink>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but not limited to statements regarding (1) the amount, timing and focus of our expected capital investments in 2019 including expenditures in support of advanced packaging and test equipment, (2) our ability to fund our operating activities and financial requirements for the next twelve months, (3) the effect of changes in revenue levels and capacity utilization on our gross margin, (4) the focus of our research and development activities, (5) the anticipated impact of the Tax Cuts and Jobs Act (the “Tax Act”) on our taxes, (6) the grant and expiration of tax holidays in jurisdictions in which we operate and expectations regarding our effective tax rate and the availability of tax incentives, (7) the creation or release of valuation allowances related to taxes in the future, (8) our repurchase or repayment of outstanding debt, (9) payment of dividends, (10) compliance with our debt covenants, (11) expected contributions to foreign pension plans,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in mobile and automotive devices and our technology leadership and potential growth in this market, and (18)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II, Item 1A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296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96"/>
        </w:trPr>
        <w:tc>
          <w:tcPr>
            <w:tcW w:w="49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196"/>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1,083,917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1,144,192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2,874,186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3,235,195</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901,677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943,485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2,447,731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2,707,000</w:t>
            </w:r>
          </w:p>
        </w:tc>
      </w:tr>
      <w:tr>
        <w:trPr>
          <w:trHeight w:val="27"/>
        </w:trPr>
        <w:tc>
          <w:tcPr>
            <w:tcW w:w="4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182,240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200,707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426,455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528,195</w:t>
            </w: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70,458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70,463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206,803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225,886</w:t>
            </w: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32,927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37,541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104,867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119,546</w:t>
            </w:r>
          </w:p>
        </w:tc>
      </w:tr>
      <w:tr>
        <w:trPr>
          <w:trHeight w:val="237"/>
        </w:trPr>
        <w:tc>
          <w:tcPr>
            <w:tcW w:w="49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103,385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108,004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311,670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345,432</w:t>
            </w:r>
          </w:p>
        </w:tc>
      </w:tr>
      <w:tr>
        <w:trPr>
          <w:trHeight w:val="27"/>
        </w:trPr>
        <w:tc>
          <w:tcPr>
            <w:tcW w:w="4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78,855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182,763</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16,988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19,770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54,914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60,908</w:t>
            </w: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(6,254)</w:t>
            </w:r>
          </w:p>
        </w:tc>
      </w:tr>
      <w:tr>
        <w:trPr>
          <w:trHeight w:val="237"/>
        </w:trPr>
        <w:tc>
          <w:tcPr>
            <w:tcW w:w="4980" w:type="dxa"/>
            <w:vAlign w:val="bottom"/>
          </w:tcPr>
          <w:p>
            <w:pPr>
              <w:ind w:left="22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15,228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21,085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55,555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54,654</w:t>
            </w:r>
          </w:p>
        </w:tc>
      </w:tr>
      <w:tr>
        <w:trPr>
          <w:trHeight w:val="27"/>
        </w:trPr>
        <w:tc>
          <w:tcPr>
            <w:tcW w:w="4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before taxes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63,627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128,109</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9,141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14,326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36,418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27,438</w:t>
            </w:r>
          </w:p>
        </w:tc>
      </w:tr>
      <w:tr>
        <w:trPr>
          <w:trHeight w:val="27"/>
        </w:trPr>
        <w:tc>
          <w:tcPr>
            <w:tcW w:w="4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54,486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100,671</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(1,874)</w:t>
            </w:r>
          </w:p>
        </w:tc>
      </w:tr>
      <w:tr>
        <w:trPr>
          <w:trHeight w:val="27"/>
        </w:trPr>
        <w:tc>
          <w:tcPr>
            <w:tcW w:w="4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54,070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56,662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21,741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98,797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Amkor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498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0.41</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89"/>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0.41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used in computing per common share amounts: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239,586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239,370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239,503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239,312</w:t>
            </w: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239,937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239,766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239,858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239,783</w:t>
            </w:r>
          </w:p>
        </w:tc>
      </w:tr>
      <w:tr>
        <w:trPr>
          <w:trHeight w:val="27"/>
        </w:trPr>
        <w:tc>
          <w:tcPr>
            <w:tcW w:w="4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48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For the Nine Months Ended September</w:t>
            </w:r>
          </w:p>
        </w:tc>
      </w:tr>
      <w:tr>
        <w:trPr>
          <w:trHeight w:val="192"/>
        </w:trPr>
        <w:tc>
          <w:tcPr>
            <w:tcW w:w="6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30,</w:t>
            </w:r>
          </w:p>
        </w:tc>
        <w:tc>
          <w:tcPr>
            <w:tcW w:w="920" w:type="dxa"/>
            <w:vAlign w:val="bottom"/>
            <w:tcBorders>
              <w:bottom w:val="single" w:sz="8" w:color="auto"/>
            </w:tcBorders>
          </w:tcPr>
          <w:p>
            <w:pPr>
              <w:spacing w:after="0"/>
              <w:rPr>
                <w:sz w:val="16"/>
                <w:szCs w:val="16"/>
                <w:color w:val="auto"/>
              </w:rPr>
            </w:pPr>
          </w:p>
        </w:tc>
      </w:tr>
      <w:tr>
        <w:trPr>
          <w:trHeight w:val="196"/>
        </w:trPr>
        <w:tc>
          <w:tcPr>
            <w:tcW w:w="6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196"/>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gridSpan w:val="3"/>
          </w:tcPr>
          <w:p>
            <w:pPr>
              <w:ind w:left="380"/>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54,486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57,292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22,812</w:t>
            </w:r>
          </w:p>
        </w:tc>
        <w:tc>
          <w:tcPr>
            <w:tcW w:w="4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100,671</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r>
      <w:tr>
        <w:trPr>
          <w:trHeight w:val="243"/>
        </w:trPr>
        <w:tc>
          <w:tcPr>
            <w:tcW w:w="632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(6,611)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(2,664)</w:t>
            </w: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(6,656)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(2,790)</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54,412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50,636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26,243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97,881</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(1,874)</w:t>
            </w:r>
          </w:p>
        </w:tc>
      </w:tr>
      <w:tr>
        <w:trPr>
          <w:trHeight w:val="264"/>
        </w:trPr>
        <w:tc>
          <w:tcPr>
            <w:tcW w:w="6320" w:type="dxa"/>
            <w:vAlign w:val="bottom"/>
          </w:tcPr>
          <w:p>
            <w:pPr>
              <w:ind w:left="20"/>
              <w:spacing w:after="0"/>
              <w:rPr>
                <w:sz w:val="20"/>
                <w:szCs w:val="20"/>
                <w:color w:val="auto"/>
              </w:rPr>
            </w:pPr>
            <w:r>
              <w:rPr>
                <w:rFonts w:ascii="Arial" w:cs="Arial" w:eastAsia="Arial" w:hAnsi="Arial"/>
                <w:sz w:val="18"/>
                <w:szCs w:val="18"/>
                <w:color w:val="auto"/>
              </w:rPr>
              <w:t>Comprehensive income attributable to Amkor</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53,996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50,006</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25,172</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96,007</w:t>
            </w:r>
          </w:p>
        </w:tc>
      </w:tr>
      <w:tr>
        <w:trPr>
          <w:trHeight w:val="21"/>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598,753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681,569</w:t>
            </w: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803,104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724,456</w:t>
            </w: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216,663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230,589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41,891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32,005</w:t>
            </w:r>
          </w:p>
        </w:tc>
        <w:tc>
          <w:tcPr>
            <w:tcW w:w="0" w:type="dxa"/>
            <w:vAlign w:val="bottom"/>
          </w:tcPr>
          <w:p>
            <w:pPr>
              <w:spacing w:after="0"/>
              <w:rPr>
                <w:sz w:val="1"/>
                <w:szCs w:val="1"/>
                <w:color w:val="auto"/>
              </w:rPr>
            </w:pPr>
          </w:p>
        </w:tc>
      </w:tr>
      <w:tr>
        <w:trPr>
          <w:trHeight w:val="237"/>
        </w:trPr>
        <w:tc>
          <w:tcPr>
            <w:tcW w:w="82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1,663,001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1,671,208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2,466,067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2,650,448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 of use asset</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141,467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25,720</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106,417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144,178</w:t>
            </w:r>
          </w:p>
        </w:tc>
        <w:tc>
          <w:tcPr>
            <w:tcW w:w="0" w:type="dxa"/>
            <w:vAlign w:val="bottom"/>
          </w:tcPr>
          <w:p>
            <w:pPr>
              <w:spacing w:after="0"/>
              <w:rPr>
                <w:sz w:val="1"/>
                <w:szCs w:val="1"/>
                <w:color w:val="auto"/>
              </w:rPr>
            </w:pPr>
          </w:p>
        </w:tc>
      </w:tr>
      <w:tr>
        <w:trPr>
          <w:trHeight w:val="237"/>
        </w:trPr>
        <w:tc>
          <w:tcPr>
            <w:tcW w:w="82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4,405,930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4,495,447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borrowings and current portion of long-term debt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114,579</w:t>
            </w: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477,900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530,398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expenditures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157,527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255,237</w:t>
            </w: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253,876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258,209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992,255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1,158,423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1,195,005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1,217,732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and severance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184,321</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85,094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67,426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79,071</w:t>
            </w:r>
          </w:p>
        </w:tc>
        <w:tc>
          <w:tcPr>
            <w:tcW w:w="0" w:type="dxa"/>
            <w:vAlign w:val="bottom"/>
          </w:tcPr>
          <w:p>
            <w:pPr>
              <w:spacing w:after="0"/>
              <w:rPr>
                <w:sz w:val="1"/>
                <w:szCs w:val="1"/>
                <w:color w:val="auto"/>
              </w:rPr>
            </w:pPr>
          </w:p>
        </w:tc>
      </w:tr>
      <w:tr>
        <w:trPr>
          <w:trHeight w:val="237"/>
        </w:trPr>
        <w:tc>
          <w:tcPr>
            <w:tcW w:w="824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2,518,310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2,639,547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15)</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Preferred stock, $0.001 par value, 10,000 shares authorized, designated Series A, none issued</w:t>
            </w: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240" w:type="dxa"/>
            <w:vAlign w:val="bottom"/>
          </w:tcPr>
          <w:p>
            <w:pPr>
              <w:ind w:left="480"/>
              <w:spacing w:after="0" w:line="176" w:lineRule="exact"/>
              <w:rPr>
                <w:sz w:val="20"/>
                <w:szCs w:val="20"/>
                <w:color w:val="auto"/>
              </w:rPr>
            </w:pPr>
            <w:r>
              <w:rPr>
                <w:rFonts w:ascii="Arial" w:cs="Arial" w:eastAsia="Arial" w:hAnsi="Arial"/>
                <w:sz w:val="18"/>
                <w:szCs w:val="18"/>
                <w:color w:val="auto"/>
                <w:w w:val="93"/>
              </w:rPr>
              <w:t>Common stock, $0.001 par value, 500,000 shares authorized; 285,607 and 285,352 shares issued; and</w:t>
            </w:r>
          </w:p>
        </w:tc>
        <w:tc>
          <w:tcPr>
            <w:tcW w:w="120" w:type="dxa"/>
            <w:vAlign w:val="bottom"/>
          </w:tcPr>
          <w:p>
            <w:pPr>
              <w:spacing w:after="0"/>
              <w:rPr>
                <w:sz w:val="15"/>
                <w:szCs w:val="15"/>
                <w:color w:val="auto"/>
              </w:rPr>
            </w:pPr>
          </w:p>
        </w:tc>
        <w:tc>
          <w:tcPr>
            <w:tcW w:w="1400" w:type="dxa"/>
            <w:vAlign w:val="bottom"/>
            <w:vMerge w:val="restart"/>
          </w:tcPr>
          <w:p>
            <w:pPr>
              <w:jc w:val="right"/>
              <w:ind w:right="7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7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8240" w:type="dxa"/>
            <w:vAlign w:val="bottom"/>
          </w:tcPr>
          <w:p>
            <w:pPr>
              <w:ind w:left="480"/>
              <w:spacing w:after="0"/>
              <w:rPr>
                <w:sz w:val="20"/>
                <w:szCs w:val="20"/>
                <w:color w:val="auto"/>
              </w:rPr>
            </w:pPr>
            <w:r>
              <w:rPr>
                <w:rFonts w:ascii="Arial" w:cs="Arial" w:eastAsia="Arial" w:hAnsi="Arial"/>
                <w:sz w:val="18"/>
                <w:szCs w:val="18"/>
                <w:color w:val="auto"/>
              </w:rPr>
              <w:t>239,624 and 239,385 shares outstanding in 2019 and 2018, respectively</w:t>
            </w:r>
          </w:p>
        </w:tc>
        <w:tc>
          <w:tcPr>
            <w:tcW w:w="1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1,915,481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1,909,425</w:t>
            </w: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134,930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113,189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70"/>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Treasury stock, at cost, 45,983 and 45,967 shares, in 2019 and 2018, respectively</w:t>
            </w:r>
          </w:p>
        </w:tc>
        <w:tc>
          <w:tcPr>
            <w:tcW w:w="1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(216,301)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(216,171)</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Amkor 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1,861,639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1,830,540</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Non-controlling interests in subsidiaries</w:t>
            </w:r>
          </w:p>
        </w:tc>
        <w:tc>
          <w:tcPr>
            <w:tcW w:w="1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25,981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25,360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1,887,620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1,855,900</w:t>
            </w:r>
          </w:p>
        </w:tc>
        <w:tc>
          <w:tcPr>
            <w:tcW w:w="0" w:type="dxa"/>
            <w:vAlign w:val="bottom"/>
          </w:tcPr>
          <w:p>
            <w:pPr>
              <w:spacing w:after="0"/>
              <w:rPr>
                <w:sz w:val="1"/>
                <w:szCs w:val="1"/>
                <w:color w:val="auto"/>
              </w:rPr>
            </w:pPr>
          </w:p>
        </w:tc>
      </w:tr>
      <w:tr>
        <w:trPr>
          <w:trHeight w:val="264"/>
        </w:trPr>
        <w:tc>
          <w:tcPr>
            <w:tcW w:w="8240" w:type="dxa"/>
            <w:vAlign w:val="bottom"/>
          </w:tcPr>
          <w:p>
            <w:pPr>
              <w:ind w:left="66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4,405,930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4,495,447</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680" w:type="dxa"/>
            <w:vAlign w:val="bottom"/>
            <w:gridSpan w:val="5"/>
          </w:tcPr>
          <w:p>
            <w:pPr>
              <w:ind w:left="44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Other</w:t>
            </w:r>
          </w:p>
        </w:tc>
        <w:tc>
          <w:tcPr>
            <w:tcW w:w="1660" w:type="dxa"/>
            <w:vAlign w:val="bottom"/>
            <w:gridSpan w:val="5"/>
          </w:tcPr>
          <w:p>
            <w:pPr>
              <w:ind w:left="440"/>
              <w:spacing w:after="0"/>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Total Amkor</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Noncontrolling</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100"/>
              <w:spacing w:after="0" w:line="108" w:lineRule="exact"/>
              <w:rPr>
                <w:sz w:val="20"/>
                <w:szCs w:val="20"/>
                <w:color w:val="auto"/>
              </w:rPr>
            </w:pPr>
            <w:r>
              <w:rPr>
                <w:rFonts w:ascii="Arial" w:cs="Arial" w:eastAsia="Arial" w:hAnsi="Arial"/>
                <w:sz w:val="11"/>
                <w:szCs w:val="11"/>
                <w:b w:val="1"/>
                <w:bCs w:val="1"/>
                <w:color w:val="auto"/>
                <w:w w:val="93"/>
              </w:rPr>
              <w:t>Additional Paid-</w:t>
            </w: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60"/>
              <w:spacing w:after="0" w:line="108" w:lineRule="exact"/>
              <w:rPr>
                <w:sz w:val="20"/>
                <w:szCs w:val="20"/>
                <w:color w:val="auto"/>
              </w:rPr>
            </w:pPr>
            <w:r>
              <w:rPr>
                <w:rFonts w:ascii="Arial" w:cs="Arial" w:eastAsia="Arial" w:hAnsi="Arial"/>
                <w:sz w:val="11"/>
                <w:szCs w:val="11"/>
                <w:b w:val="1"/>
                <w:bCs w:val="1"/>
                <w:color w:val="auto"/>
                <w:w w:val="91"/>
              </w:rPr>
              <w:t>Interest in</w:t>
            </w:r>
          </w:p>
        </w:tc>
        <w:tc>
          <w:tcPr>
            <w:tcW w:w="120" w:type="dxa"/>
            <w:vAlign w:val="bottom"/>
          </w:tcPr>
          <w:p>
            <w:pPr>
              <w:spacing w:after="0"/>
              <w:rPr>
                <w:sz w:val="4"/>
                <w:szCs w:val="4"/>
                <w:color w:val="auto"/>
              </w:rPr>
            </w:pPr>
          </w:p>
        </w:tc>
        <w:tc>
          <w:tcPr>
            <w:tcW w:w="700" w:type="dxa"/>
            <w:vAlign w:val="bottom"/>
            <w:vMerge w:val="restart"/>
          </w:tcPr>
          <w:p>
            <w:pPr>
              <w:jc w:val="right"/>
              <w:ind w:right="238"/>
              <w:spacing w:after="0" w:line="108"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34"/>
        </w:trPr>
        <w:tc>
          <w:tcPr>
            <w:tcW w:w="1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700" w:type="dxa"/>
            <w:vAlign w:val="bottom"/>
          </w:tcPr>
          <w:p>
            <w:pPr>
              <w:spacing w:after="0"/>
              <w:rPr>
                <w:sz w:val="12"/>
                <w:szCs w:val="12"/>
                <w:color w:val="auto"/>
              </w:rPr>
            </w:pP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Par Value</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In Capital</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Retained Earnings</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 (Loss)</w:t>
            </w:r>
          </w:p>
        </w:tc>
        <w:tc>
          <w:tcPr>
            <w:tcW w:w="74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Equity</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5"/>
              </w:rPr>
              <w:t>Subsidiaries</w:t>
            </w:r>
          </w:p>
        </w:tc>
        <w:tc>
          <w:tcPr>
            <w:tcW w:w="120" w:type="dxa"/>
            <w:vAlign w:val="bottom"/>
          </w:tcPr>
          <w:p>
            <w:pPr>
              <w:spacing w:after="0"/>
              <w:rPr>
                <w:sz w:val="12"/>
                <w:szCs w:val="12"/>
                <w:color w:val="auto"/>
              </w:rPr>
            </w:pPr>
          </w:p>
        </w:tc>
        <w:tc>
          <w:tcPr>
            <w:tcW w:w="700" w:type="dxa"/>
            <w:vAlign w:val="bottom"/>
          </w:tcPr>
          <w:p>
            <w:pPr>
              <w:jc w:val="right"/>
              <w:ind w:right="19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tcPr>
          <w:p>
            <w:pPr>
              <w:ind w:left="60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w w:val="97"/>
              </w:rPr>
              <w:t>Balance at June 30, 2019</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285,510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1,913,103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80,860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27,317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(45,978)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6"/>
              </w:rPr>
              <w:t>(216,254)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1,805,311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25,865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w w:val="93"/>
              </w:rPr>
              <w:t>1,831,176</w:t>
            </w:r>
          </w:p>
        </w:tc>
        <w:tc>
          <w:tcPr>
            <w:tcW w:w="0" w:type="dxa"/>
            <w:vAlign w:val="bottom"/>
          </w:tcPr>
          <w:p>
            <w:pPr>
              <w:spacing w:after="0"/>
              <w:rPr>
                <w:sz w:val="1"/>
                <w:szCs w:val="1"/>
                <w:color w:val="auto"/>
              </w:rPr>
            </w:pPr>
          </w:p>
        </w:tc>
      </w:tr>
      <w:tr>
        <w:trPr>
          <w:trHeight w:val="181"/>
        </w:trPr>
        <w:tc>
          <w:tcPr>
            <w:tcW w:w="17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54,070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54,070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416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54,486</w:t>
            </w: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Other comprehensive income</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8" w:lineRule="exact"/>
              <w:rPr>
                <w:sz w:val="20"/>
                <w:szCs w:val="20"/>
                <w:color w:val="auto"/>
              </w:rPr>
            </w:pPr>
            <w:r>
              <w:rPr>
                <w:rFonts w:ascii="Arial" w:cs="Arial" w:eastAsia="Arial" w:hAnsi="Arial"/>
                <w:sz w:val="13"/>
                <w:szCs w:val="13"/>
                <w:color w:val="auto"/>
              </w:rPr>
              <w:t>Treasury stock acquired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3"/>
                <w:szCs w:val="13"/>
                <w:color w:val="auto"/>
                <w:w w:val="93"/>
              </w:rPr>
              <w:t>through surrender of shares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for tax withholding</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stock through</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5"/>
              </w:rPr>
              <w:t>share-based compensation</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434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81"/>
        </w:trPr>
        <w:tc>
          <w:tcPr>
            <w:tcW w:w="1700" w:type="dxa"/>
            <w:vAlign w:val="bottom"/>
          </w:tcPr>
          <w:p>
            <w:pPr>
              <w:ind w:left="180"/>
              <w:spacing w:after="0"/>
              <w:rPr>
                <w:sz w:val="20"/>
                <w:szCs w:val="20"/>
                <w:color w:val="auto"/>
              </w:rPr>
            </w:pPr>
            <w:r>
              <w:rPr>
                <w:rFonts w:ascii="Arial" w:cs="Arial" w:eastAsia="Arial" w:hAnsi="Arial"/>
                <w:sz w:val="13"/>
                <w:szCs w:val="13"/>
                <w:color w:val="auto"/>
                <w:w w:val="94"/>
              </w:rPr>
              <w:t>Share-based compensation</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ind w:right="78"/>
              <w:spacing w:after="0"/>
              <w:rPr>
                <w:sz w:val="20"/>
                <w:szCs w:val="20"/>
                <w:color w:val="auto"/>
              </w:rPr>
            </w:pPr>
            <w:r>
              <w:rPr>
                <w:rFonts w:ascii="Arial" w:cs="Arial" w:eastAsia="Arial" w:hAnsi="Arial"/>
                <w:sz w:val="13"/>
                <w:szCs w:val="13"/>
                <w:color w:val="auto"/>
              </w:rPr>
              <w:t>1,944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1,944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1,944</w:t>
            </w: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Subsidiary dividends to</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24"/>
        </w:trPr>
        <w:tc>
          <w:tcPr>
            <w:tcW w:w="1700" w:type="dxa"/>
            <w:vAlign w:val="bottom"/>
          </w:tcPr>
          <w:p>
            <w:pPr>
              <w:ind w:left="180"/>
              <w:spacing w:after="0" w:line="124" w:lineRule="exact"/>
              <w:rPr>
                <w:sz w:val="20"/>
                <w:szCs w:val="20"/>
                <w:color w:val="auto"/>
              </w:rPr>
            </w:pPr>
            <w:r>
              <w:rPr>
                <w:rFonts w:ascii="Arial" w:cs="Arial" w:eastAsia="Arial" w:hAnsi="Arial"/>
                <w:sz w:val="13"/>
                <w:szCs w:val="13"/>
                <w:b w:val="1"/>
                <w:bCs w:val="1"/>
                <w:color w:val="auto"/>
                <w:w w:val="95"/>
              </w:rPr>
              <w:t>Balance at September 30,</w:t>
            </w:r>
          </w:p>
        </w:tc>
        <w:tc>
          <w:tcPr>
            <w:tcW w:w="70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285,607</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1,915,481</w:t>
            </w:r>
          </w:p>
        </w:tc>
        <w:tc>
          <w:tcPr>
            <w:tcW w:w="100" w:type="dxa"/>
            <w:vAlign w:val="bottom"/>
          </w:tcPr>
          <w:p>
            <w:pPr>
              <w:spacing w:after="0"/>
              <w:rPr>
                <w:sz w:val="10"/>
                <w:szCs w:val="10"/>
                <w:color w:val="auto"/>
              </w:rPr>
            </w:pPr>
          </w:p>
        </w:tc>
        <w:tc>
          <w:tcPr>
            <w:tcW w:w="26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134,930</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3"/>
                <w:szCs w:val="13"/>
                <w:color w:val="auto"/>
              </w:rPr>
              <w:t>27,243</w:t>
            </w:r>
          </w:p>
        </w:tc>
        <w:tc>
          <w:tcPr>
            <w:tcW w:w="10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3"/>
                <w:szCs w:val="13"/>
                <w:color w:val="auto"/>
              </w:rPr>
              <w:t>(45,983)</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3"/>
                <w:szCs w:val="13"/>
                <w:color w:val="auto"/>
                <w:w w:val="96"/>
              </w:rPr>
              <w:t>(216,301)</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1,861,639</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25,981</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w w:val="93"/>
              </w:rPr>
              <w:t>1,887,620</w:t>
            </w:r>
          </w:p>
        </w:tc>
        <w:tc>
          <w:tcPr>
            <w:tcW w:w="0" w:type="dxa"/>
            <w:vAlign w:val="bottom"/>
          </w:tcPr>
          <w:p>
            <w:pPr>
              <w:spacing w:after="0"/>
              <w:rPr>
                <w:sz w:val="1"/>
                <w:szCs w:val="1"/>
                <w:color w:val="auto"/>
              </w:rPr>
            </w:pPr>
          </w:p>
        </w:tc>
      </w:tr>
      <w:tr>
        <w:trPr>
          <w:trHeight w:val="158"/>
        </w:trPr>
        <w:tc>
          <w:tcPr>
            <w:tcW w:w="1700" w:type="dxa"/>
            <w:vAlign w:val="bottom"/>
          </w:tcPr>
          <w:p>
            <w:pPr>
              <w:ind w:left="180"/>
              <w:spacing w:after="0"/>
              <w:rPr>
                <w:sz w:val="20"/>
                <w:szCs w:val="20"/>
                <w:color w:val="auto"/>
              </w:rPr>
            </w:pPr>
            <w:r>
              <w:rPr>
                <w:rFonts w:ascii="Arial" w:cs="Arial" w:eastAsia="Arial" w:hAnsi="Arial"/>
                <w:sz w:val="13"/>
                <w:szCs w:val="13"/>
                <w:b w:val="1"/>
                <w:bCs w:val="1"/>
                <w:color w:val="auto"/>
              </w:rPr>
              <w:t>2019</w:t>
            </w: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00" w:type="dxa"/>
            <w:vAlign w:val="bottom"/>
          </w:tcPr>
          <w:p>
            <w:pPr>
              <w:ind w:left="180"/>
              <w:spacing w:after="0" w:line="144" w:lineRule="exact"/>
              <w:rPr>
                <w:sz w:val="20"/>
                <w:szCs w:val="20"/>
                <w:color w:val="auto"/>
              </w:rPr>
            </w:pPr>
            <w:r>
              <w:rPr>
                <w:rFonts w:ascii="Arial" w:cs="Arial" w:eastAsia="Arial" w:hAnsi="Arial"/>
                <w:sz w:val="13"/>
                <w:szCs w:val="13"/>
                <w:b w:val="1"/>
                <w:bCs w:val="1"/>
                <w:color w:val="auto"/>
                <w:w w:val="97"/>
              </w:rPr>
              <w:t>Balance at December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180"/>
              <w:spacing w:after="0"/>
              <w:rPr>
                <w:sz w:val="20"/>
                <w:szCs w:val="20"/>
                <w:color w:val="auto"/>
              </w:rPr>
            </w:pPr>
            <w:r>
              <w:rPr>
                <w:rFonts w:ascii="Arial" w:cs="Arial" w:eastAsia="Arial" w:hAnsi="Arial"/>
                <w:sz w:val="13"/>
                <w:szCs w:val="13"/>
                <w:b w:val="1"/>
                <w:bCs w:val="1"/>
                <w:color w:val="auto"/>
              </w:rPr>
              <w:t>2018</w:t>
            </w: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285,352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8"/>
              <w:spacing w:after="0"/>
              <w:rPr>
                <w:sz w:val="20"/>
                <w:szCs w:val="20"/>
                <w:color w:val="auto"/>
              </w:rPr>
            </w:pPr>
            <w:r>
              <w:rPr>
                <w:rFonts w:ascii="Arial" w:cs="Arial" w:eastAsia="Arial" w:hAnsi="Arial"/>
                <w:sz w:val="13"/>
                <w:szCs w:val="13"/>
                <w:color w:val="auto"/>
              </w:rPr>
              <w:t>1,909,425</w:t>
            </w:r>
          </w:p>
        </w:tc>
        <w:tc>
          <w:tcPr>
            <w:tcW w:w="100" w:type="dxa"/>
            <w:vAlign w:val="bottom"/>
          </w:tcPr>
          <w:p>
            <w:pPr>
              <w:spacing w:after="0"/>
              <w:rPr>
                <w:sz w:val="14"/>
                <w:szCs w:val="14"/>
                <w:color w:val="auto"/>
              </w:rPr>
            </w:pPr>
          </w:p>
        </w:tc>
        <w:tc>
          <w:tcPr>
            <w:tcW w:w="260" w:type="dxa"/>
            <w:vAlign w:val="bottom"/>
          </w:tcPr>
          <w:p>
            <w:pPr>
              <w:jc w:val="right"/>
              <w:ind w:right="119"/>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113,189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9"/>
              <w:spacing w:after="0"/>
              <w:rPr>
                <w:sz w:val="20"/>
                <w:szCs w:val="20"/>
                <w:color w:val="auto"/>
              </w:rPr>
            </w:pPr>
            <w:r>
              <w:rPr>
                <w:rFonts w:ascii="Arial" w:cs="Arial" w:eastAsia="Arial" w:hAnsi="Arial"/>
                <w:sz w:val="13"/>
                <w:szCs w:val="13"/>
                <w:color w:val="auto"/>
              </w:rPr>
              <w:t>23,812</w:t>
            </w:r>
          </w:p>
        </w:tc>
        <w:tc>
          <w:tcPr>
            <w:tcW w:w="100" w:type="dxa"/>
            <w:vAlign w:val="bottom"/>
          </w:tcPr>
          <w:p>
            <w:pPr>
              <w:spacing w:after="0"/>
              <w:rPr>
                <w:sz w:val="14"/>
                <w:szCs w:val="14"/>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(45,967)</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w w:val="96"/>
              </w:rPr>
              <w:t>(216,171)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1,830,540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25,360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8"/>
              <w:spacing w:after="0"/>
              <w:rPr>
                <w:sz w:val="20"/>
                <w:szCs w:val="20"/>
                <w:color w:val="auto"/>
              </w:rPr>
            </w:pPr>
            <w:r>
              <w:rPr>
                <w:rFonts w:ascii="Arial" w:cs="Arial" w:eastAsia="Arial" w:hAnsi="Arial"/>
                <w:sz w:val="13"/>
                <w:szCs w:val="13"/>
                <w:color w:val="auto"/>
                <w:w w:val="93"/>
              </w:rPr>
              <w:t>1,855,900</w:t>
            </w: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21,741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21,741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1,071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22,812</w:t>
            </w: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8" w:lineRule="exact"/>
              <w:rPr>
                <w:sz w:val="20"/>
                <w:szCs w:val="20"/>
                <w:color w:val="auto"/>
              </w:rPr>
            </w:pPr>
            <w:r>
              <w:rPr>
                <w:rFonts w:ascii="Arial" w:cs="Arial" w:eastAsia="Arial" w:hAnsi="Arial"/>
                <w:sz w:val="13"/>
                <w:szCs w:val="13"/>
                <w:color w:val="auto"/>
                <w:w w:val="88"/>
              </w:rPr>
              <w:t>Other comprehensive income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(loss)</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ind w:right="79"/>
              <w:spacing w:after="0"/>
              <w:rPr>
                <w:sz w:val="20"/>
                <w:szCs w:val="20"/>
                <w:color w:val="auto"/>
              </w:rPr>
            </w:pPr>
            <w:r>
              <w:rPr>
                <w:rFonts w:ascii="Arial" w:cs="Arial" w:eastAsia="Arial" w:hAnsi="Arial"/>
                <w:sz w:val="13"/>
                <w:szCs w:val="13"/>
                <w:color w:val="auto"/>
              </w:rPr>
              <w:t>3,431</w:t>
            </w:r>
          </w:p>
        </w:tc>
        <w:tc>
          <w:tcPr>
            <w:tcW w:w="100" w:type="dxa"/>
            <w:vAlign w:val="bottom"/>
          </w:tcPr>
          <w:p>
            <w:pPr>
              <w:spacing w:after="0"/>
              <w:rPr>
                <w:sz w:val="14"/>
                <w:szCs w:val="14"/>
                <w:color w:val="auto"/>
              </w:rPr>
            </w:pP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3,431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3,431</w:t>
            </w: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stock acquired</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3"/>
              </w:rPr>
              <w:t>through surrender of shares</w:t>
            </w: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8" w:lineRule="exact"/>
              <w:rPr>
                <w:sz w:val="20"/>
                <w:szCs w:val="20"/>
                <w:color w:val="auto"/>
              </w:rPr>
            </w:pPr>
            <w:r>
              <w:rPr>
                <w:rFonts w:ascii="Arial" w:cs="Arial" w:eastAsia="Arial" w:hAnsi="Arial"/>
                <w:sz w:val="13"/>
                <w:szCs w:val="13"/>
                <w:color w:val="auto"/>
              </w:rPr>
              <w:t>Issuance of stock through</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3"/>
                <w:szCs w:val="13"/>
                <w:color w:val="auto"/>
                <w:w w:val="95"/>
              </w:rPr>
              <w:t>share-based compensation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00" w:type="dxa"/>
            <w:vAlign w:val="bottom"/>
          </w:tcPr>
          <w:p>
            <w:pPr>
              <w:ind w:left="180"/>
              <w:spacing w:after="0"/>
              <w:rPr>
                <w:sz w:val="20"/>
                <w:szCs w:val="20"/>
                <w:color w:val="auto"/>
              </w:rPr>
            </w:pPr>
            <w:r>
              <w:rPr>
                <w:rFonts w:ascii="Arial" w:cs="Arial" w:eastAsia="Arial" w:hAnsi="Arial"/>
                <w:sz w:val="13"/>
                <w:szCs w:val="13"/>
                <w:color w:val="auto"/>
              </w:rPr>
              <w:t>plans</w:t>
            </w: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3"/>
                <w:szCs w:val="13"/>
                <w:color w:val="auto"/>
              </w:rPr>
              <w:t>870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871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871</w:t>
            </w: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Share-based compensation</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5,186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5,186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5,186</w:t>
            </w:r>
          </w:p>
        </w:tc>
        <w:tc>
          <w:tcPr>
            <w:tcW w:w="0" w:type="dxa"/>
            <w:vAlign w:val="bottom"/>
          </w:tcPr>
          <w:p>
            <w:pPr>
              <w:spacing w:after="0"/>
              <w:rPr>
                <w:sz w:val="1"/>
                <w:szCs w:val="1"/>
                <w:color w:val="auto"/>
              </w:rPr>
            </w:pPr>
          </w:p>
        </w:tc>
      </w:tr>
      <w:tr>
        <w:trPr>
          <w:trHeight w:val="148"/>
        </w:trPr>
        <w:tc>
          <w:tcPr>
            <w:tcW w:w="1700" w:type="dxa"/>
            <w:vAlign w:val="bottom"/>
          </w:tcPr>
          <w:p>
            <w:pPr>
              <w:ind w:left="180"/>
              <w:spacing w:after="0" w:line="148" w:lineRule="exact"/>
              <w:rPr>
                <w:sz w:val="20"/>
                <w:szCs w:val="20"/>
                <w:color w:val="auto"/>
              </w:rPr>
            </w:pPr>
            <w:r>
              <w:rPr>
                <w:rFonts w:ascii="Arial" w:cs="Arial" w:eastAsia="Arial" w:hAnsi="Arial"/>
                <w:sz w:val="13"/>
                <w:szCs w:val="13"/>
                <w:color w:val="auto"/>
              </w:rPr>
              <w:t>Subsidiary dividends to</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0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130"/>
        </w:trPr>
        <w:tc>
          <w:tcPr>
            <w:tcW w:w="1700" w:type="dxa"/>
            <w:vAlign w:val="bottom"/>
            <w:tcBorders>
              <w:top w:val="single" w:sz="8" w:color="CCEEFF"/>
            </w:tcBorders>
            <w:shd w:val="clear" w:color="auto" w:fill="CCEEFF"/>
          </w:tcPr>
          <w:p>
            <w:pPr>
              <w:ind w:left="180"/>
              <w:spacing w:after="0" w:line="131" w:lineRule="exact"/>
              <w:rPr>
                <w:sz w:val="20"/>
                <w:szCs w:val="20"/>
                <w:color w:val="auto"/>
              </w:rPr>
            </w:pPr>
            <w:r>
              <w:rPr>
                <w:rFonts w:ascii="Arial" w:cs="Arial" w:eastAsia="Arial" w:hAnsi="Arial"/>
                <w:sz w:val="13"/>
                <w:szCs w:val="13"/>
                <w:b w:val="1"/>
                <w:bCs w:val="1"/>
                <w:color w:val="auto"/>
                <w:w w:val="95"/>
              </w:rPr>
              <w:t>Balance at September 30,</w:t>
            </w:r>
          </w:p>
        </w:tc>
        <w:tc>
          <w:tcPr>
            <w:tcW w:w="70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285,607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286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1,915,481</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119"/>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134,930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27,243</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(45,983)</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ind w:right="38"/>
              <w:spacing w:after="0"/>
              <w:rPr>
                <w:sz w:val="20"/>
                <w:szCs w:val="20"/>
                <w:color w:val="auto"/>
              </w:rPr>
            </w:pPr>
            <w:r>
              <w:rPr>
                <w:rFonts w:ascii="Arial" w:cs="Arial" w:eastAsia="Arial" w:hAnsi="Arial"/>
                <w:sz w:val="13"/>
                <w:szCs w:val="13"/>
                <w:color w:val="auto"/>
                <w:w w:val="96"/>
              </w:rPr>
              <w:t>(216,301)</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1,861,639</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25,981</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w w:val="93"/>
              </w:rPr>
              <w:t>1,887,620</w:t>
            </w:r>
          </w:p>
        </w:tc>
        <w:tc>
          <w:tcPr>
            <w:tcW w:w="0" w:type="dxa"/>
            <w:vAlign w:val="bottom"/>
          </w:tcPr>
          <w:p>
            <w:pPr>
              <w:spacing w:after="0"/>
              <w:rPr>
                <w:sz w:val="1"/>
                <w:szCs w:val="1"/>
                <w:color w:val="auto"/>
              </w:rPr>
            </w:pPr>
          </w:p>
        </w:tc>
      </w:tr>
      <w:tr>
        <w:trPr>
          <w:trHeight w:val="173"/>
        </w:trPr>
        <w:tc>
          <w:tcPr>
            <w:tcW w:w="1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2019</w:t>
            </w: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660" w:type="dxa"/>
            <w:vAlign w:val="bottom"/>
            <w:gridSpan w:val="5"/>
          </w:tcPr>
          <w:p>
            <w:pPr>
              <w:ind w:left="42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8"/>
              </w:rPr>
              <w:t>Retained Earnings</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Other</w:t>
            </w:r>
          </w:p>
        </w:tc>
        <w:tc>
          <w:tcPr>
            <w:tcW w:w="166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88"/>
              </w:rPr>
              <w:t>Treasury Stock</w:t>
            </w:r>
          </w:p>
        </w:tc>
        <w:tc>
          <w:tcPr>
            <w:tcW w:w="14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Total Amkor</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Noncontrolling</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100"/>
              <w:spacing w:after="0" w:line="108" w:lineRule="exact"/>
              <w:rPr>
                <w:sz w:val="20"/>
                <w:szCs w:val="20"/>
                <w:color w:val="auto"/>
              </w:rPr>
            </w:pPr>
            <w:r>
              <w:rPr>
                <w:rFonts w:ascii="Arial" w:cs="Arial" w:eastAsia="Arial" w:hAnsi="Arial"/>
                <w:sz w:val="11"/>
                <w:szCs w:val="11"/>
                <w:b w:val="1"/>
                <w:bCs w:val="1"/>
                <w:color w:val="auto"/>
                <w:w w:val="93"/>
              </w:rPr>
              <w:t>Additional Paid-</w:t>
            </w: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08" w:lineRule="exact"/>
              <w:rPr>
                <w:sz w:val="20"/>
                <w:szCs w:val="20"/>
                <w:color w:val="auto"/>
              </w:rPr>
            </w:pPr>
            <w:r>
              <w:rPr>
                <w:rFonts w:ascii="Arial" w:cs="Arial" w:eastAsia="Arial" w:hAnsi="Arial"/>
                <w:sz w:val="11"/>
                <w:szCs w:val="11"/>
                <w:b w:val="1"/>
                <w:bCs w:val="1"/>
                <w:color w:val="auto"/>
                <w:w w:val="90"/>
              </w:rPr>
              <w:t>(Accumulated</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restart"/>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Stockholders’</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8" w:lineRule="exact"/>
              <w:rPr>
                <w:sz w:val="20"/>
                <w:szCs w:val="20"/>
                <w:color w:val="auto"/>
              </w:rPr>
            </w:pPr>
            <w:r>
              <w:rPr>
                <w:rFonts w:ascii="Arial" w:cs="Arial" w:eastAsia="Arial" w:hAnsi="Arial"/>
                <w:sz w:val="11"/>
                <w:szCs w:val="11"/>
                <w:b w:val="1"/>
                <w:bCs w:val="1"/>
                <w:color w:val="auto"/>
                <w:w w:val="87"/>
              </w:rPr>
              <w:t>Interest in</w:t>
            </w:r>
          </w:p>
        </w:tc>
        <w:tc>
          <w:tcPr>
            <w:tcW w:w="120" w:type="dxa"/>
            <w:vAlign w:val="bottom"/>
          </w:tcPr>
          <w:p>
            <w:pPr>
              <w:spacing w:after="0"/>
              <w:rPr>
                <w:sz w:val="4"/>
                <w:szCs w:val="4"/>
                <w:color w:val="auto"/>
              </w:rPr>
            </w:pPr>
          </w:p>
        </w:tc>
        <w:tc>
          <w:tcPr>
            <w:tcW w:w="700" w:type="dxa"/>
            <w:vAlign w:val="bottom"/>
            <w:vMerge w:val="restart"/>
          </w:tcPr>
          <w:p>
            <w:pPr>
              <w:jc w:val="right"/>
              <w:ind w:right="238"/>
              <w:spacing w:after="0" w:line="108"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720" w:type="dxa"/>
            <w:vAlign w:val="bottom"/>
          </w:tcPr>
          <w:p>
            <w:pPr>
              <w:spacing w:after="0"/>
              <w:rPr>
                <w:sz w:val="12"/>
                <w:szCs w:val="12"/>
                <w:color w:val="auto"/>
              </w:rPr>
            </w:pPr>
          </w:p>
        </w:tc>
        <w:tc>
          <w:tcPr>
            <w:tcW w:w="78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Par Value</w:t>
            </w:r>
          </w:p>
        </w:tc>
        <w:tc>
          <w:tcPr>
            <w:tcW w:w="16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 Capital</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Deficit)</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 (Loss)</w:t>
            </w:r>
          </w:p>
        </w:tc>
        <w:tc>
          <w:tcPr>
            <w:tcW w:w="740" w:type="dxa"/>
            <w:vAlign w:val="bottom"/>
            <w:gridSpan w:val="2"/>
          </w:tcPr>
          <w:p>
            <w:pPr>
              <w:ind w:left="16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Equity</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Subsidiaries</w:t>
            </w:r>
          </w:p>
        </w:tc>
        <w:tc>
          <w:tcPr>
            <w:tcW w:w="120" w:type="dxa"/>
            <w:vAlign w:val="bottom"/>
          </w:tcPr>
          <w:p>
            <w:pPr>
              <w:spacing w:after="0"/>
              <w:rPr>
                <w:sz w:val="12"/>
                <w:szCs w:val="12"/>
                <w:color w:val="auto"/>
              </w:rPr>
            </w:pPr>
          </w:p>
        </w:tc>
        <w:tc>
          <w:tcPr>
            <w:tcW w:w="700" w:type="dxa"/>
            <w:vAlign w:val="bottom"/>
          </w:tcPr>
          <w:p>
            <w:pPr>
              <w:jc w:val="right"/>
              <w:ind w:right="19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tcPr>
          <w:p>
            <w:pPr>
              <w:ind w:left="62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w w:val="99"/>
              </w:rPr>
              <w:t>Balance at June 30, 2018</w:t>
            </w: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285,322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1,906,936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28,232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26,385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(45,956)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6"/>
              </w:rPr>
              <w:t>(216,087)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1,745,751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24,407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w w:val="93"/>
              </w:rPr>
              <w:t>1,770,158</w:t>
            </w:r>
          </w:p>
        </w:tc>
        <w:tc>
          <w:tcPr>
            <w:tcW w:w="0" w:type="dxa"/>
            <w:vAlign w:val="bottom"/>
          </w:tcPr>
          <w:p>
            <w:pPr>
              <w:spacing w:after="0"/>
              <w:rPr>
                <w:sz w:val="1"/>
                <w:szCs w:val="1"/>
                <w:color w:val="auto"/>
              </w:rPr>
            </w:pPr>
          </w:p>
        </w:tc>
      </w:tr>
      <w:tr>
        <w:trPr>
          <w:trHeight w:val="181"/>
        </w:trPr>
        <w:tc>
          <w:tcPr>
            <w:tcW w:w="1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Pr>
          <w:p>
            <w:pPr>
              <w:jc w:val="right"/>
              <w:ind w:right="78"/>
              <w:spacing w:after="0"/>
              <w:rPr>
                <w:sz w:val="20"/>
                <w:szCs w:val="20"/>
                <w:color w:val="auto"/>
              </w:rPr>
            </w:pPr>
            <w:r>
              <w:rPr>
                <w:rFonts w:ascii="Arial" w:cs="Arial" w:eastAsia="Arial" w:hAnsi="Arial"/>
                <w:sz w:val="13"/>
                <w:szCs w:val="13"/>
                <w:color w:val="auto"/>
              </w:rPr>
              <w:t>56,662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56,662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630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57,292</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9"/>
              </w:rPr>
              <w:t>Other comprehensive income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(6,656)</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(6,656)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(6,656)</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Treasury stock acquired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w w:val="94"/>
              </w:rPr>
              <w:t>through surrender of shares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for tax withholding</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stock through</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6"/>
              </w:rPr>
              <w:t>share-based compensation</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plans</w:t>
            </w:r>
          </w:p>
        </w:tc>
        <w:tc>
          <w:tcPr>
            <w:tcW w:w="6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720" w:type="dxa"/>
            <w:vAlign w:val="bottom"/>
          </w:tcPr>
          <w:p>
            <w:pPr>
              <w:ind w:left="180"/>
              <w:spacing w:after="0"/>
              <w:rPr>
                <w:sz w:val="20"/>
                <w:szCs w:val="20"/>
                <w:color w:val="auto"/>
              </w:rPr>
            </w:pPr>
            <w:r>
              <w:rPr>
                <w:rFonts w:ascii="Arial" w:cs="Arial" w:eastAsia="Arial" w:hAnsi="Arial"/>
                <w:sz w:val="13"/>
                <w:szCs w:val="13"/>
                <w:color w:val="auto"/>
                <w:w w:val="95"/>
              </w:rPr>
              <w:t>Share-based compensation</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1,235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1,235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1,235</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Subsidiary dividends to</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24"/>
        </w:trPr>
        <w:tc>
          <w:tcPr>
            <w:tcW w:w="1720" w:type="dxa"/>
            <w:vAlign w:val="bottom"/>
          </w:tcPr>
          <w:p>
            <w:pPr>
              <w:ind w:left="180"/>
              <w:spacing w:after="0" w:line="124" w:lineRule="exact"/>
              <w:rPr>
                <w:sz w:val="20"/>
                <w:szCs w:val="20"/>
                <w:color w:val="auto"/>
              </w:rPr>
            </w:pPr>
            <w:r>
              <w:rPr>
                <w:rFonts w:ascii="Arial" w:cs="Arial" w:eastAsia="Arial" w:hAnsi="Arial"/>
                <w:sz w:val="13"/>
                <w:szCs w:val="13"/>
                <w:b w:val="1"/>
                <w:bCs w:val="1"/>
                <w:color w:val="auto"/>
                <w:w w:val="96"/>
              </w:rPr>
              <w:t>Balance at September 30,</w:t>
            </w:r>
          </w:p>
        </w:tc>
        <w:tc>
          <w:tcPr>
            <w:tcW w:w="68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285,335</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1,908,171</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84,894</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3"/>
                <w:szCs w:val="13"/>
                <w:color w:val="auto"/>
              </w:rPr>
              <w:t>19,729</w:t>
            </w:r>
          </w:p>
        </w:tc>
        <w:tc>
          <w:tcPr>
            <w:tcW w:w="10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3"/>
                <w:szCs w:val="13"/>
                <w:color w:val="auto"/>
              </w:rPr>
              <w:t>(45,961)</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tcPr>
          <w:p>
            <w:pPr>
              <w:jc w:val="right"/>
              <w:ind w:right="38"/>
              <w:spacing w:after="0"/>
              <w:rPr>
                <w:sz w:val="20"/>
                <w:szCs w:val="20"/>
                <w:color w:val="auto"/>
              </w:rPr>
            </w:pPr>
            <w:r>
              <w:rPr>
                <w:rFonts w:ascii="Arial" w:cs="Arial" w:eastAsia="Arial" w:hAnsi="Arial"/>
                <w:sz w:val="13"/>
                <w:szCs w:val="13"/>
                <w:color w:val="auto"/>
                <w:w w:val="96"/>
              </w:rPr>
              <w:t>(216,135)</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1,796,944</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rPr>
              <w:t>24,897</w:t>
            </w:r>
          </w:p>
        </w:tc>
        <w:tc>
          <w:tcPr>
            <w:tcW w:w="12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3"/>
                <w:szCs w:val="13"/>
                <w:color w:val="auto"/>
                <w:w w:val="93"/>
              </w:rPr>
              <w:t>1,821,841</w:t>
            </w:r>
          </w:p>
        </w:tc>
        <w:tc>
          <w:tcPr>
            <w:tcW w:w="0" w:type="dxa"/>
            <w:vAlign w:val="bottom"/>
          </w:tcPr>
          <w:p>
            <w:pPr>
              <w:spacing w:after="0"/>
              <w:rPr>
                <w:sz w:val="1"/>
                <w:szCs w:val="1"/>
                <w:color w:val="auto"/>
              </w:rPr>
            </w:pPr>
          </w:p>
        </w:tc>
      </w:tr>
      <w:tr>
        <w:trPr>
          <w:trHeight w:val="158"/>
        </w:trPr>
        <w:tc>
          <w:tcPr>
            <w:tcW w:w="1720" w:type="dxa"/>
            <w:vAlign w:val="bottom"/>
          </w:tcPr>
          <w:p>
            <w:pPr>
              <w:ind w:left="180"/>
              <w:spacing w:after="0"/>
              <w:rPr>
                <w:sz w:val="20"/>
                <w:szCs w:val="20"/>
                <w:color w:val="auto"/>
              </w:rPr>
            </w:pPr>
            <w:r>
              <w:rPr>
                <w:rFonts w:ascii="Arial" w:cs="Arial" w:eastAsia="Arial" w:hAnsi="Arial"/>
                <w:sz w:val="13"/>
                <w:szCs w:val="13"/>
                <w:b w:val="1"/>
                <w:bCs w:val="1"/>
                <w:color w:val="auto"/>
              </w:rPr>
              <w:t>2018</w:t>
            </w: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20" w:type="dxa"/>
            <w:vAlign w:val="bottom"/>
          </w:tcPr>
          <w:p>
            <w:pPr>
              <w:ind w:left="180"/>
              <w:spacing w:after="0" w:line="144" w:lineRule="exact"/>
              <w:rPr>
                <w:sz w:val="20"/>
                <w:szCs w:val="20"/>
                <w:color w:val="auto"/>
              </w:rPr>
            </w:pPr>
            <w:r>
              <w:rPr>
                <w:rFonts w:ascii="Arial" w:cs="Arial" w:eastAsia="Arial" w:hAnsi="Arial"/>
                <w:sz w:val="13"/>
                <w:szCs w:val="13"/>
                <w:b w:val="1"/>
                <w:bCs w:val="1"/>
                <w:color w:val="auto"/>
                <w:w w:val="99"/>
              </w:rPr>
              <w:t>Balance at December 31,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20" w:type="dxa"/>
            <w:vAlign w:val="bottom"/>
          </w:tcPr>
          <w:p>
            <w:pPr>
              <w:ind w:left="180"/>
              <w:spacing w:after="0"/>
              <w:rPr>
                <w:sz w:val="20"/>
                <w:szCs w:val="20"/>
                <w:color w:val="auto"/>
              </w:rPr>
            </w:pPr>
            <w:r>
              <w:rPr>
                <w:rFonts w:ascii="Arial" w:cs="Arial" w:eastAsia="Arial" w:hAnsi="Arial"/>
                <w:sz w:val="13"/>
                <w:szCs w:val="13"/>
                <w:b w:val="1"/>
                <w:bCs w:val="1"/>
                <w:color w:val="auto"/>
              </w:rPr>
              <w:t>2017</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285,129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8"/>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4"/>
                <w:szCs w:val="14"/>
                <w:color w:val="auto"/>
              </w:rPr>
            </w:pPr>
          </w:p>
        </w:tc>
        <w:tc>
          <w:tcPr>
            <w:tcW w:w="160" w:type="dxa"/>
            <w:vAlign w:val="bottom"/>
          </w:tcPr>
          <w:p>
            <w:pPr>
              <w:jc w:val="right"/>
              <w:ind w:right="19"/>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1,903,357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(13,903)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9"/>
              <w:spacing w:after="0"/>
              <w:rPr>
                <w:sz w:val="20"/>
                <w:szCs w:val="20"/>
                <w:color w:val="auto"/>
              </w:rPr>
            </w:pPr>
            <w:r>
              <w:rPr>
                <w:rFonts w:ascii="Arial" w:cs="Arial" w:eastAsia="Arial" w:hAnsi="Arial"/>
                <w:sz w:val="13"/>
                <w:szCs w:val="13"/>
                <w:color w:val="auto"/>
              </w:rPr>
              <w:t>22,519</w:t>
            </w:r>
          </w:p>
        </w:tc>
        <w:tc>
          <w:tcPr>
            <w:tcW w:w="100" w:type="dxa"/>
            <w:vAlign w:val="bottom"/>
          </w:tcPr>
          <w:p>
            <w:pPr>
              <w:spacing w:after="0"/>
              <w:rPr>
                <w:sz w:val="14"/>
                <w:szCs w:val="14"/>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(45,945)</w:t>
            </w:r>
          </w:p>
        </w:tc>
        <w:tc>
          <w:tcPr>
            <w:tcW w:w="100" w:type="dxa"/>
            <w:vAlign w:val="bottom"/>
          </w:tcPr>
          <w:p>
            <w:pPr>
              <w:spacing w:after="0"/>
              <w:rPr>
                <w:sz w:val="14"/>
                <w:szCs w:val="14"/>
                <w:color w:val="auto"/>
              </w:rPr>
            </w:pPr>
          </w:p>
        </w:tc>
        <w:tc>
          <w:tcPr>
            <w:tcW w:w="16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w w:val="96"/>
              </w:rPr>
              <w:t>(215,982)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1,696,276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23,433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8"/>
              <w:spacing w:after="0"/>
              <w:rPr>
                <w:sz w:val="20"/>
                <w:szCs w:val="20"/>
                <w:color w:val="auto"/>
              </w:rPr>
            </w:pPr>
            <w:r>
              <w:rPr>
                <w:rFonts w:ascii="Arial" w:cs="Arial" w:eastAsia="Arial" w:hAnsi="Arial"/>
                <w:sz w:val="13"/>
                <w:szCs w:val="13"/>
                <w:color w:val="auto"/>
                <w:w w:val="93"/>
              </w:rPr>
              <w:t>1,719,709</w:t>
            </w: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98,797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98,797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1,874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100,671</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w w:val="89"/>
              </w:rPr>
              <w:t>Other comprehensive income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(loss)</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ind w:right="39"/>
              <w:spacing w:after="0"/>
              <w:rPr>
                <w:sz w:val="20"/>
                <w:szCs w:val="20"/>
                <w:color w:val="auto"/>
              </w:rPr>
            </w:pPr>
            <w:r>
              <w:rPr>
                <w:rFonts w:ascii="Arial" w:cs="Arial" w:eastAsia="Arial" w:hAnsi="Arial"/>
                <w:sz w:val="13"/>
                <w:szCs w:val="13"/>
                <w:color w:val="auto"/>
              </w:rPr>
              <w:t>(2,790)</w:t>
            </w:r>
          </w:p>
        </w:tc>
        <w:tc>
          <w:tcPr>
            <w:tcW w:w="100" w:type="dxa"/>
            <w:vAlign w:val="bottom"/>
          </w:tcPr>
          <w:p>
            <w:pPr>
              <w:spacing w:after="0"/>
              <w:rPr>
                <w:sz w:val="14"/>
                <w:szCs w:val="14"/>
                <w:color w:val="auto"/>
              </w:rPr>
            </w:pP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(2,790)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(2,790)</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stock acquired</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4"/>
              </w:rPr>
              <w:t>through surrender of shares</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 tax withholding</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Issuance of stock through</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w w:val="96"/>
              </w:rPr>
              <w:t>share-based compensation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plans</w:t>
            </w:r>
          </w:p>
        </w:tc>
        <w:tc>
          <w:tcPr>
            <w:tcW w:w="680" w:type="dxa"/>
            <w:vAlign w:val="bottom"/>
          </w:tcPr>
          <w:p>
            <w:pPr>
              <w:jc w:val="right"/>
              <w:ind w:right="78"/>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Arial" w:cs="Arial" w:eastAsia="Arial" w:hAnsi="Arial"/>
                <w:sz w:val="13"/>
                <w:szCs w:val="13"/>
                <w:color w:val="auto"/>
              </w:rPr>
              <w:t>1,023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1,023</w:t>
            </w: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5"/>
              </w:rPr>
              <w:t>Share-based compensation</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3,791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3,791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3,791</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Subsidiary dividends to</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72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(410)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38"/>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130"/>
        </w:trPr>
        <w:tc>
          <w:tcPr>
            <w:tcW w:w="1720" w:type="dxa"/>
            <w:vAlign w:val="bottom"/>
            <w:tcBorders>
              <w:top w:val="single" w:sz="8" w:color="CCEEFF"/>
            </w:tcBorders>
            <w:shd w:val="clear" w:color="auto" w:fill="CCEEFF"/>
          </w:tcPr>
          <w:p>
            <w:pPr>
              <w:ind w:left="180"/>
              <w:spacing w:after="0" w:line="131" w:lineRule="exact"/>
              <w:rPr>
                <w:sz w:val="20"/>
                <w:szCs w:val="20"/>
                <w:color w:val="auto"/>
              </w:rPr>
            </w:pPr>
            <w:r>
              <w:rPr>
                <w:rFonts w:ascii="Arial" w:cs="Arial" w:eastAsia="Arial" w:hAnsi="Arial"/>
                <w:sz w:val="13"/>
                <w:szCs w:val="13"/>
                <w:b w:val="1"/>
                <w:bCs w:val="1"/>
                <w:color w:val="auto"/>
                <w:w w:val="96"/>
              </w:rPr>
              <w:t>Balance at September 30,</w:t>
            </w:r>
          </w:p>
        </w:tc>
        <w:tc>
          <w:tcPr>
            <w:tcW w:w="68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285,335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285</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1,908,171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84,894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19,729</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(45,961)</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shd w:val="clear" w:color="auto" w:fill="CCEEFF"/>
          </w:tcPr>
          <w:p>
            <w:pPr>
              <w:jc w:val="right"/>
              <w:ind w:right="38"/>
              <w:spacing w:after="0"/>
              <w:rPr>
                <w:sz w:val="20"/>
                <w:szCs w:val="20"/>
                <w:color w:val="auto"/>
              </w:rPr>
            </w:pPr>
            <w:r>
              <w:rPr>
                <w:rFonts w:ascii="Arial" w:cs="Arial" w:eastAsia="Arial" w:hAnsi="Arial"/>
                <w:sz w:val="13"/>
                <w:szCs w:val="13"/>
                <w:color w:val="auto"/>
                <w:w w:val="96"/>
              </w:rPr>
              <w:t>(216,135)</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1,796,944</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rPr>
              <w:t>24,897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shd w:val="clear" w:color="auto" w:fill="CCEEFF"/>
          </w:tcPr>
          <w:p>
            <w:pPr>
              <w:jc w:val="right"/>
              <w:ind w:right="78"/>
              <w:spacing w:after="0"/>
              <w:rPr>
                <w:sz w:val="20"/>
                <w:szCs w:val="20"/>
                <w:color w:val="auto"/>
              </w:rPr>
            </w:pPr>
            <w:r>
              <w:rPr>
                <w:rFonts w:ascii="Arial" w:cs="Arial" w:eastAsia="Arial" w:hAnsi="Arial"/>
                <w:sz w:val="13"/>
                <w:szCs w:val="13"/>
                <w:color w:val="auto"/>
                <w:w w:val="93"/>
              </w:rPr>
              <w:t>1,821,841</w:t>
            </w:r>
          </w:p>
        </w:tc>
        <w:tc>
          <w:tcPr>
            <w:tcW w:w="0" w:type="dxa"/>
            <w:vAlign w:val="bottom"/>
          </w:tcPr>
          <w:p>
            <w:pPr>
              <w:spacing w:after="0"/>
              <w:rPr>
                <w:sz w:val="1"/>
                <w:szCs w:val="1"/>
                <w:color w:val="auto"/>
              </w:rPr>
            </w:pPr>
          </w:p>
        </w:tc>
      </w:tr>
      <w:tr>
        <w:trPr>
          <w:trHeight w:val="173"/>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b w:val="1"/>
                <w:bCs w:val="1"/>
                <w:color w:val="auto"/>
              </w:rPr>
              <w:t>2018</w:t>
            </w: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96"/>
        </w:trPr>
        <w:tc>
          <w:tcPr>
            <w:tcW w:w="8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196"/>
        </w:trPr>
        <w:tc>
          <w:tcPr>
            <w:tcW w:w="8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22,812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100,671</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398,013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429,181</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Other operating activities and non-cash items</w:t>
            </w:r>
          </w:p>
        </w:tc>
        <w:tc>
          <w:tcPr>
            <w:tcW w:w="18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51,533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(2,006)</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(189,026)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(100,628)</w:t>
            </w:r>
          </w:p>
        </w:tc>
      </w:tr>
      <w:tr>
        <w:trPr>
          <w:trHeight w:val="237"/>
        </w:trPr>
        <w:tc>
          <w:tcPr>
            <w:tcW w:w="8240" w:type="dxa"/>
            <w:vAlign w:val="bottom"/>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283,332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427,218</w:t>
            </w: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Payments for property, plant and equipment</w:t>
            </w:r>
          </w:p>
        </w:tc>
        <w:tc>
          <w:tcPr>
            <w:tcW w:w="1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(328,497)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(478,036)</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1,606</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Proceeds from insurance recovery for property, plant and equipment</w:t>
            </w:r>
          </w:p>
        </w:tc>
        <w:tc>
          <w:tcPr>
            <w:tcW w:w="18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3,160</w:t>
            </w:r>
          </w:p>
        </w:tc>
      </w:tr>
      <w:tr>
        <w:trPr>
          <w:trHeight w:val="237"/>
        </w:trPr>
        <w:tc>
          <w:tcPr>
            <w:tcW w:w="8240" w:type="dxa"/>
            <w:vAlign w:val="bottom"/>
          </w:tcPr>
          <w:p>
            <w:pPr>
              <w:ind w:left="4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(318,817)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(473,270)</w:t>
            </w: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Proceeds from revolving credit facilities</w:t>
            </w:r>
          </w:p>
        </w:tc>
        <w:tc>
          <w:tcPr>
            <w:tcW w:w="18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172,700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of revolving credit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(75,000)</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Proceeds from short-term debt</w:t>
            </w:r>
          </w:p>
        </w:tc>
        <w:tc>
          <w:tcPr>
            <w:tcW w:w="18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51,434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23,341</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of short-term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(35,125)</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714,375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372,226</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(847,155)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(279,697)</w:t>
            </w: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Payments of finance lease obligations</w:t>
            </w:r>
          </w:p>
        </w:tc>
        <w:tc>
          <w:tcPr>
            <w:tcW w:w="18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(2,669)</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(2,482)</w:t>
            </w:r>
          </w:p>
        </w:tc>
      </w:tr>
      <w:tr>
        <w:trPr>
          <w:trHeight w:val="237"/>
        </w:trPr>
        <w:tc>
          <w:tcPr>
            <w:tcW w:w="8240" w:type="dxa"/>
            <w:vAlign w:val="bottom"/>
          </w:tcPr>
          <w:p>
            <w:pPr>
              <w:ind w:left="46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(49,734)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594</w:t>
            </w:r>
          </w:p>
        </w:tc>
      </w:tr>
      <w:tr>
        <w:trPr>
          <w:trHeight w:val="27"/>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(3,273)</w:t>
            </w: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(83,834)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(48,731)</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688,051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602,851</w:t>
            </w:r>
          </w:p>
        </w:tc>
      </w:tr>
      <w:tr>
        <w:trPr>
          <w:trHeight w:val="264"/>
        </w:trPr>
        <w:tc>
          <w:tcPr>
            <w:tcW w:w="82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604,217</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554,120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43"/>
        </w:trPr>
        <w:tc>
          <w:tcPr>
            <w:tcW w:w="8240" w:type="dxa"/>
            <w:vAlign w:val="bottom"/>
          </w:tcPr>
          <w:p>
            <w:pPr>
              <w:ind w:left="460"/>
              <w:spacing w:after="0"/>
              <w:rPr>
                <w:sz w:val="20"/>
                <w:szCs w:val="20"/>
                <w:color w:val="auto"/>
              </w:rPr>
            </w:pPr>
            <w:r>
              <w:rPr>
                <w:rFonts w:ascii="Arial" w:cs="Arial" w:eastAsia="Arial" w:hAnsi="Arial"/>
                <w:sz w:val="18"/>
                <w:szCs w:val="18"/>
                <w:color w:val="auto"/>
              </w:rPr>
              <w:t>Property, plant and equipment included in capital expenditures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157,959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254,244</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Right of use assets acquired through finance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13,272</w:t>
            </w:r>
          </w:p>
        </w:tc>
      </w:tr>
      <w:tr>
        <w:trPr>
          <w:trHeight w:val="243"/>
        </w:trPr>
        <w:tc>
          <w:tcPr>
            <w:tcW w:w="8240" w:type="dxa"/>
            <w:vAlign w:val="bottom"/>
          </w:tcPr>
          <w:p>
            <w:pPr>
              <w:ind w:left="460"/>
              <w:spacing w:after="0"/>
              <w:rPr>
                <w:sz w:val="20"/>
                <w:szCs w:val="20"/>
                <w:color w:val="auto"/>
              </w:rPr>
            </w:pPr>
            <w:r>
              <w:rPr>
                <w:rFonts w:ascii="Arial" w:cs="Arial" w:eastAsia="Arial" w:hAnsi="Arial"/>
                <w:sz w:val="18"/>
                <w:szCs w:val="18"/>
                <w:color w:val="auto"/>
              </w:rPr>
              <w:t>Right of use assets acquired through operating lease liabilities</w:t>
            </w:r>
          </w:p>
        </w:tc>
        <w:tc>
          <w:tcPr>
            <w:tcW w:w="18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42,217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Consolidated Financial Statements and related disclosures as of September 30, 2019, and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and 2018, are unaudited, pursuant to the rules and regulations of the United States Securities and Exchange Commission (“SEC”). The December 31, 2018 Consolidated Balance Sheet data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These financial statements should be read in conjunction with the financial statements included in our Annual Report for the year ended December 31, 2018, filed on Form 10-K with the SEC on February 22, 2019. The results of operations for the three and nine months ended September 30, 2019 are not necessarily indicative of the results to be expected for the full year. Unless the context otherwise requires, all references to “Amkor,” “we,” “us,” “our” or the “company” are to Amkor Technology, Inc. and our subsidiaries.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Consolidated Financial Statements have been prepared in conformity with U.S. GAAP, using management’s best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balance of goodwill in our Consolidated Balance Sheets reflects adjustments for foreign currency translation.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Unbilled Receivables</w:t>
      </w:r>
      <w:r>
        <w:rPr>
          <w:rFonts w:ascii="Arial" w:cs="Arial" w:eastAsia="Arial" w:hAnsi="Arial"/>
          <w:sz w:val="17"/>
          <w:szCs w:val="17"/>
          <w:color w:val="auto"/>
        </w:rPr>
        <w:t>. Total unbilled receivables as of September 30, 2019 and December 31, 2018 were $109.7 million and $89.3 million,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Standards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was subsequently amended and clarified. Topic 842 requires a dual approach for lease accounting under which a lessee would account for leases as finance leases or operating leases. The standard also requires the lessee to recognize a right-of-use asset and a corresponding lease liability for both finance leases and operating leases. For finance leases, the lessee recognizes interest expense and amortization of the right-of-use asset, and for operating leases, the lessee recognizes a straight-line lease expense. The standard permits the use of two alternative transition approaches, either with application in all comparative periods presented or with application beginning with the effective date without restating comparative period financial statements.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Effective January 1, 2019, we adopted the requirements of Topic 842 using the modified transition approach without restating the comparative period financial statements. The new standard resulted in increases in our operating lease right of use asset, accrued expenses and long-term operating lease liability account balances to record our operating leases on our Consolidated Balance Sheet. The new standard also resulted in additional disclosures for our operating and finance leases (Note 10). In accordance with Topic 842, we applied practical expedients permitted under the transition guidance, which allowed us to not:</w:t>
      </w:r>
    </w:p>
    <w:p>
      <w:pPr>
        <w:spacing w:after="0" w:line="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Reassess whether any existing contracts are or contain a lease,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Reassess the lease classification for any existing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Reassess initial direct costs for any existing leases,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Separate non-lease components from lease components and instead to account for them as a single lease component for all asset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Net Sales by Product Group and End Market</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Net sales by product group consist of the following: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Advanced products (1)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Mainstream products (2)</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31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98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96"/>
        </w:trPr>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190"/>
        </w:trPr>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5"/>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7"/>
              <w:spacing w:after="0"/>
              <w:rPr>
                <w:sz w:val="20"/>
                <w:szCs w:val="20"/>
                <w:color w:val="auto"/>
              </w:rPr>
            </w:pPr>
            <w:r>
              <w:rPr>
                <w:rFonts w:ascii="Arial" w:cs="Arial" w:eastAsia="Arial" w:hAnsi="Arial"/>
                <w:sz w:val="18"/>
                <w:szCs w:val="18"/>
                <w:color w:val="auto"/>
              </w:rPr>
              <w:t>588,975</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582,165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1,444,059</w:t>
            </w:r>
          </w:p>
        </w:tc>
        <w:tc>
          <w:tcPr>
            <w:tcW w:w="1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1,554,158</w:t>
            </w:r>
          </w:p>
        </w:tc>
      </w:tr>
      <w:tr>
        <w:trPr>
          <w:trHeight w:val="270"/>
        </w:trPr>
        <w:tc>
          <w:tcPr>
            <w:tcW w:w="160" w:type="dxa"/>
            <w:vAlign w:val="bottom"/>
          </w:tcPr>
          <w:p>
            <w:pPr>
              <w:spacing w:after="0"/>
              <w:rPr>
                <w:sz w:val="23"/>
                <w:szCs w:val="23"/>
                <w:color w:val="auto"/>
              </w:rPr>
            </w:pPr>
          </w:p>
        </w:tc>
        <w:tc>
          <w:tcPr>
            <w:tcW w:w="1360" w:type="dxa"/>
            <w:vAlign w:val="bottom"/>
          </w:tcPr>
          <w:p>
            <w:pPr>
              <w:jc w:val="right"/>
              <w:ind w:right="77"/>
              <w:spacing w:after="0"/>
              <w:rPr>
                <w:sz w:val="20"/>
                <w:szCs w:val="20"/>
                <w:color w:val="auto"/>
              </w:rPr>
            </w:pPr>
            <w:r>
              <w:rPr>
                <w:rFonts w:ascii="Arial" w:cs="Arial" w:eastAsia="Arial" w:hAnsi="Arial"/>
                <w:sz w:val="18"/>
                <w:szCs w:val="18"/>
                <w:color w:val="auto"/>
              </w:rPr>
              <w:t>494,942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562,027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1,430,127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1,681,037</w:t>
            </w:r>
          </w:p>
        </w:tc>
      </w:tr>
      <w:tr>
        <w:trPr>
          <w:trHeight w:val="27"/>
        </w:trPr>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7"/>
              <w:spacing w:after="0"/>
              <w:rPr>
                <w:sz w:val="20"/>
                <w:szCs w:val="20"/>
                <w:color w:val="auto"/>
              </w:rPr>
            </w:pPr>
            <w:r>
              <w:rPr>
                <w:rFonts w:ascii="Arial" w:cs="Arial" w:eastAsia="Arial" w:hAnsi="Arial"/>
                <w:sz w:val="18"/>
                <w:szCs w:val="18"/>
                <w:color w:val="auto"/>
              </w:rPr>
              <w:t>1,083,917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1,144,192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2,874,186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3,235,195</w:t>
            </w:r>
          </w:p>
        </w:tc>
      </w:tr>
      <w:tr>
        <w:trPr>
          <w:trHeight w:val="27"/>
        </w:trPr>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-556895</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-213995</wp:posOffset>
            </wp:positionV>
            <wp:extent cx="723773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720"/>
            <w:col w:w="6420"/>
          </w:cols>
          <w:pgMar w:left="240" w:top="121" w:right="239" w:bottom="1440" w:gutter="0" w:footer="0" w:header="0"/>
          <w:type w:val="continuous"/>
        </w:sectPr>
      </w:pPr>
    </w:p>
    <w:p>
      <w:pPr>
        <w:spacing w:after="0" w:line="13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Advanced products include flip chip and wafer-level processing and related test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Mainstream products include wirebond packaging and related test services.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Net sales by end market consist of the following: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40" w:type="dxa"/>
            <w:vAlign w:val="bottom"/>
            <w:gridSpan w:val="9"/>
          </w:tcPr>
          <w:p>
            <w:pPr>
              <w:jc w:val="center"/>
              <w:spacing w:after="0"/>
              <w:rPr>
                <w:sz w:val="20"/>
                <w:szCs w:val="20"/>
                <w:color w:val="auto"/>
              </w:rPr>
            </w:pPr>
            <w:r>
              <w:rPr>
                <w:rFonts w:ascii="Arial" w:cs="Arial" w:eastAsia="Arial" w:hAnsi="Arial"/>
                <w:sz w:val="14"/>
                <w:szCs w:val="14"/>
                <w:b w:val="1"/>
                <w:bCs w:val="1"/>
                <w:color w:val="auto"/>
                <w:w w:val="93"/>
              </w:rPr>
              <w:t>For the Three Months Ended September</w:t>
            </w:r>
          </w:p>
        </w:tc>
        <w:tc>
          <w:tcPr>
            <w:tcW w:w="100" w:type="dxa"/>
            <w:vAlign w:val="bottom"/>
          </w:tcPr>
          <w:p>
            <w:pPr>
              <w:spacing w:after="0"/>
              <w:rPr>
                <w:sz w:val="14"/>
                <w:szCs w:val="14"/>
                <w:color w:val="auto"/>
              </w:rPr>
            </w:pPr>
          </w:p>
        </w:tc>
        <w:tc>
          <w:tcPr>
            <w:tcW w:w="2520" w:type="dxa"/>
            <w:vAlign w:val="bottom"/>
            <w:gridSpan w:val="9"/>
          </w:tcPr>
          <w:p>
            <w:pPr>
              <w:jc w:val="center"/>
              <w:spacing w:after="0"/>
              <w:rPr>
                <w:sz w:val="20"/>
                <w:szCs w:val="20"/>
                <w:color w:val="auto"/>
              </w:rPr>
            </w:pPr>
            <w:r>
              <w:rPr>
                <w:rFonts w:ascii="Arial" w:cs="Arial" w:eastAsia="Arial" w:hAnsi="Arial"/>
                <w:sz w:val="14"/>
                <w:szCs w:val="14"/>
                <w:b w:val="1"/>
                <w:bCs w:val="1"/>
                <w:color w:val="auto"/>
                <w:w w:val="93"/>
              </w:rPr>
              <w:t>For the Nine Months Ended September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30,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30,</w:t>
            </w: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92"/>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Communications (handheld devices, smartphones, tablets)</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39</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0" w:type="dxa"/>
            <w:vAlign w:val="bottom"/>
            <w:gridSpan w:val="5"/>
          </w:tcPr>
          <w:p>
            <w:pPr>
              <w:ind w:left="20"/>
              <w:spacing w:after="0"/>
              <w:rPr>
                <w:sz w:val="20"/>
                <w:szCs w:val="20"/>
                <w:color w:val="auto"/>
              </w:rPr>
            </w:pPr>
            <w:r>
              <w:rPr>
                <w:rFonts w:ascii="Arial" w:cs="Arial" w:eastAsia="Arial" w:hAnsi="Arial"/>
                <w:sz w:val="18"/>
                <w:szCs w:val="18"/>
                <w:color w:val="auto"/>
              </w:rPr>
              <w:t>Automotive, industrial and other (driver assist, infotainment, performance, safety)</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Computing (datacenter, infrastructure, PC/laptop, storage)</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1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91"/>
              </w:rPr>
              <w:t>Consumer (connected home, set-top boxes, televisions, visual imaging, wearables)</w:t>
            </w:r>
          </w:p>
        </w:tc>
        <w:tc>
          <w:tcPr>
            <w:tcW w:w="480" w:type="dxa"/>
            <w:vAlign w:val="bottom"/>
            <w:tcBorders>
              <w:bottom w:val="single" w:sz="8" w:color="auto"/>
            </w:tcBorders>
            <w:gridSpan w:val="2"/>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9"/>
              </w:rPr>
              <w:t>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Other Income and Expense</w:t>
            </w: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80" w:type="dxa"/>
            <w:vAlign w:val="bottom"/>
            <w:gridSpan w:val="2"/>
          </w:tcPr>
          <w:p>
            <w:pPr>
              <w:spacing w:after="0"/>
              <w:rPr>
                <w:sz w:val="20"/>
                <w:szCs w:val="20"/>
                <w:color w:val="auto"/>
              </w:rPr>
            </w:pPr>
            <w:r>
              <w:rPr>
                <w:rFonts w:ascii="Arial" w:cs="Arial" w:eastAsia="Arial" w:hAnsi="Arial"/>
                <w:sz w:val="18"/>
                <w:szCs w:val="18"/>
                <w:color w:val="auto"/>
              </w:rPr>
              <w:t>Other income and expense consists of the following:</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gridSpan w:val="9"/>
          </w:tcPr>
          <w:p>
            <w:pPr>
              <w:ind w:left="60"/>
              <w:spacing w:after="0"/>
              <w:rPr>
                <w:sz w:val="20"/>
                <w:szCs w:val="20"/>
                <w:color w:val="auto"/>
              </w:rPr>
            </w:pPr>
            <w:r>
              <w:rPr>
                <w:rFonts w:ascii="Arial" w:cs="Arial" w:eastAsia="Arial" w:hAnsi="Arial"/>
                <w:sz w:val="14"/>
                <w:szCs w:val="14"/>
                <w:b w:val="1"/>
                <w:bCs w:val="1"/>
                <w:color w:val="auto"/>
              </w:rPr>
              <w:t>For the Three Months Ended September 30,</w:t>
            </w:r>
          </w:p>
        </w:tc>
        <w:tc>
          <w:tcPr>
            <w:tcW w:w="2960" w:type="dxa"/>
            <w:vAlign w:val="bottom"/>
            <w:gridSpan w:val="10"/>
          </w:tcPr>
          <w:p>
            <w:pPr>
              <w:jc w:val="right"/>
              <w:spacing w:after="0"/>
              <w:rPr>
                <w:sz w:val="20"/>
                <w:szCs w:val="20"/>
                <w:color w:val="auto"/>
              </w:rPr>
            </w:pPr>
            <w:r>
              <w:rPr>
                <w:rFonts w:ascii="Arial" w:cs="Arial" w:eastAsia="Arial" w:hAnsi="Arial"/>
                <w:sz w:val="14"/>
                <w:szCs w:val="14"/>
                <w:b w:val="1"/>
                <w:bCs w:val="1"/>
                <w:color w:val="auto"/>
              </w:rPr>
              <w:t>For the Nine Months Ended September 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91"/>
              </w:rPr>
              <w:t>(2,884)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160" w:type="dxa"/>
            <w:vAlign w:val="bottom"/>
          </w:tcPr>
          <w:p>
            <w:pPr>
              <w:spacing w:after="0"/>
              <w:rPr>
                <w:sz w:val="21"/>
                <w:szCs w:val="21"/>
                <w:color w:val="auto"/>
              </w:rPr>
            </w:pP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ind w:right="75"/>
              <w:spacing w:after="0"/>
              <w:rPr>
                <w:sz w:val="20"/>
                <w:szCs w:val="20"/>
                <w:color w:val="auto"/>
              </w:rPr>
            </w:pPr>
            <w:r>
              <w:rPr>
                <w:rFonts w:ascii="Arial" w:cs="Arial" w:eastAsia="Arial" w:hAnsi="Arial"/>
                <w:sz w:val="18"/>
                <w:szCs w:val="18"/>
                <w:color w:val="auto"/>
                <w:w w:val="88"/>
              </w:rPr>
              <w:t>1,352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left="233"/>
              <w:spacing w:after="0"/>
              <w:rPr>
                <w:sz w:val="20"/>
                <w:szCs w:val="20"/>
                <w:color w:val="auto"/>
              </w:rPr>
            </w:pPr>
            <w:r>
              <w:rPr>
                <w:rFonts w:ascii="Arial" w:cs="Arial" w:eastAsia="Arial" w:hAnsi="Arial"/>
                <w:sz w:val="18"/>
                <w:szCs w:val="18"/>
                <w:color w:val="auto"/>
                <w:w w:val="91"/>
              </w:rPr>
              <w:t>(1,045)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debt retirement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88"/>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left="253"/>
              <w:spacing w:after="0"/>
              <w:rPr>
                <w:sz w:val="20"/>
                <w:szCs w:val="20"/>
                <w:color w:val="auto"/>
              </w:rPr>
            </w:pPr>
            <w:r>
              <w:rPr>
                <w:rFonts w:ascii="Arial" w:cs="Arial" w:eastAsia="Arial" w:hAnsi="Arial"/>
                <w:sz w:val="18"/>
                <w:szCs w:val="18"/>
                <w:color w:val="auto"/>
                <w:w w:val="93"/>
              </w:rPr>
              <w:t>1,167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left="233"/>
              <w:spacing w:after="0"/>
              <w:rPr>
                <w:sz w:val="20"/>
                <w:szCs w:val="20"/>
                <w:color w:val="auto"/>
              </w:rPr>
            </w:pPr>
            <w:r>
              <w:rPr>
                <w:rFonts w:ascii="Arial" w:cs="Arial" w:eastAsia="Arial" w:hAnsi="Arial"/>
                <w:sz w:val="18"/>
                <w:szCs w:val="18"/>
                <w:color w:val="auto"/>
                <w:w w:val="91"/>
              </w:rPr>
              <w:t>(3,492)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88"/>
              </w:rPr>
              <w:t>1,315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gridSpan w:val="2"/>
            <w:shd w:val="clear" w:color="auto" w:fill="CCEEFF"/>
          </w:tcPr>
          <w:p>
            <w:pPr>
              <w:jc w:val="center"/>
              <w:ind w:left="233"/>
              <w:spacing w:after="0"/>
              <w:rPr>
                <w:sz w:val="20"/>
                <w:szCs w:val="20"/>
                <w:color w:val="auto"/>
              </w:rPr>
            </w:pPr>
            <w:r>
              <w:rPr>
                <w:rFonts w:ascii="Arial" w:cs="Arial" w:eastAsia="Arial" w:hAnsi="Arial"/>
                <w:sz w:val="18"/>
                <w:szCs w:val="18"/>
                <w:color w:val="auto"/>
                <w:w w:val="91"/>
              </w:rPr>
              <w:t>(6,254)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of $36.4 million for the nine months ended September 30, 2019 reflects income taxes, foreign withholding taxes and minimum taxes. Income tax expense for the nine months ended September 30, 2019 also includes an $11.8 million discrete tax expense primarily for the recognition of a valuation allowance for certain deferred tax assets.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projected future taxable income, tax-planning strategies and results of recent operations. Based on current projections of future taxable income in foreign jurisdictions, certain foreign deferred tax assets are not expected to be realized, including certain tax credit carryforwards that are expected to expire unused.</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a valuation allowance on a portion of our U.S. net deferred tax assets for deferred interest expense carryforwards, net operating loss carryforwards and foreign tax credit carryforwards that are expected to expire unused. Such valuation allowances are released as the related tax benefits are realized or when sufficient evidence exists to conclude that it is more likely than not that the deferred tax assets will be realized.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Unrecognized tax benefits represent reserves for potential tax deficiencies or reductions in tax benefits that could result from federal, state or foreign tax audits. Gross unrecognized tax benefits decreased from $25.3 million at December 31, 2018 to $20.4 million as of September 30, 2019, primarily related to the effective settlement of an examination.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tax returns that are open to examination in various jurisdictions for tax years 2012-2018. The open years contain matters that could be subject to differing interpretations of applicable tax laws and regulations related to the amount 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 Current examinations include income tax returns in the Philippines (2012-2013) and Korea (2015-2018).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and unvested restricted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EPS: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296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96"/>
        </w:trPr>
        <w:tc>
          <w:tcPr>
            <w:tcW w:w="49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152"/>
        </w:trPr>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5"/>
          </w:tcPr>
          <w:p>
            <w:pPr>
              <w:jc w:val="center"/>
              <w:ind w:right="500"/>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2"/>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54,070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56,662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21,741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98,797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Weighted-average number of common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239,586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239,370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239,503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239,312</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 options and restricted share awards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471</w:t>
            </w:r>
          </w:p>
        </w:tc>
      </w:tr>
      <w:tr>
        <w:trPr>
          <w:trHeight w:val="264"/>
        </w:trPr>
        <w:tc>
          <w:tcPr>
            <w:tcW w:w="4980" w:type="dxa"/>
            <w:vAlign w:val="bottom"/>
          </w:tcPr>
          <w:p>
            <w:pPr>
              <w:ind w:left="20"/>
              <w:spacing w:after="0"/>
              <w:rPr>
                <w:sz w:val="20"/>
                <w:szCs w:val="20"/>
                <w:color w:val="auto"/>
              </w:rPr>
            </w:pPr>
            <w:r>
              <w:rPr>
                <w:rFonts w:ascii="Arial" w:cs="Arial" w:eastAsia="Arial" w:hAnsi="Arial"/>
                <w:sz w:val="18"/>
                <w:szCs w:val="18"/>
                <w:color w:val="auto"/>
                <w:w w:val="90"/>
              </w:rPr>
              <w:t>Weighted-average number of common shares outstanding — diluted</w:t>
            </w:r>
          </w:p>
        </w:tc>
        <w:tc>
          <w:tcPr>
            <w:tcW w:w="16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239,937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239,766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239,858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239,783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Amkor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0.41</w:t>
            </w: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0.41</w:t>
            </w:r>
          </w:p>
        </w:tc>
      </w:tr>
      <w:tr>
        <w:trPr>
          <w:trHeight w:val="27"/>
        </w:trPr>
        <w:tc>
          <w:tcPr>
            <w:tcW w:w="4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For the Three Months Ended September 30,</w:t>
            </w:r>
          </w:p>
        </w:tc>
        <w:tc>
          <w:tcPr>
            <w:tcW w:w="10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96"/>
        </w:trPr>
        <w:tc>
          <w:tcPr>
            <w:tcW w:w="5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ind w:right="54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520" w:type="dxa"/>
            <w:vAlign w:val="bottom"/>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40" w:type="dxa"/>
            <w:vAlign w:val="bottom"/>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196"/>
        </w:trPr>
        <w:tc>
          <w:tcPr>
            <w:tcW w:w="50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gridSpan w:val="4"/>
          </w:tcPr>
          <w:p>
            <w:pPr>
              <w:ind w:left="1140"/>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Borders>
              <w:top w:val="single" w:sz="8" w:color="auto"/>
            </w:tcBorders>
          </w:tcPr>
          <w:p>
            <w:pPr>
              <w:spacing w:after="0"/>
              <w:rPr>
                <w:sz w:val="17"/>
                <w:szCs w:val="17"/>
                <w:color w:val="auto"/>
              </w:rPr>
            </w:pPr>
          </w:p>
        </w:tc>
      </w:tr>
      <w:tr>
        <w:trPr>
          <w:trHeight w:val="296"/>
        </w:trPr>
        <w:tc>
          <w:tcPr>
            <w:tcW w:w="5940" w:type="dxa"/>
            <w:vAlign w:val="bottom"/>
            <w:gridSpan w:val="2"/>
            <w:shd w:val="clear" w:color="auto" w:fill="CCEEFF"/>
          </w:tcPr>
          <w:p>
            <w:pPr>
              <w:jc w:val="right"/>
              <w:ind w:right="2848"/>
              <w:spacing w:after="0"/>
              <w:rPr>
                <w:sz w:val="20"/>
                <w:szCs w:val="20"/>
                <w:color w:val="auto"/>
              </w:rPr>
            </w:pPr>
            <w:r>
              <w:rPr>
                <w:rFonts w:ascii="Arial" w:cs="Arial" w:eastAsia="Arial" w:hAnsi="Arial"/>
                <w:sz w:val="18"/>
                <w:szCs w:val="18"/>
                <w:color w:val="auto"/>
                <w:w w:val="89"/>
              </w:rPr>
              <w:t>Stock options and restricted share awards</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6,347</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6,487</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3,544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Income (Loss)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consist of the following:</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6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9"/>
              </w:rPr>
              <w:t>Defined Benefit Pension</w:t>
            </w:r>
          </w:p>
        </w:tc>
        <w:tc>
          <w:tcPr>
            <w:tcW w:w="140" w:type="dxa"/>
            <w:vAlign w:val="bottom"/>
          </w:tcPr>
          <w:p>
            <w:pPr>
              <w:spacing w:after="0"/>
              <w:rPr>
                <w:sz w:val="14"/>
                <w:szCs w:val="1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14"/>
                <w:szCs w:val="14"/>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1640" w:type="dxa"/>
            <w:vAlign w:val="bottom"/>
            <w:tcBorders>
              <w:bottom w:val="single" w:sz="8" w:color="auto"/>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 (loss) at December 31, 2018</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2,659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21,153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23,812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540" w:type="dxa"/>
            <w:vAlign w:val="bottom"/>
          </w:tcPr>
          <w:p>
            <w:pPr>
              <w:spacing w:after="0"/>
              <w:rPr>
                <w:sz w:val="21"/>
                <w:szCs w:val="21"/>
                <w:color w:val="auto"/>
              </w:rPr>
            </w:pP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ind w:right="77"/>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3,745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440"/>
              <w:spacing w:after="0"/>
              <w:rPr>
                <w:sz w:val="20"/>
                <w:szCs w:val="20"/>
                <w:color w:val="auto"/>
              </w:rPr>
            </w:pPr>
            <w:r>
              <w:rPr>
                <w:rFonts w:ascii="Arial" w:cs="Arial" w:eastAsia="Arial" w:hAnsi="Arial"/>
                <w:sz w:val="18"/>
                <w:szCs w:val="18"/>
                <w:color w:val="auto"/>
              </w:rPr>
              <w:t>Other comprehensive income (loss)</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3,431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 (loss) at September 30, 2019</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2,345</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24,898</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27,243</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6600" w:type="dxa"/>
            <w:vAlign w:val="bottom"/>
          </w:tcPr>
          <w:p>
            <w:pPr>
              <w:spacing w:after="0"/>
              <w:rPr>
                <w:sz w:val="24"/>
                <w:szCs w:val="24"/>
                <w:color w:val="auto"/>
              </w:rPr>
            </w:pPr>
          </w:p>
        </w:tc>
        <w:tc>
          <w:tcPr>
            <w:tcW w:w="16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9"/>
              </w:rPr>
              <w:t>Defined Benefit Pension</w:t>
            </w:r>
          </w:p>
        </w:tc>
        <w:tc>
          <w:tcPr>
            <w:tcW w:w="140" w:type="dxa"/>
            <w:vAlign w:val="bottom"/>
          </w:tcPr>
          <w:p>
            <w:pPr>
              <w:spacing w:after="0"/>
              <w:rPr>
                <w:sz w:val="24"/>
                <w:szCs w:val="2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24"/>
                <w:szCs w:val="24"/>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16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 (loss) at December 31, 2017</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6,303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16,216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22,519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540" w:type="dxa"/>
            <w:vAlign w:val="bottom"/>
          </w:tcPr>
          <w:p>
            <w:pPr>
              <w:spacing w:after="0"/>
              <w:rPr>
                <w:sz w:val="21"/>
                <w:szCs w:val="21"/>
                <w:color w:val="auto"/>
              </w:rPr>
            </w:pPr>
          </w:p>
        </w:tc>
        <w:tc>
          <w:tcPr>
            <w:tcW w:w="11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440"/>
              <w:spacing w:after="0"/>
              <w:rPr>
                <w:sz w:val="20"/>
                <w:szCs w:val="20"/>
                <w:color w:val="auto"/>
              </w:rPr>
            </w:pPr>
            <w:r>
              <w:rPr>
                <w:rFonts w:ascii="Arial" w:cs="Arial" w:eastAsia="Arial" w:hAnsi="Arial"/>
                <w:sz w:val="18"/>
                <w:szCs w:val="18"/>
                <w:color w:val="auto"/>
              </w:rPr>
              <w:t>Other comprehensive income (loss)</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 (loss) at September 30, 2018</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6,177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13,552</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19,729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Amounts reclassified out of accumulated other comprehensive income (loss) are included as a component of net periodic pension cost (Note 13).</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Factoring of Accounts Receivable</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three and nine months ended September 30, 2019, we sold receivables totaling $175.4 million and $480.2 million, net of discounts and fees of $1.1 million and $3.3 million, respectively. For the three and nine months ended September 30, 2018, we sold receivables totaling $193.6 million and $622.2 million, net of discounts and fees of $1.6 million and $5.4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Plant and Equipment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3"/>
              </w:rPr>
              <w:t>December 31, 2018</w:t>
            </w:r>
          </w:p>
        </w:tc>
      </w:t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4"/>
          </w:tcPr>
          <w:p>
            <w:pPr>
              <w:jc w:val="right"/>
              <w:ind w:right="105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219,928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222,884</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Land use rights (1)</w:t>
            </w:r>
          </w:p>
        </w:tc>
        <w:tc>
          <w:tcPr>
            <w:tcW w:w="1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26,845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1,571,315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1,523,065</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5,298,866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5,196,930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25,874</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Software and computer equipment</w:t>
            </w:r>
          </w:p>
        </w:tc>
        <w:tc>
          <w:tcPr>
            <w:tcW w:w="12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219,463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213,440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other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17,204</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11,330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44,381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7,371,642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7,270,623</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(4,905,575)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(4,620,175)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property, plant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2,466,067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2,650,448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right="320" w:hanging="328"/>
        <w:spacing w:after="0" w:line="277"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January 1, 2019, and in connection with the adoption of Topic 842, land use rights were reclassified to operating lease right of use asset within our Consolidated Balance Sheet.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depreciation expense:</w:t>
      </w:r>
    </w:p>
    <w:p>
      <w:pPr>
        <w:spacing w:after="0" w:line="55"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2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8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96"/>
        </w:trPr>
        <w:tc>
          <w:tcPr>
            <w:tcW w:w="52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r>
      <w:tr>
        <w:trPr>
          <w:trHeight w:val="196"/>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60" w:type="dxa"/>
            <w:vAlign w:val="bottom"/>
            <w:gridSpan w:val="4"/>
          </w:tcPr>
          <w:p>
            <w:pPr>
              <w:jc w:val="right"/>
              <w:ind w:right="922"/>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128,846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143,334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396,984</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427,836</w:t>
            </w:r>
          </w:p>
        </w:tc>
      </w:tr>
      <w:tr>
        <w:trPr>
          <w:trHeight w:val="27"/>
        </w:trPr>
        <w:tc>
          <w:tcPr>
            <w:tcW w:w="5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lease certain machinery and equipment, office space and manufacturing facilities. Leases with an initial term of 12 months or less are not recorded on the balance sheet, and we recognize lease expense for these leases on a straight-line basis over the lease term. We account for lease components (e.g., fixed payments including rent, real estate taxes and insurance costs) combined with the non-lease components (e.g., common-area maintenance costs). We use our incremental borrowing rate based on the information available at the lease commencement date to determine the lease liability. Our leases have remaining lease terms ranging from less than one year to 86 years. For purposes of calculating our lease liabilities, our lease terms include options to extend or terminate the lease when it is reasonably certain that we will exercise those options. Certain leases also include options to purchase the leased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For the 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right"/>
              <w:ind w:right="33"/>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92"/>
        </w:trPr>
        <w:tc>
          <w:tcPr>
            <w:tcW w:w="4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September 30, 2019</w:t>
            </w:r>
          </w:p>
        </w:tc>
      </w:tr>
      <w:tr>
        <w:trPr>
          <w:trHeight w:val="196"/>
        </w:trPr>
        <w:tc>
          <w:tcPr>
            <w:tcW w:w="4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gridSpan w:val="5"/>
          </w:tcPr>
          <w:p>
            <w:pPr>
              <w:jc w:val="right"/>
              <w:ind w:right="155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0" w:type="dxa"/>
            <w:vAlign w:val="bottom"/>
          </w:tcPr>
          <w:p>
            <w:pPr>
              <w:spacing w:after="0"/>
              <w:rPr>
                <w:sz w:val="22"/>
                <w:szCs w:val="22"/>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11,664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29,389</w:t>
            </w:r>
          </w:p>
        </w:tc>
      </w:tr>
      <w:tr>
        <w:trPr>
          <w:trHeight w:val="243"/>
        </w:trPr>
        <w:tc>
          <w:tcPr>
            <w:tcW w:w="4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of leased assets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3,628</w:t>
            </w:r>
          </w:p>
        </w:tc>
      </w:tr>
      <w:tr>
        <w:trPr>
          <w:trHeight w:val="243"/>
        </w:trPr>
        <w:tc>
          <w:tcPr>
            <w:tcW w:w="40" w:type="dxa"/>
            <w:vAlign w:val="bottom"/>
          </w:tcPr>
          <w:p>
            <w:pPr>
              <w:spacing w:after="0"/>
              <w:rPr>
                <w:sz w:val="21"/>
                <w:szCs w:val="21"/>
                <w:color w:val="auto"/>
              </w:rPr>
            </w:pPr>
          </w:p>
        </w:tc>
        <w:tc>
          <w:tcPr>
            <w:tcW w:w="71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240" w:type="dxa"/>
            <w:vAlign w:val="bottom"/>
          </w:tcPr>
          <w:p>
            <w:pPr>
              <w:spacing w:after="0"/>
              <w:rPr>
                <w:sz w:val="21"/>
                <w:szCs w:val="21"/>
                <w:color w:val="auto"/>
              </w:rPr>
            </w:pPr>
          </w:p>
        </w:tc>
        <w:tc>
          <w:tcPr>
            <w:tcW w:w="1720" w:type="dxa"/>
            <w:vAlign w:val="bottom"/>
          </w:tcPr>
          <w:p>
            <w:pPr>
              <w:jc w:val="right"/>
              <w:ind w:right="74"/>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jc w:val="right"/>
              <w:ind w:right="73"/>
              <w:spacing w:after="0"/>
              <w:rPr>
                <w:sz w:val="20"/>
                <w:szCs w:val="20"/>
                <w:color w:val="auto"/>
              </w:rPr>
            </w:pPr>
            <w:r>
              <w:rPr>
                <w:rFonts w:ascii="Arial" w:cs="Arial" w:eastAsia="Arial" w:hAnsi="Arial"/>
                <w:sz w:val="18"/>
                <w:szCs w:val="18"/>
                <w:color w:val="auto"/>
              </w:rPr>
              <w:t>666</w:t>
            </w:r>
          </w:p>
        </w:tc>
      </w:tr>
      <w:tr>
        <w:trPr>
          <w:trHeight w:val="27"/>
        </w:trPr>
        <w:tc>
          <w:tcPr>
            <w:tcW w:w="40" w:type="dxa"/>
            <w:vAlign w:val="bottom"/>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lease cost</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4,294</w:t>
            </w:r>
          </w:p>
        </w:tc>
      </w:tr>
      <w:tr>
        <w:trPr>
          <w:trHeight w:val="243"/>
        </w:trPr>
        <w:tc>
          <w:tcPr>
            <w:tcW w:w="4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21"/>
                <w:szCs w:val="21"/>
                <w:color w:val="auto"/>
              </w:rPr>
            </w:pPr>
          </w:p>
        </w:tc>
        <w:tc>
          <w:tcPr>
            <w:tcW w:w="1720" w:type="dxa"/>
            <w:vAlign w:val="bottom"/>
          </w:tcPr>
          <w:p>
            <w:pPr>
              <w:jc w:val="right"/>
              <w:ind w:right="74"/>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jc w:val="right"/>
              <w:ind w:right="73"/>
              <w:spacing w:after="0"/>
              <w:rPr>
                <w:sz w:val="20"/>
                <w:szCs w:val="20"/>
                <w:color w:val="auto"/>
              </w:rPr>
            </w:pPr>
            <w:r>
              <w:rPr>
                <w:rFonts w:ascii="Arial" w:cs="Arial" w:eastAsia="Arial" w:hAnsi="Arial"/>
                <w:sz w:val="18"/>
                <w:szCs w:val="18"/>
                <w:color w:val="auto"/>
              </w:rPr>
              <w:t>6,411</w:t>
            </w:r>
          </w:p>
        </w:tc>
      </w:tr>
      <w:tr>
        <w:trPr>
          <w:trHeight w:val="27"/>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4,557</w:t>
            </w:r>
          </w:p>
        </w:tc>
      </w:tr>
      <w:tr>
        <w:trPr>
          <w:trHeight w:val="264"/>
        </w:trPr>
        <w:tc>
          <w:tcPr>
            <w:tcW w:w="40" w:type="dxa"/>
            <w:vAlign w:val="bottom"/>
          </w:tcPr>
          <w:p>
            <w:pPr>
              <w:spacing w:after="0"/>
              <w:rPr>
                <w:sz w:val="22"/>
                <w:szCs w:val="22"/>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Net lease cost</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16,813</w:t>
            </w:r>
          </w:p>
        </w:tc>
        <w:tc>
          <w:tcPr>
            <w:tcW w:w="24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44,651</w:t>
            </w:r>
          </w:p>
        </w:tc>
      </w:tr>
      <w:tr>
        <w:trPr>
          <w:trHeight w:val="21"/>
        </w:trPr>
        <w:tc>
          <w:tcPr>
            <w:tcW w:w="7200" w:type="dxa"/>
            <w:vAlign w:val="bottom"/>
            <w:gridSpan w:val="2"/>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669"/>
        </w:trPr>
        <w:tc>
          <w:tcPr>
            <w:tcW w:w="9160" w:type="dxa"/>
            <w:vAlign w:val="bottom"/>
            <w:gridSpan w:val="4"/>
          </w:tcPr>
          <w:p>
            <w:pPr>
              <w:spacing w:after="0"/>
              <w:rPr>
                <w:sz w:val="20"/>
                <w:szCs w:val="20"/>
                <w:color w:val="auto"/>
              </w:rPr>
            </w:pPr>
            <w:r>
              <w:rPr>
                <w:rFonts w:ascii="Arial" w:cs="Arial" w:eastAsia="Arial" w:hAnsi="Arial"/>
                <w:sz w:val="18"/>
                <w:szCs w:val="18"/>
                <w:color w:val="auto"/>
                <w:w w:val="98"/>
              </w:rPr>
              <w:t>Rent expense was $9.3 million and $33.4 million for three and nine months ended September 30, 2018, respectively.</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4"/>
        </w:trPr>
        <w:tc>
          <w:tcPr>
            <w:tcW w:w="7200" w:type="dxa"/>
            <w:vAlign w:val="bottom"/>
            <w:gridSpan w:val="2"/>
          </w:tcPr>
          <w:p>
            <w:pPr>
              <w:spacing w:after="0"/>
              <w:rPr>
                <w:sz w:val="20"/>
                <w:szCs w:val="20"/>
                <w:color w:val="auto"/>
              </w:rPr>
            </w:pPr>
            <w:r>
              <w:rPr>
                <w:rFonts w:ascii="Arial" w:cs="Arial" w:eastAsia="Arial" w:hAnsi="Arial"/>
                <w:sz w:val="18"/>
                <w:szCs w:val="18"/>
                <w:color w:val="auto"/>
              </w:rPr>
              <w:t>Other information related to leases was as follows: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88"/>
        </w:trPr>
        <w:tc>
          <w:tcPr>
            <w:tcW w:w="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w w:val="96"/>
              </w:rPr>
              <w:t>For the Nine Months Ended</w:t>
            </w:r>
          </w:p>
        </w:tc>
      </w:tr>
      <w:tr>
        <w:trPr>
          <w:trHeight w:val="192"/>
        </w:trPr>
        <w:tc>
          <w:tcPr>
            <w:tcW w:w="4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September 30, 2019</w:t>
            </w:r>
          </w:p>
        </w:tc>
      </w:tr>
      <w:tr>
        <w:trPr>
          <w:trHeight w:val="230"/>
        </w:trPr>
        <w:tc>
          <w:tcPr>
            <w:tcW w:w="4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Flows Information (in thousands)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7"/>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60" w:type="dxa"/>
            <w:vAlign w:val="bottom"/>
          </w:tcPr>
          <w:p>
            <w:pPr>
              <w:jc w:val="right"/>
              <w:ind w:right="153"/>
              <w:spacing w:after="0"/>
              <w:rPr>
                <w:sz w:val="20"/>
                <w:szCs w:val="20"/>
                <w:color w:val="auto"/>
              </w:rPr>
            </w:pPr>
            <w:r>
              <w:rPr>
                <w:rFonts w:ascii="Arial" w:cs="Arial" w:eastAsia="Arial" w:hAnsi="Arial"/>
                <w:sz w:val="18"/>
                <w:szCs w:val="18"/>
                <w:color w:val="auto"/>
              </w:rPr>
              <w:t>28,254</w:t>
            </w:r>
          </w:p>
        </w:tc>
      </w:tr>
      <w:tr>
        <w:trPr>
          <w:trHeight w:val="27"/>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cash flows for 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652</w:t>
            </w:r>
          </w:p>
        </w:tc>
      </w:tr>
      <w:tr>
        <w:trPr>
          <w:trHeight w:val="243"/>
        </w:trPr>
        <w:tc>
          <w:tcPr>
            <w:tcW w:w="40" w:type="dxa"/>
            <w:vAlign w:val="bottom"/>
          </w:tcPr>
          <w:p>
            <w:pPr>
              <w:spacing w:after="0"/>
              <w:rPr>
                <w:sz w:val="21"/>
                <w:szCs w:val="21"/>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Financing cash flows for finance leases</w:t>
            </w: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jc w:val="right"/>
              <w:ind w:right="153"/>
              <w:spacing w:after="0"/>
              <w:rPr>
                <w:sz w:val="20"/>
                <w:szCs w:val="20"/>
                <w:color w:val="auto"/>
              </w:rPr>
            </w:pPr>
            <w:r>
              <w:rPr>
                <w:rFonts w:ascii="Arial" w:cs="Arial" w:eastAsia="Arial" w:hAnsi="Arial"/>
                <w:sz w:val="18"/>
                <w:szCs w:val="18"/>
                <w:color w:val="auto"/>
              </w:rPr>
              <w:t>4,358</w:t>
            </w:r>
          </w:p>
        </w:tc>
      </w:tr>
      <w:tr>
        <w:trPr>
          <w:trHeight w:val="27"/>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7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Weighted Average Remaining Lease Term (Years)</w:t>
            </w: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0" w:type="dxa"/>
            <w:vAlign w:val="bottom"/>
          </w:tcPr>
          <w:p>
            <w:pPr>
              <w:spacing w:after="0"/>
              <w:rPr>
                <w:sz w:val="21"/>
                <w:szCs w:val="21"/>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7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40" w:type="dxa"/>
            <w:vAlign w:val="bottom"/>
          </w:tcPr>
          <w:p>
            <w:pPr>
              <w:spacing w:after="0"/>
              <w:rPr>
                <w:sz w:val="21"/>
                <w:szCs w:val="21"/>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4.6 %</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2019</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Operating Leases</w:t>
            </w:r>
          </w:p>
        </w:tc>
        <w:tc>
          <w:tcPr>
            <w:tcW w:w="12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Finance Leases</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 Remaining</w:t>
            </w: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11,464</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2,317</w:t>
            </w:r>
          </w:p>
        </w:tc>
        <w:tc>
          <w:tcPr>
            <w:tcW w:w="52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32,461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6,430</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41,204</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24,630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31,232</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17,405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10,942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9,818</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26,842</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26,070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future minimum lease payments</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137,965</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24,597</w:t>
            </w:r>
          </w:p>
        </w:tc>
        <w:tc>
          <w:tcPr>
            <w:tcW w:w="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120,787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21,412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rPr>
              <w:t>(13,736)</w:t>
            </w: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w w:val="98"/>
              </w:rPr>
              <w:t>(2,366)</w:t>
            </w: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124,229</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22,231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have entered into additional lease agreements that have not yet commenced of approximately $19.8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December 31, 2018</w:t>
            </w:r>
          </w:p>
        </w:tc>
      </w:t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4"/>
          </w:tcPr>
          <w:p>
            <w:pPr>
              <w:jc w:val="right"/>
              <w:ind w:right="105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Payroll and benefits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108,167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124,943</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Short-term operating lease liability</w:t>
            </w:r>
          </w:p>
        </w:tc>
        <w:tc>
          <w:tcPr>
            <w:tcW w:w="12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39,135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and customer advances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16,736</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14,845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38,567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severance plan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13,179</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10,302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59,999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54,482</w:t>
            </w:r>
          </w:p>
        </w:tc>
      </w:tr>
      <w:tr>
        <w:trPr>
          <w:trHeight w:val="264"/>
        </w:trPr>
        <w:tc>
          <w:tcPr>
            <w:tcW w:w="8240" w:type="dxa"/>
            <w:vAlign w:val="bottom"/>
          </w:tcPr>
          <w:p>
            <w:pPr>
              <w:ind w:left="220"/>
              <w:spacing w:after="0"/>
              <w:rPr>
                <w:sz w:val="20"/>
                <w:szCs w:val="20"/>
                <w:color w:val="auto"/>
              </w:rPr>
            </w:pPr>
            <w:r>
              <w:rPr>
                <w:rFonts w:ascii="Arial" w:cs="Arial" w:eastAsia="Arial" w:hAnsi="Arial"/>
                <w:sz w:val="18"/>
                <w:szCs w:val="18"/>
                <w:color w:val="auto"/>
              </w:rPr>
              <w:t>Total accrued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253,876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258,209</w:t>
            </w:r>
          </w:p>
        </w:tc>
      </w:tr>
      <w:tr>
        <w:trPr>
          <w:trHeight w:val="21"/>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ectPr>
          <w:pgSz w:w="11900" w:h="16838" w:orient="portrait"/>
          <w:cols w:equalWidth="0" w:num="1">
            <w:col w:w="11400"/>
          </w:cols>
          <w:pgMar w:left="240" w:top="121" w:right="2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short-term borrowings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37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of Amkor Technology, Inc.:</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6.375% Senior notes, due October 2022 (1)</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6.625% Senior notes, due September 2027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377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Debt of subsidiaries: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Amkor Technology Korea,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3"/>
              </w:rPr>
              <w:t>September 30, 2019</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3"/>
              </w:rPr>
              <w:t>December 31, 2018</w:t>
            </w:r>
          </w:p>
        </w:tc>
      </w:tr>
      <w:tr>
        <w:trPr>
          <w:trHeight w:val="190"/>
        </w:trPr>
        <w:tc>
          <w:tcPr>
            <w:tcW w:w="120" w:type="dxa"/>
            <w:vAlign w:val="bottom"/>
          </w:tcPr>
          <w:p>
            <w:pPr>
              <w:spacing w:after="0"/>
              <w:rPr>
                <w:sz w:val="16"/>
                <w:szCs w:val="16"/>
                <w:color w:val="auto"/>
              </w:rPr>
            </w:pPr>
          </w:p>
        </w:tc>
        <w:tc>
          <w:tcPr>
            <w:tcW w:w="3040" w:type="dxa"/>
            <w:vAlign w:val="bottom"/>
            <w:gridSpan w:val="3"/>
          </w:tcPr>
          <w:p>
            <w:pPr>
              <w:jc w:val="right"/>
              <w:ind w:right="1056"/>
              <w:spacing w:after="0"/>
              <w:rPr>
                <w:sz w:val="20"/>
                <w:szCs w:val="20"/>
                <w:color w:val="auto"/>
              </w:rPr>
            </w:pPr>
            <w:r>
              <w:rPr>
                <w:rFonts w:ascii="Arial" w:cs="Arial" w:eastAsia="Arial" w:hAnsi="Arial"/>
                <w:sz w:val="14"/>
                <w:szCs w:val="14"/>
                <w:b w:val="1"/>
                <w:bCs w:val="1"/>
                <w:color w:val="auto"/>
              </w:rPr>
              <w:t>(In thousands)</w:t>
            </w:r>
          </w:p>
        </w:tc>
      </w:tr>
      <w:tr>
        <w:trPr>
          <w:trHeight w:val="795"/>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6"/>
              <w:spacing w:after="0"/>
              <w:rPr>
                <w:sz w:val="20"/>
                <w:szCs w:val="20"/>
                <w:color w:val="auto"/>
              </w:rPr>
            </w:pPr>
            <w:r>
              <w:rPr>
                <w:rFonts w:ascii="Arial" w:cs="Arial" w:eastAsia="Arial" w:hAnsi="Arial"/>
                <w:sz w:val="18"/>
                <w:szCs w:val="18"/>
                <w:color w:val="auto"/>
              </w:rPr>
              <w:t>524,971</w:t>
            </w:r>
          </w:p>
        </w:tc>
      </w:tr>
      <w:tr>
        <w:trPr>
          <w:trHeight w:val="270"/>
        </w:trPr>
        <w:tc>
          <w:tcPr>
            <w:tcW w:w="120" w:type="dxa"/>
            <w:vAlign w:val="bottom"/>
          </w:tcPr>
          <w:p>
            <w:pPr>
              <w:spacing w:after="0"/>
              <w:rPr>
                <w:sz w:val="23"/>
                <w:szCs w:val="23"/>
                <w:color w:val="auto"/>
              </w:rPr>
            </w:pPr>
          </w:p>
        </w:tc>
        <w:tc>
          <w:tcPr>
            <w:tcW w:w="1380" w:type="dxa"/>
            <w:vAlign w:val="bottom"/>
          </w:tcPr>
          <w:p>
            <w:pPr>
              <w:jc w:val="right"/>
              <w:ind w:right="59"/>
              <w:spacing w:after="0"/>
              <w:rPr>
                <w:sz w:val="20"/>
                <w:szCs w:val="20"/>
                <w:color w:val="auto"/>
              </w:rPr>
            </w:pPr>
            <w:r>
              <w:rPr>
                <w:rFonts w:ascii="Arial" w:cs="Arial" w:eastAsia="Arial" w:hAnsi="Arial"/>
                <w:sz w:val="18"/>
                <w:szCs w:val="18"/>
                <w:color w:val="auto"/>
              </w:rPr>
              <w:t>525,000</w:t>
            </w:r>
          </w:p>
        </w:tc>
        <w:tc>
          <w:tcPr>
            <w:tcW w:w="280" w:type="dxa"/>
            <w:vAlign w:val="bottom"/>
          </w:tcPr>
          <w:p>
            <w:pPr>
              <w:spacing w:after="0"/>
              <w:rPr>
                <w:sz w:val="23"/>
                <w:szCs w:val="23"/>
                <w:color w:val="auto"/>
              </w:rPr>
            </w:pPr>
          </w:p>
        </w:tc>
        <w:tc>
          <w:tcPr>
            <w:tcW w:w="1380" w:type="dxa"/>
            <w:vAlign w:val="bottom"/>
          </w:tcPr>
          <w:p>
            <w:pPr>
              <w:jc w:val="right"/>
              <w:ind w:right="76"/>
              <w:spacing w:after="0"/>
              <w:rPr>
                <w:sz w:val="20"/>
                <w:szCs w:val="20"/>
                <w:color w:val="auto"/>
              </w:rPr>
            </w:pPr>
            <w:r>
              <w:rPr>
                <w:rFonts w:ascii="Arial" w:cs="Arial" w:eastAsia="Arial" w:hAnsi="Arial"/>
                <w:sz w:val="18"/>
                <w:szCs w:val="18"/>
                <w:color w:val="auto"/>
              </w:rPr>
              <w:t>—</w:t>
            </w:r>
          </w:p>
        </w:tc>
      </w:tr>
    </w:tbl>
    <w:p>
      <w:pPr>
        <w:spacing w:after="0" w:line="566" w:lineRule="exact"/>
        <w:rPr>
          <w:sz w:val="20"/>
          <w:szCs w:val="20"/>
          <w:color w:val="auto"/>
        </w:rPr>
      </w:pPr>
    </w:p>
    <w:p>
      <w:pPr>
        <w:sectPr>
          <w:pgSz w:w="11900" w:h="16838" w:orient="portrait"/>
          <w:cols w:equalWidth="0" w:num="2">
            <w:col w:w="7520" w:space="720"/>
            <w:col w:w="316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$30 million revolving credit facility, LIBOR plus the applicable bank rate, due October 2019 (2)</w:t>
            </w:r>
          </w:p>
        </w:tc>
        <w:tc>
          <w:tcPr>
            <w:tcW w:w="3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40" w:type="dxa"/>
            <w:vAlign w:val="bottom"/>
          </w:tcPr>
          <w:p>
            <w:pPr>
              <w:ind w:left="480"/>
              <w:spacing w:after="0"/>
              <w:rPr>
                <w:sz w:val="20"/>
                <w:szCs w:val="20"/>
                <w:color w:val="auto"/>
              </w:rPr>
            </w:pPr>
            <w:r>
              <w:rPr>
                <w:rFonts w:ascii="Arial" w:cs="Arial" w:eastAsia="Arial" w:hAnsi="Arial"/>
                <w:sz w:val="18"/>
                <w:szCs w:val="18"/>
                <w:color w:val="auto"/>
              </w:rPr>
              <w:t>Term loan, fixed rate at 3.70%, due May 2020 (3) (5)</w:t>
            </w:r>
          </w:p>
        </w:tc>
        <w:tc>
          <w:tcPr>
            <w:tcW w:w="38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fund floating rate plus 1.60%, due June 2020 (4) (5) (6)</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0"/>
        </w:trPr>
        <w:tc>
          <w:tcPr>
            <w:tcW w:w="8240" w:type="dxa"/>
            <w:vAlign w:val="bottom"/>
          </w:tcPr>
          <w:p>
            <w:pPr>
              <w:ind w:left="480"/>
              <w:spacing w:after="0"/>
              <w:rPr>
                <w:sz w:val="20"/>
                <w:szCs w:val="20"/>
                <w:color w:val="auto"/>
              </w:rPr>
            </w:pPr>
            <w:r>
              <w:rPr>
                <w:rFonts w:ascii="Arial" w:cs="Arial" w:eastAsia="Arial" w:hAnsi="Arial"/>
                <w:sz w:val="18"/>
                <w:szCs w:val="18"/>
                <w:color w:val="auto"/>
              </w:rPr>
              <w:t>Term loan, applicable bank rate plus 2.03%, due July 2022 (5)</w:t>
            </w:r>
          </w:p>
        </w:tc>
        <w:tc>
          <w:tcPr>
            <w:tcW w:w="3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loan, applicable bank rate plus 2.03%, due September 2022 (5)</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40" w:type="dxa"/>
            <w:vAlign w:val="bottom"/>
          </w:tcPr>
          <w:p>
            <w:pPr>
              <w:ind w:left="480"/>
              <w:spacing w:after="0"/>
              <w:rPr>
                <w:sz w:val="20"/>
                <w:szCs w:val="20"/>
                <w:color w:val="auto"/>
              </w:rPr>
            </w:pPr>
            <w:r>
              <w:rPr>
                <w:rFonts w:ascii="Arial" w:cs="Arial" w:eastAsia="Arial" w:hAnsi="Arial"/>
                <w:sz w:val="18"/>
                <w:szCs w:val="18"/>
                <w:color w:val="auto"/>
              </w:rPr>
              <w:t>Term loan, LIBOR plus 2.56%, due December 2023</w:t>
            </w:r>
          </w:p>
        </w:tc>
        <w:tc>
          <w:tcPr>
            <w:tcW w:w="3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 loan, applicable bank rate plus 1.98%, due December 2028 (6)</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J-Devices Corporation: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Short-term term loans, variable rate (7)</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17,737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8,232</w:t>
            </w:r>
          </w:p>
        </w:tc>
        <w:tc>
          <w:tcPr>
            <w:tcW w:w="0" w:type="dxa"/>
            <w:vAlign w:val="bottom"/>
          </w:tcPr>
          <w:p>
            <w:pPr>
              <w:spacing w:after="0"/>
              <w:rPr>
                <w:sz w:val="1"/>
                <w:szCs w:val="1"/>
                <w:color w:val="auto"/>
              </w:rPr>
            </w:pPr>
          </w:p>
        </w:tc>
      </w:tr>
      <w:tr>
        <w:trPr>
          <w:trHeight w:val="270"/>
        </w:trPr>
        <w:tc>
          <w:tcPr>
            <w:tcW w:w="8240" w:type="dxa"/>
            <w:vAlign w:val="bottom"/>
          </w:tcPr>
          <w:p>
            <w:pPr>
              <w:ind w:left="500"/>
              <w:spacing w:after="0"/>
              <w:rPr>
                <w:sz w:val="20"/>
                <w:szCs w:val="20"/>
                <w:color w:val="auto"/>
              </w:rPr>
            </w:pPr>
            <w:r>
              <w:rPr>
                <w:rFonts w:ascii="Arial" w:cs="Arial" w:eastAsia="Arial" w:hAnsi="Arial"/>
                <w:sz w:val="18"/>
                <w:szCs w:val="18"/>
                <w:color w:val="auto"/>
              </w:rPr>
              <w:t>Term loan, fixed rate at 0.86%, due June 2022</w:t>
            </w:r>
          </w:p>
        </w:tc>
        <w:tc>
          <w:tcPr>
            <w:tcW w:w="3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25,444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31,908</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Term loan, fixed rate at 0.60%, due July 2022</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5,551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70"/>
        </w:trPr>
        <w:tc>
          <w:tcPr>
            <w:tcW w:w="8240" w:type="dxa"/>
            <w:vAlign w:val="bottom"/>
          </w:tcPr>
          <w:p>
            <w:pPr>
              <w:ind w:left="500"/>
              <w:spacing w:after="0"/>
              <w:rPr>
                <w:sz w:val="20"/>
                <w:szCs w:val="20"/>
                <w:color w:val="auto"/>
              </w:rPr>
            </w:pPr>
            <w:r>
              <w:rPr>
                <w:rFonts w:ascii="Arial" w:cs="Arial" w:eastAsia="Arial" w:hAnsi="Arial"/>
                <w:sz w:val="18"/>
                <w:szCs w:val="18"/>
                <w:color w:val="auto"/>
              </w:rPr>
              <w:t>Term loan, fixed rate at 1.30%, due July 2023</w:t>
            </w:r>
          </w:p>
        </w:tc>
        <w:tc>
          <w:tcPr>
            <w:tcW w:w="3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192,450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225,180</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Amkor Assembly &amp; Test (Shanghai) Co., Ltd.: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40" w:type="dxa"/>
            <w:vAlign w:val="bottom"/>
          </w:tcPr>
          <w:p>
            <w:pPr>
              <w:ind w:left="500"/>
              <w:spacing w:after="0"/>
              <w:rPr>
                <w:sz w:val="20"/>
                <w:szCs w:val="20"/>
                <w:color w:val="auto"/>
              </w:rPr>
            </w:pPr>
            <w:r>
              <w:rPr>
                <w:rFonts w:ascii="Arial" w:cs="Arial" w:eastAsia="Arial" w:hAnsi="Arial"/>
                <w:sz w:val="18"/>
                <w:szCs w:val="18"/>
                <w:color w:val="auto"/>
              </w:rPr>
              <w:t>Term loan, LIBOR plus 1.80%, due December 2019 (8)</w:t>
            </w:r>
          </w:p>
        </w:tc>
        <w:tc>
          <w:tcPr>
            <w:tcW w:w="38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Term loan, LIBOR plus 1.60%, due March 2022 (8)</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29,500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40" w:type="dxa"/>
            <w:vAlign w:val="bottom"/>
          </w:tcPr>
          <w:p>
            <w:pPr>
              <w:ind w:left="500"/>
              <w:spacing w:after="0"/>
              <w:rPr>
                <w:sz w:val="20"/>
                <w:szCs w:val="20"/>
                <w:color w:val="auto"/>
              </w:rPr>
            </w:pPr>
            <w:r>
              <w:rPr>
                <w:rFonts w:ascii="Arial" w:cs="Arial" w:eastAsia="Arial" w:hAnsi="Arial"/>
                <w:sz w:val="18"/>
                <w:szCs w:val="18"/>
                <w:color w:val="auto"/>
              </w:rPr>
              <w:t>Term loan, LIBOR Plus 1.40%, due March 2022 (8)</w:t>
            </w:r>
          </w:p>
        </w:tc>
        <w:tc>
          <w:tcPr>
            <w:tcW w:w="3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19,750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500"/>
              <w:spacing w:after="0" w:line="176" w:lineRule="exact"/>
              <w:rPr>
                <w:sz w:val="20"/>
                <w:szCs w:val="20"/>
                <w:color w:val="auto"/>
              </w:rPr>
            </w:pPr>
            <w:r>
              <w:rPr>
                <w:rFonts w:ascii="Arial" w:cs="Arial" w:eastAsia="Arial" w:hAnsi="Arial"/>
                <w:sz w:val="18"/>
                <w:szCs w:val="18"/>
                <w:color w:val="auto"/>
              </w:rPr>
              <w:t>$250 million senior secured revolving credit facility, LIBOR plus 1.25%-1.75%, due July 2023</w:t>
            </w:r>
          </w:p>
        </w:tc>
        <w:tc>
          <w:tcPr>
            <w:tcW w:w="380" w:type="dxa"/>
            <w:vAlign w:val="bottom"/>
          </w:tcPr>
          <w:p>
            <w:pPr>
              <w:spacing w:after="0"/>
              <w:rPr>
                <w:sz w:val="15"/>
                <w:szCs w:val="15"/>
                <w:color w:val="auto"/>
              </w:rPr>
            </w:pP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500"/>
              <w:spacing w:after="0"/>
              <w:rPr>
                <w:sz w:val="20"/>
                <w:szCs w:val="20"/>
                <w:color w:val="auto"/>
              </w:rPr>
            </w:pPr>
            <w:r>
              <w:rPr>
                <w:rFonts w:ascii="Arial" w:cs="Arial" w:eastAsia="Arial" w:hAnsi="Arial"/>
                <w:sz w:val="18"/>
                <w:szCs w:val="18"/>
                <w:color w:val="auto"/>
              </w:rPr>
              <w:t>(Singapore) (9)</w:t>
            </w:r>
          </w:p>
        </w:tc>
        <w:tc>
          <w:tcPr>
            <w:tcW w:w="3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Revolving credit facility, TAIFX plus the applicable bank rate, due November 2020 (Taiwan) (10)</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1,305,432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1,334,129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premium, discount and deferred debt costs,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Less: Short-term borrowings and current portion of long-term debt</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(102,952)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(114,579)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1,195,005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1,217,732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left="660" w:hanging="328"/>
        <w:spacing w:after="0" w:line="272" w:lineRule="auto"/>
        <w:tabs>
          <w:tab w:leader="none" w:pos="65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April 2019, we redeemed the outstanding $525 million aggregate principal amount of our 6.375% Senior Notes due 2022 (“2022 Notes”). In accordance with the terms of the indenture governing the 2022 Notes, the redemption price was 101.594% of the principal amount of the 2022 Notes plus accrued and unpaid interest. We recorded an $8.4 million loss on extinguishment related to the call premium paid and other debt related costs associated with the 2022 Notes. The redemption of the 2022 Notes was funded with net proceeds from our issuance of $525 million of 6.625% Senior Notes due September 2027 (“2027 Notes”) in March 2019, together with cash on hand. The 2027 Notes were issued at a discount of 99.5% or $2.6 million, and are senior unsecured obligations. Interest is payable semiannually on March 15 and September 15 of each year, commencing September 15, 2019. We incurred $3.6 million of debt issuance costs associated with the 2027 Notes.</w:t>
      </w:r>
    </w:p>
    <w:p>
      <w:pPr>
        <w:spacing w:after="0" w:line="137" w:lineRule="exact"/>
        <w:rPr>
          <w:rFonts w:ascii="Arial" w:cs="Arial" w:eastAsia="Arial" w:hAnsi="Arial"/>
          <w:sz w:val="17"/>
          <w:szCs w:val="17"/>
          <w:color w:val="auto"/>
        </w:rPr>
      </w:pPr>
    </w:p>
    <w:p>
      <w:pPr>
        <w:jc w:val="both"/>
        <w:ind w:left="660" w:hanging="328"/>
        <w:spacing w:after="0" w:line="264"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2018, we entered into a revolving credit facility agreement with availability of $30.0 million. Principal is payable at maturity in October 2019. Interest is payable monthly in arrears, at LIBOR plus the applicable bank rate. As of September 30, 2019, $30.0 million was available to be drawn. In October 2019, we renewed this revolver with a new maturity date of October 2020.</w:t>
      </w:r>
    </w:p>
    <w:p>
      <w:pPr>
        <w:spacing w:after="0" w:line="154"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May 2017, we entered into a $120.0 million term loan agreement due May 2020 with a fixed interest rate of 3.7%. During the nine months ended September 30, 2019, we repaid all $120.0 million of the outstanding balance of this term loan.</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May 2015, we entered into a term loan agreement pursuant to which we may borrow up to $150.0 million for capital expenditures. Principal is payable at maturity in June 2020. Interest is payable quarterly in arrears, at the bank's fund floating rate plus 1.60% (4.18% as of September 30, 2019). During the nine months ended September 30, 2019, we repaid $101.0 million of the outstanding balance of this term loan.</w:t>
      </w:r>
    </w:p>
    <w:p>
      <w:pPr>
        <w:spacing w:after="0" w:line="125" w:lineRule="exact"/>
        <w:rPr>
          <w:rFonts w:ascii="Arial" w:cs="Arial" w:eastAsia="Arial" w:hAnsi="Arial"/>
          <w:sz w:val="17"/>
          <w:szCs w:val="17"/>
          <w:color w:val="auto"/>
        </w:rPr>
      </w:pPr>
    </w:p>
    <w:p>
      <w:pPr>
        <w:ind w:left="660" w:hanging="328"/>
        <w:spacing w:after="0" w:line="277"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July 2019, we entered into an agreement pursuant to which we may borrow up to $180.0 million for purchases of materials through two term loans. Principal is payable at maturity and interest is payable quarterly in arrears, at the applicable bank rate plus 2.03%.</w:t>
      </w:r>
    </w:p>
    <w:p>
      <w:pPr>
        <w:spacing w:after="0" w:line="143"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We borrowed $40.0 million under the first term loan in July 2019 to repay the remaining $40.0 million outstanding balance for the term loan due May 2020. This new term loan bears interest at a fixed rate of 3.80% and has a maturity date of July 2022.</w:t>
      </w:r>
    </w:p>
    <w:p>
      <w:pPr>
        <w:spacing w:after="0" w:line="129"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We borrowed $60.0 million under the second term loan in September 2019 to repay part of the term loan due June 2020. The $60.0 million borrowing under the second term loan bears interest at a fixed rate of 3.59% and has a maturity date of September 2022. As of September 30, 2019, $80.0 million was available to be drawn under the second term loan.</w:t>
      </w:r>
    </w:p>
    <w:p>
      <w:pPr>
        <w:spacing w:after="0" w:line="140" w:lineRule="exact"/>
        <w:rPr>
          <w:rFonts w:ascii="Arial" w:cs="Arial" w:eastAsia="Arial" w:hAnsi="Arial"/>
          <w:sz w:val="18"/>
          <w:szCs w:val="18"/>
          <w:color w:val="auto"/>
        </w:rPr>
      </w:pPr>
    </w:p>
    <w:p>
      <w:pPr>
        <w:jc w:val="both"/>
        <w:ind w:left="660" w:hanging="328"/>
        <w:spacing w:after="0" w:line="257"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2018, we entered into a term loan agreement pursuant to which we may borrow up to $90.0 million for capital expenditures. During the nine months ended September 30, 2019, we borrowed $42.0 million of this term loan and used the proceeds to repay part of the term loan due June 2020. Principal of this term loan is payable in semiannual installments beginning June 2022 and ending at maturity in December 2028. Interest is payable quarterly in arrears, at the applicable bank rate plus 1.98% (the weighted average interest rate was 4.50% as of September 30, 2019). As of September 30, 2019, $24.0 million was available to be drawn.</w:t>
      </w:r>
    </w:p>
    <w:p>
      <w:pPr>
        <w:spacing w:after="0" w:line="161" w:lineRule="exact"/>
        <w:rPr>
          <w:rFonts w:ascii="Arial" w:cs="Arial" w:eastAsia="Arial" w:hAnsi="Arial"/>
          <w:sz w:val="18"/>
          <w:szCs w:val="18"/>
          <w:color w:val="auto"/>
        </w:rPr>
      </w:pPr>
    </w:p>
    <w:p>
      <w:pPr>
        <w:jc w:val="both"/>
        <w:ind w:left="660" w:hanging="328"/>
        <w:spacing w:after="0" w:line="264"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entered into various short-term term loans which mature semiannually. Principal and interest are payable in monthly installments. Interest as of September 30, 2019 is at TIBOR plus 0.10% to 0.27% (weighted average of 0.23% as of September 30, 2019). As of September 30, 2019, $6.0 million was available to be drawn.</w:t>
      </w:r>
    </w:p>
    <w:p>
      <w:pPr>
        <w:spacing w:after="0" w:line="140" w:lineRule="exact"/>
        <w:rPr>
          <w:rFonts w:ascii="Arial" w:cs="Arial" w:eastAsia="Arial" w:hAnsi="Arial"/>
          <w:sz w:val="18"/>
          <w:szCs w:val="18"/>
          <w:color w:val="auto"/>
        </w:rPr>
      </w:pPr>
    </w:p>
    <w:p>
      <w:pPr>
        <w:jc w:val="both"/>
        <w:ind w:left="660" w:hanging="328"/>
        <w:spacing w:after="0" w:line="259"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2016, we entered into a $50.0 million term loan agreement. Principal is payable in semiannual installments of $0.5 million, with the remaining balance due at maturity in December 2019. Interest is payable quarterly at a floating rate of LIBOR plus 1.80%. During the nine months ended September 30, 2019, we repaid the entire $48.0 million outstanding balance of this term loan using the proceeds from our term loans due March 2022.</w:t>
      </w:r>
    </w:p>
    <w:p>
      <w:pPr>
        <w:spacing w:after="0" w:line="14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In March 2019, we entered into a $30.0 million term loan agreement due March 2022. We borrowed $30.0 million under this term loan and repaid part of the term loan due December 2019. Principal is payable in semiannual installments of $0.5 million, with the remaining balance due at maturity. Interest is payable quarterly at a floating rate of LIBOR plus 1.60% (3.80% as of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April 2019, we entered into a term loan agreement with availability of $20.0 million due March 2022. We borrowed $20.0 million under this term loan and repaid part of the term loan due December 2019. Principal is payable in semiannual installments of $0.5 million, with the remaining balance due at maturity. Interest is payable quarterly at a floating rate of LIBOR plus 1.40% (3.53% as of September 30, 2019).</w:t>
      </w:r>
    </w:p>
    <w:p>
      <w:pPr>
        <w:spacing w:after="0" w:line="125" w:lineRule="exact"/>
        <w:rPr>
          <w:sz w:val="20"/>
          <w:szCs w:val="20"/>
          <w:color w:val="auto"/>
        </w:rPr>
      </w:pPr>
    </w:p>
    <w:p>
      <w:pPr>
        <w:jc w:val="both"/>
        <w:ind w:left="660" w:hanging="328"/>
        <w:spacing w:after="0" w:line="259"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July 2018, we entered into a $250.0 million senior secured revolving credit facility, which is guaranteed by Amkor Technology, Inc. The availability for our revolving credit facility is based on the amount of eligible accounts receivable. Principal is payable at maturity. Interest is payable monthly at LIBOR plus 1.25% to 1.75% (3.36% as of September 30, 2019). We borrowed $80 million in September 2019, which was repaid in October 2019. As of September 30, 2019, $151.0 million was available to be drawn.</w:t>
      </w:r>
    </w:p>
    <w:p>
      <w:pPr>
        <w:spacing w:after="0" w:line="159" w:lineRule="exact"/>
        <w:rPr>
          <w:rFonts w:ascii="Arial" w:cs="Arial" w:eastAsia="Arial" w:hAnsi="Arial"/>
          <w:sz w:val="18"/>
          <w:szCs w:val="18"/>
          <w:color w:val="auto"/>
        </w:rPr>
      </w:pPr>
    </w:p>
    <w:p>
      <w:pPr>
        <w:ind w:left="660" w:hanging="328"/>
        <w:spacing w:after="0" w:line="308" w:lineRule="auto"/>
        <w:tabs>
          <w:tab w:leader="none" w:pos="649"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November 2015, we entered into a $39.0 million revolving credit facility. Principal is payable at maturity. Interest is payable monthly at TAIFX plus the applicable bank rate (3.31% as of September 30, 2019). As of September 30, 2019, $19.0 million was available to be drawn.</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The carrying value of the collateral exceeds the carrying amount of the debt.</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debt of Amkor Technology, Inc. is structurally subordinated in right of payment to all existing and future debt and other liabilities of our subsidiaries. From time to time, Amkor Technology, Inc. also guarantees certain debt of our subsidiaries. The agreements governing our indebtedness contain affirmative and negative covenants which restrict our ability to pay dividends and could restrict our operations. We have never paid a dividend to our stockholders, and we do not have any present plans for doing so. We were in compliance with all debt covenants at September 30,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Pension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296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96"/>
        </w:trPr>
        <w:tc>
          <w:tcPr>
            <w:tcW w:w="49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196"/>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7,747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8,124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23,513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24,839</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3,668</w:t>
            </w:r>
          </w:p>
        </w:tc>
      </w:tr>
      <w:tr>
        <w:trPr>
          <w:trHeight w:val="27"/>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(4,249)</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Recognized actuarial gain</w:t>
            </w:r>
          </w:p>
        </w:tc>
        <w:tc>
          <w:tcPr>
            <w:tcW w:w="16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(113)</w:t>
            </w:r>
          </w:p>
        </w:tc>
      </w:tr>
      <w:tr>
        <w:trPr>
          <w:trHeight w:val="27"/>
        </w:trPr>
        <w:tc>
          <w:tcPr>
            <w:tcW w:w="4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7,365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7,897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22,359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24,145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Pension Plans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sponsor defined contribution pension plans in Korea, Malaysia, Taiwan and the U.S. The following table summarizes our defined contribution expense:</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4"/>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80" w:type="dxa"/>
            <w:vAlign w:val="bottom"/>
          </w:tcPr>
          <w:p>
            <w:pPr>
              <w:spacing w:after="0"/>
              <w:rPr>
                <w:sz w:val="16"/>
                <w:szCs w:val="16"/>
                <w:color w:val="auto"/>
              </w:rPr>
            </w:pPr>
          </w:p>
        </w:tc>
        <w:tc>
          <w:tcPr>
            <w:tcW w:w="298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96"/>
        </w:trPr>
        <w:tc>
          <w:tcPr>
            <w:tcW w:w="49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196"/>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80" w:type="dxa"/>
            <w:vAlign w:val="bottom"/>
            <w:gridSpan w:val="4"/>
          </w:tcPr>
          <w:p>
            <w:pPr>
              <w:jc w:val="right"/>
              <w:ind w:right="1042"/>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4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contribution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2,952</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10,708</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9,608</w:t>
            </w:r>
          </w:p>
        </w:tc>
      </w:tr>
      <w:tr>
        <w:trPr>
          <w:trHeight w:val="27"/>
        </w:trPr>
        <w:tc>
          <w:tcPr>
            <w:tcW w:w="4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cash equivalent money market funds and restricted cash money market funds.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Money market funds are valued using quoted market prices in active markets for identical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 consist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3"/>
              </w:rPr>
              <w:t>September 30, 2019</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3"/>
              </w:rPr>
              <w:t>December 31, 2018</w:t>
            </w:r>
          </w:p>
        </w:tc>
      </w:tr>
      <w:tr>
        <w:trPr>
          <w:trHeight w:val="196"/>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3"/>
          </w:tcPr>
          <w:p>
            <w:pPr>
              <w:jc w:val="right"/>
              <w:ind w:right="1056"/>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 money market funds (Level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57,904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74,407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Restricted cash money market funds (Level 1)</w:t>
            </w:r>
          </w:p>
        </w:tc>
        <w:tc>
          <w:tcPr>
            <w:tcW w:w="120" w:type="dxa"/>
            <w:vAlign w:val="bottom"/>
          </w:tcPr>
          <w:p>
            <w:pPr>
              <w:spacing w:after="0"/>
              <w:rPr>
                <w:sz w:val="21"/>
                <w:szCs w:val="21"/>
                <w:color w:val="auto"/>
              </w:rPr>
            </w:pPr>
          </w:p>
        </w:tc>
        <w:tc>
          <w:tcPr>
            <w:tcW w:w="1380" w:type="dxa"/>
            <w:vAlign w:val="bottom"/>
          </w:tcPr>
          <w:p>
            <w:pPr>
              <w:jc w:val="right"/>
              <w:ind w:right="59"/>
              <w:spacing w:after="0"/>
              <w:rPr>
                <w:sz w:val="20"/>
                <w:szCs w:val="20"/>
                <w:color w:val="auto"/>
              </w:rPr>
            </w:pPr>
            <w:r>
              <w:rPr>
                <w:rFonts w:ascii="Arial" w:cs="Arial" w:eastAsia="Arial" w:hAnsi="Arial"/>
                <w:sz w:val="18"/>
                <w:szCs w:val="18"/>
                <w:color w:val="auto"/>
              </w:rPr>
              <w:t>2,590</w:t>
            </w:r>
          </w:p>
        </w:tc>
        <w:tc>
          <w:tcPr>
            <w:tcW w:w="280" w:type="dxa"/>
            <w:vAlign w:val="bottom"/>
          </w:tcPr>
          <w:p>
            <w:pPr>
              <w:spacing w:after="0"/>
              <w:rPr>
                <w:sz w:val="21"/>
                <w:szCs w:val="21"/>
                <w:color w:val="auto"/>
              </w:rPr>
            </w:pPr>
          </w:p>
        </w:tc>
        <w:tc>
          <w:tcPr>
            <w:tcW w:w="1380" w:type="dxa"/>
            <w:vAlign w:val="bottom"/>
          </w:tcPr>
          <w:p>
            <w:pPr>
              <w:jc w:val="right"/>
              <w:ind w:right="76"/>
              <w:spacing w:after="0"/>
              <w:rPr>
                <w:sz w:val="20"/>
                <w:szCs w:val="20"/>
                <w:color w:val="auto"/>
              </w:rPr>
            </w:pPr>
            <w:r>
              <w:rPr>
                <w:rFonts w:ascii="Arial" w:cs="Arial" w:eastAsia="Arial" w:hAnsi="Arial"/>
                <w:sz w:val="18"/>
                <w:szCs w:val="18"/>
                <w:color w:val="auto"/>
              </w:rPr>
              <w:t>2,589</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917"/>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4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500" w:type="dxa"/>
            <w:vAlign w:val="bottom"/>
          </w:tcPr>
          <w:p>
            <w:pPr>
              <w:spacing w:after="0"/>
              <w:rPr>
                <w:sz w:val="13"/>
                <w:szCs w:val="13"/>
                <w:color w:val="auto"/>
              </w:rPr>
            </w:pPr>
          </w:p>
        </w:tc>
        <w:tc>
          <w:tcPr>
            <w:tcW w:w="1140" w:type="dxa"/>
            <w:vAlign w:val="bottom"/>
            <w:gridSpan w:val="2"/>
          </w:tcPr>
          <w:p>
            <w:pPr>
              <w:jc w:val="center"/>
              <w:ind w:right="60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2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Carrying</w:t>
            </w:r>
          </w:p>
        </w:tc>
      </w:tr>
      <w:tr>
        <w:trPr>
          <w:trHeight w:val="192"/>
        </w:trPr>
        <w:tc>
          <w:tcPr>
            <w:tcW w:w="4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r>
      <w:tr>
        <w:trPr>
          <w:trHeight w:val="196"/>
        </w:trPr>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(Level 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573,636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519,069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526,131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524,978</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Revolving credit facilities and term loans (Level 2)</w:t>
            </w:r>
          </w:p>
        </w:tc>
        <w:tc>
          <w:tcPr>
            <w:tcW w:w="3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784,644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79"/>
              <w:spacing w:after="0"/>
              <w:rPr>
                <w:sz w:val="20"/>
                <w:szCs w:val="20"/>
                <w:color w:val="auto"/>
              </w:rPr>
            </w:pPr>
            <w:r>
              <w:rPr>
                <w:rFonts w:ascii="Arial" w:cs="Arial" w:eastAsia="Arial" w:hAnsi="Arial"/>
                <w:sz w:val="18"/>
                <w:szCs w:val="18"/>
                <w:color w:val="auto"/>
              </w:rPr>
              <w:t>778,888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803,867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807,333</w:t>
            </w: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1,358,280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1,297,957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1,329,998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1,332,311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generally warrant that our services will be performed in a professional and workmanlike manner and in compliance with our customers’ specifications.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accrue costs for known warranty issues. Historically, our warranty costs have been immaterial.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executing our balanced growth strategy and selectively growing our scale and scope through strategic investments.</w:t>
      </w:r>
    </w:p>
    <w:p>
      <w:pPr>
        <w:spacing w:after="0" w:line="19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We are an industry leader in developing and commercializing cost-effective advanced packaging and test technologies. These advanced technology solutions provide increased value to our customers. This is particularly true in the mobile communications market, where growth generally outpaces the semiconductor industry rate.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Our sales of advanced packages into the automotive market are growing as well, largely due to new, data-intensive applications, which require increased pin count and performance. We believe that our technology leadership and this technology transition create significant growth opportunities for us.</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For example, we are continuing our efforts to expand our sales to Chinese and Taiwanese fabless chip companies that make up a significant portion of the growing mid-tier and entry-level segments of the mobile device market. In addition, we are seeking new customers and deepening our engagement with existing customers. This includes an expanded emphasis on the automotive market, where semiconductor content continues to grow, and in the analog area for our mainstream wirebond technologies.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we identify attractive opportunities to grow our customer base and expand the markets we serve through joint ventures, acquisitions and other strategic investments. For example, in May 2017 we acquired Nanium, which has strengthened our position in the market for wafer-level fan-out packaging. In December 2015 we completed the acquisition of J-Devices, the largest provider of outsourced semiconductor assembly and test services in Japan. J-Devices is primarily focused on the automotive, industrial and consumer end markets. We believe that taking advantage of these opportunities helps diversify our revenue streams, improve our profits, broaden our portfolio of services and maintain our technological leadership.</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Our IDM customers include: Intel Corporation; Renesas Electronics Corporation; STMicroelectronics N.V.; Texas Instruments Incorporated and Toshiba</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Corporation. Our fabless customers include: Broadcom Limited; Qualcomm Incorporated; and Kioxia Holdings Corporation (previously known as Toshiba Memory Corporation). Our contract foundry customers include: Samsung Electronics Company Limited; and Taiwan Semiconductor Manufacturing Company Limited.</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Historically, there has been a strong correlation between world-wide gross domestic product levels, consumer spending and semiconductor industry cycles. The semiconductor industry has experienced significant and sometimes prolonged cyclical upturns and downturns in the past. We believe that there is currently an inventory correction in the smartphone market and that the general semiconductor market is going through a typical cyclical correction. We cannot predict the timing, strength or duration of any correction, economic slowdown or subsequent economic recovery.</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II, Item 1A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operate in a capital-intensive industry and have a significant level of debt.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borrowings under available credit facilities and proceeds from any additional financing. Maintaining an appropriate level of liquidity is important to our business and depends on, among other considerations, the performance of our business, our capital expenditure levels and our ability to repay debt out of our operating cash flows or proceeds from debt or equity financings.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net sales decreased $60.3 million or 5.3% to $1,083.9 million for the three months ended September 30, 2019 from $1,144.2 million for the three months ended September 30, 2018. This decrease was generally attributable to a cyclical correction of the semiconductor market.</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Gross margin for the three months ended September 30, 2019 decreased to 16.8% from 17.5% for the three months ended September 30, 2018. The decline in gross margin was primarily due to lower revenue and reduced capacity utilization, partially offset by our continued effort to control our manufacturing costs.</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capital expenditures totaled $328.5 million for the nine months ended September 30, 2019, compared to $478.0 million for the nine months ended September 30, 2018. The decrease is primarily due to our decision to reduce spending on incremental capacity during a period of reduced demand.</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$283.3 million for the nine months ended September 30, 2019, compared to $427.2 million for the nine months ended September 30, 2018. This decrease was primarily due to lower net income and changes in our net working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For the Nine Months Ended September 30,</w:t>
            </w:r>
          </w:p>
        </w:tc>
        <w:tc>
          <w:tcPr>
            <w:tcW w:w="180" w:type="dxa"/>
            <w:vAlign w:val="bottom"/>
            <w:tcBorders>
              <w:bottom w:val="single" w:sz="8" w:color="auto"/>
            </w:tcBorders>
          </w:tcPr>
          <w:p>
            <w:pPr>
              <w:spacing w:after="0"/>
              <w:rPr>
                <w:sz w:val="16"/>
                <w:szCs w:val="16"/>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r>
      <w:tr>
        <w:trPr>
          <w:trHeight w:val="236"/>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Materials</w:t>
            </w:r>
          </w:p>
        </w:tc>
        <w:tc>
          <w:tcPr>
            <w:tcW w:w="420" w:type="dxa"/>
            <w:vAlign w:val="bottom"/>
          </w:tcPr>
          <w:p>
            <w:pPr>
              <w:jc w:val="right"/>
              <w:spacing w:after="0"/>
              <w:rPr>
                <w:sz w:val="20"/>
                <w:szCs w:val="20"/>
                <w:color w:val="auto"/>
              </w:rPr>
            </w:pPr>
            <w:r>
              <w:rPr>
                <w:rFonts w:ascii="Arial" w:cs="Arial" w:eastAsia="Arial" w:hAnsi="Arial"/>
                <w:sz w:val="16"/>
                <w:szCs w:val="16"/>
                <w:color w:val="auto"/>
              </w:rPr>
              <w:t>40.4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Labor</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Other manufacturing costs</w:t>
            </w:r>
          </w:p>
        </w:tc>
        <w:tc>
          <w:tcPr>
            <w:tcW w:w="420" w:type="dxa"/>
            <w:vAlign w:val="bottom"/>
          </w:tcPr>
          <w:p>
            <w:pPr>
              <w:jc w:val="right"/>
              <w:spacing w:after="0"/>
              <w:rPr>
                <w:sz w:val="20"/>
                <w:szCs w:val="20"/>
                <w:color w:val="auto"/>
              </w:rPr>
            </w:pPr>
            <w:r>
              <w:rPr>
                <w:rFonts w:ascii="Arial" w:cs="Arial" w:eastAsia="Arial" w:hAnsi="Arial"/>
                <w:sz w:val="16"/>
                <w:szCs w:val="16"/>
                <w:color w:val="auto"/>
              </w:rPr>
              <w:t>27.0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42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4"/>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attributable to Amkor</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8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4"/>
                <w:szCs w:val="14"/>
                <w:b w:val="1"/>
                <w:bCs w:val="1"/>
                <w:color w:val="auto"/>
              </w:rPr>
              <w:t>For the Nine Months Ended September 30,</w:t>
            </w:r>
          </w:p>
        </w:tc>
        <w:tc>
          <w:tcPr>
            <w:tcW w:w="700" w:type="dxa"/>
            <w:vAlign w:val="bottom"/>
            <w:tcBorders>
              <w:bottom w:val="single" w:sz="8" w:color="auto"/>
            </w:tcBorders>
          </w:tcPr>
          <w:p>
            <w:pPr>
              <w:spacing w:after="0"/>
              <w:rPr>
                <w:sz w:val="16"/>
                <w:szCs w:val="16"/>
                <w:color w:val="auto"/>
              </w:rPr>
            </w:pPr>
          </w:p>
        </w:tc>
      </w:tr>
      <w:tr>
        <w:trPr>
          <w:trHeight w:val="196"/>
        </w:trPr>
        <w:tc>
          <w:tcPr>
            <w:tcW w:w="2100" w:type="dxa"/>
            <w:vAlign w:val="bottom"/>
          </w:tcPr>
          <w:p>
            <w:pPr>
              <w:spacing w:after="0"/>
              <w:rPr>
                <w:sz w:val="17"/>
                <w:szCs w:val="17"/>
                <w:color w:val="auto"/>
              </w:rPr>
            </w:pP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18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7"/>
                <w:szCs w:val="17"/>
                <w:color w:val="auto"/>
              </w:rPr>
            </w:pPr>
          </w:p>
        </w:tc>
      </w:tr>
      <w:tr>
        <w:trPr>
          <w:trHeight w:val="196"/>
        </w:trPr>
        <w:tc>
          <w:tcPr>
            <w:tcW w:w="2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(In thousands, except percentages)</w:t>
            </w: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   1,083,917</w:t>
            </w:r>
          </w:p>
        </w:tc>
        <w:tc>
          <w:tcPr>
            <w:tcW w:w="13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   1,144,192</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(60,275)</w:t>
            </w:r>
          </w:p>
        </w:tc>
        <w:tc>
          <w:tcPr>
            <w:tcW w:w="188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(5.3) %  $   2,874,186</w:t>
            </w:r>
          </w:p>
        </w:tc>
        <w:tc>
          <w:tcPr>
            <w:tcW w:w="11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   3,235,195</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(361,009)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33"/>
        </w:trPr>
        <w:tc>
          <w:tcPr>
            <w:tcW w:w="2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sales for the three and nine months ended September 30, 2019, compared to the three and nine months ended September 30, 2018, was generally attributable to a cyclical correction of the semiconductor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383"/>
              <w:spacing w:after="0"/>
              <w:rPr>
                <w:sz w:val="20"/>
                <w:szCs w:val="20"/>
                <w:color w:val="auto"/>
              </w:rPr>
            </w:pPr>
            <w:r>
              <w:rPr>
                <w:rFonts w:ascii="Arial" w:cs="Arial" w:eastAsia="Arial" w:hAnsi="Arial"/>
                <w:sz w:val="14"/>
                <w:szCs w:val="14"/>
                <w:b w:val="1"/>
                <w:bCs w:val="1"/>
                <w:color w:val="auto"/>
              </w:rPr>
              <w:t>For the 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5"/>
          </w:tcPr>
          <w:p>
            <w:pPr>
              <w:jc w:val="right"/>
              <w:ind w:right="442"/>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96"/>
        </w:trPr>
        <w:tc>
          <w:tcPr>
            <w:tcW w:w="3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Change</w:t>
            </w:r>
          </w:p>
        </w:tc>
      </w:tr>
      <w:tr>
        <w:trPr>
          <w:trHeight w:val="196"/>
        </w:trPr>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20" w:type="dxa"/>
            <w:vAlign w:val="bottom"/>
            <w:gridSpan w:val="5"/>
          </w:tcPr>
          <w:p>
            <w:pPr>
              <w:jc w:val="right"/>
              <w:ind w:right="359"/>
              <w:spacing w:after="0"/>
              <w:rPr>
                <w:sz w:val="20"/>
                <w:szCs w:val="20"/>
                <w:color w:val="auto"/>
              </w:rPr>
            </w:pPr>
            <w:r>
              <w:rPr>
                <w:rFonts w:ascii="Arial" w:cs="Arial" w:eastAsia="Arial" w:hAnsi="Arial"/>
                <w:sz w:val="14"/>
                <w:szCs w:val="14"/>
                <w:b w:val="1"/>
                <w:bCs w:val="1"/>
                <w:color w:val="auto"/>
                <w:w w:val="91"/>
              </w:rPr>
              <w:t>(In thousands, except percentages)</w:t>
            </w: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182,240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200,707</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(18,467)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426,455</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528,195</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(101,740)</w:t>
            </w:r>
          </w:p>
        </w:tc>
      </w:tr>
      <w:tr>
        <w:trPr>
          <w:trHeight w:val="224"/>
        </w:trPr>
        <w:tc>
          <w:tcPr>
            <w:tcW w:w="398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16.8</w:t>
            </w:r>
          </w:p>
        </w:tc>
        <w:tc>
          <w:tcPr>
            <w:tcW w:w="24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w w:val="98"/>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14.8</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w w:val="98"/>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16.3</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w w:val="98"/>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 %</w:t>
            </w:r>
          </w:p>
        </w:tc>
      </w:tr>
    </w:tbl>
    <w:p>
      <w:pPr>
        <w:spacing w:after="0" w:line="3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depending upon product mix, utilization and seasonality.</w:t>
      </w:r>
    </w:p>
    <w:p>
      <w:pPr>
        <w:spacing w:after="0" w:line="2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Gross margin decreased for the three and nine months ended September 30, 2019 compared to the three and nine months ended September 30, 2018 primarily due to lower revenue and reduced capacity utilization, partially offset by our continued effort to control our manufacturing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680" w:type="dxa"/>
            <w:vAlign w:val="bottom"/>
            <w:tcBorders>
              <w:bottom w:val="single" w:sz="8" w:color="auto"/>
            </w:tcBorders>
          </w:tcPr>
          <w:p>
            <w:pPr>
              <w:spacing w:after="0"/>
              <w:rPr>
                <w:sz w:val="16"/>
                <w:szCs w:val="16"/>
                <w:color w:val="auto"/>
              </w:rPr>
            </w:pPr>
          </w:p>
        </w:tc>
      </w:tr>
      <w:tr>
        <w:trPr>
          <w:trHeight w:val="196"/>
        </w:trPr>
        <w:tc>
          <w:tcPr>
            <w:tcW w:w="2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7"/>
                <w:szCs w:val="17"/>
                <w:color w:val="auto"/>
              </w:rPr>
            </w:pPr>
          </w:p>
        </w:tc>
      </w:tr>
      <w:tr>
        <w:trPr>
          <w:trHeight w:val="196"/>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00" w:type="dxa"/>
            <w:vAlign w:val="bottom"/>
            <w:gridSpan w:val="6"/>
          </w:tcPr>
          <w:p>
            <w:pPr>
              <w:jc w:val="right"/>
              <w:ind w:right="283"/>
              <w:spacing w:after="0"/>
              <w:rPr>
                <w:sz w:val="20"/>
                <w:szCs w:val="20"/>
                <w:color w:val="auto"/>
              </w:rPr>
            </w:pPr>
            <w:r>
              <w:rPr>
                <w:rFonts w:ascii="Arial" w:cs="Arial" w:eastAsia="Arial" w:hAnsi="Arial"/>
                <w:sz w:val="14"/>
                <w:szCs w:val="14"/>
                <w:b w:val="1"/>
                <w:bCs w:val="1"/>
                <w:color w:val="auto"/>
              </w:rPr>
              <w:t>(In thousands, except percentages)</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0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70,458</w:t>
            </w: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70,463</w:t>
            </w:r>
          </w:p>
        </w:tc>
        <w:tc>
          <w:tcPr>
            <w:tcW w:w="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05"/>
              <w:spacing w:after="0"/>
              <w:rPr>
                <w:sz w:val="20"/>
                <w:szCs w:val="20"/>
                <w:color w:val="auto"/>
              </w:rPr>
            </w:pPr>
            <w:r>
              <w:rPr>
                <w:rFonts w:ascii="Arial" w:cs="Arial" w:eastAsia="Arial" w:hAnsi="Arial"/>
                <w:sz w:val="16"/>
                <w:szCs w:val="16"/>
                <w:color w:val="auto"/>
              </w:rPr>
              <w:t>(5)</w:t>
            </w:r>
          </w:p>
        </w:tc>
        <w:tc>
          <w:tcPr>
            <w:tcW w:w="9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 %  $</w:t>
            </w:r>
          </w:p>
        </w:tc>
        <w:tc>
          <w:tcPr>
            <w:tcW w:w="7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206,803</w:t>
            </w:r>
          </w:p>
        </w:tc>
        <w:tc>
          <w:tcPr>
            <w:tcW w:w="4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225,886</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43"/>
              <w:spacing w:after="0"/>
              <w:rPr>
                <w:sz w:val="20"/>
                <w:szCs w:val="20"/>
                <w:color w:val="auto"/>
              </w:rPr>
            </w:pPr>
            <w:r>
              <w:rPr>
                <w:rFonts w:ascii="Arial" w:cs="Arial" w:eastAsia="Arial" w:hAnsi="Arial"/>
                <w:sz w:val="16"/>
                <w:szCs w:val="16"/>
                <w:color w:val="auto"/>
              </w:rPr>
              <w:t>(19,083)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33"/>
        </w:trPr>
        <w:tc>
          <w:tcPr>
            <w:tcW w:w="2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Selling, general and administrative expenses for the nine months ended September 30, 2019 decreased compared to the nine months ended September 30, 2018, primarily due to decreased employee compensation costs, a gain on sale of real estate in Japan and our continued effort to control expenses.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720" w:type="dxa"/>
            <w:vAlign w:val="bottom"/>
            <w:tcBorders>
              <w:bottom w:val="single" w:sz="8" w:color="auto"/>
            </w:tcBorders>
          </w:tcPr>
          <w:p>
            <w:pPr>
              <w:spacing w:after="0"/>
              <w:rPr>
                <w:sz w:val="16"/>
                <w:szCs w:val="16"/>
                <w:color w:val="auto"/>
              </w:rPr>
            </w:pPr>
          </w:p>
        </w:tc>
      </w:tr>
      <w:tr>
        <w:trPr>
          <w:trHeight w:val="196"/>
        </w:trPr>
        <w:tc>
          <w:tcPr>
            <w:tcW w:w="2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r>
      <w:tr>
        <w:trPr>
          <w:trHeight w:val="196"/>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60" w:type="dxa"/>
            <w:vAlign w:val="bottom"/>
            <w:gridSpan w:val="6"/>
          </w:tcPr>
          <w:p>
            <w:pPr>
              <w:jc w:val="right"/>
              <w:ind w:right="303"/>
              <w:spacing w:after="0"/>
              <w:rPr>
                <w:sz w:val="20"/>
                <w:szCs w:val="20"/>
                <w:color w:val="auto"/>
              </w:rPr>
            </w:pPr>
            <w:r>
              <w:rPr>
                <w:rFonts w:ascii="Arial" w:cs="Arial" w:eastAsia="Arial" w:hAnsi="Arial"/>
                <w:sz w:val="14"/>
                <w:szCs w:val="14"/>
                <w:b w:val="1"/>
                <w:bCs w:val="1"/>
                <w:color w:val="auto"/>
              </w:rPr>
              <w:t>(In thousands, except percentages)</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32,927</w:t>
            </w:r>
          </w:p>
        </w:tc>
        <w:tc>
          <w:tcPr>
            <w:tcW w:w="5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37,541</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(4,614)</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(12.3) %  $</w:t>
            </w:r>
          </w:p>
        </w:tc>
        <w:tc>
          <w:tcPr>
            <w:tcW w:w="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104,867</w:t>
            </w: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119,546</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03"/>
              <w:spacing w:after="0"/>
              <w:rPr>
                <w:sz w:val="20"/>
                <w:szCs w:val="20"/>
                <w:color w:val="auto"/>
              </w:rPr>
            </w:pPr>
            <w:r>
              <w:rPr>
                <w:rFonts w:ascii="Arial" w:cs="Arial" w:eastAsia="Arial" w:hAnsi="Arial"/>
                <w:sz w:val="16"/>
                <w:szCs w:val="16"/>
                <w:color w:val="auto"/>
              </w:rPr>
              <w:t>(14,679)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33"/>
        </w:trPr>
        <w:tc>
          <w:tcPr>
            <w:tcW w:w="2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 and nine months ended September 30, 2019 decreased compared to the three and nine months ended September 30, 2018. We realized reductions in costs for projects that moved into production, partially offset by new development projects, primarily at our research and development facility in 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8"/>
              </w:rPr>
              <w:t>For the Nine Months Ended September 30,</w:t>
            </w: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2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w w:val="97"/>
              </w:rPr>
              <w:t>Change</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80" w:type="dxa"/>
            <w:vAlign w:val="bottom"/>
            <w:gridSpan w:val="8"/>
          </w:tcPr>
          <w:p>
            <w:pPr>
              <w:jc w:val="right"/>
              <w:ind w:right="304"/>
              <w:spacing w:after="0"/>
              <w:rPr>
                <w:sz w:val="20"/>
                <w:szCs w:val="20"/>
                <w:color w:val="auto"/>
              </w:rPr>
            </w:pPr>
            <w:r>
              <w:rPr>
                <w:rFonts w:ascii="Arial" w:cs="Arial" w:eastAsia="Arial" w:hAnsi="Arial"/>
                <w:sz w:val="14"/>
                <w:szCs w:val="14"/>
                <w:b w:val="1"/>
                <w:bCs w:val="1"/>
                <w:color w:val="auto"/>
                <w:w w:val="97"/>
              </w:rPr>
              <w:t>(In thousands, except percentages)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43"/>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16,988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19,770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(2,782)</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54,914</w:t>
            </w:r>
          </w:p>
        </w:tc>
        <w:tc>
          <w:tcPr>
            <w:tcW w:w="440" w:type="dxa"/>
            <w:vAlign w:val="bottom"/>
            <w:tcBorders>
              <w:bottom w:val="single" w:sz="8" w:color="CCEEFF"/>
            </w:tcBorders>
            <w:gridSpan w:val="3"/>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60,908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(5,994)</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24"/>
        </w:trPr>
        <w:tc>
          <w:tcPr>
            <w:tcW w:w="22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(328)</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(2,047)</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Foreign currency (gain) loss, net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(1,526)</w:t>
            </w: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&gt;(100)%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w:t>
            </w:r>
          </w:p>
        </w:tc>
        <w:tc>
          <w:tcPr>
            <w:tcW w:w="4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4"/>
        </w:trPr>
        <w:tc>
          <w:tcPr>
            <w:tcW w:w="2220" w:type="dxa"/>
            <w:vAlign w:val="bottom"/>
          </w:tcPr>
          <w:p>
            <w:pPr>
              <w:ind w:left="40"/>
              <w:spacing w:after="0"/>
              <w:rPr>
                <w:sz w:val="20"/>
                <w:szCs w:val="20"/>
                <w:color w:val="auto"/>
              </w:rPr>
            </w:pPr>
            <w:r>
              <w:rPr>
                <w:rFonts w:ascii="Arial" w:cs="Arial" w:eastAsia="Arial" w:hAnsi="Arial"/>
                <w:sz w:val="16"/>
                <w:szCs w:val="16"/>
                <w:color w:val="auto"/>
              </w:rPr>
              <w:t>Loss on debt retirement</w:t>
            </w:r>
          </w:p>
        </w:tc>
        <w:tc>
          <w:tcPr>
            <w:tcW w:w="220" w:type="dxa"/>
            <w:vAlign w:val="bottom"/>
          </w:tcPr>
          <w:p>
            <w:pPr>
              <w:spacing w:after="0"/>
              <w:rPr>
                <w:sz w:val="22"/>
                <w:szCs w:val="22"/>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1,149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(970)</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(84.4)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1,167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7,368</w:t>
            </w:r>
          </w:p>
        </w:tc>
        <w:tc>
          <w:tcPr>
            <w:tcW w:w="4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Pr>
          <w:p>
            <w:pPr>
              <w:spacing w:after="0"/>
              <w:rPr>
                <w:sz w:val="22"/>
                <w:szCs w:val="22"/>
                <w:color w:val="auto"/>
              </w:rPr>
            </w:pPr>
          </w:p>
        </w:tc>
      </w:tr>
      <w:tr>
        <w:trPr>
          <w:trHeight w:val="260"/>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&gt;100%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2,110</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(60.4) %</w:t>
            </w:r>
          </w:p>
        </w:tc>
      </w:tr>
      <w:tr>
        <w:trPr>
          <w:trHeight w:val="247"/>
        </w:trPr>
        <w:tc>
          <w:tcPr>
            <w:tcW w:w="2220" w:type="dxa"/>
            <w:vAlign w:val="bottom"/>
          </w:tcPr>
          <w:p>
            <w:pPr>
              <w:ind w:left="240"/>
              <w:spacing w:after="0"/>
              <w:rPr>
                <w:sz w:val="20"/>
                <w:szCs w:val="20"/>
                <w:color w:val="auto"/>
              </w:rPr>
            </w:pPr>
            <w:r>
              <w:rPr>
                <w:rFonts w:ascii="Arial" w:cs="Arial" w:eastAsia="Arial" w:hAnsi="Arial"/>
                <w:sz w:val="16"/>
                <w:szCs w:val="16"/>
                <w:color w:val="auto"/>
              </w:rPr>
              <w:t>Total other expense, net</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15,228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21,085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(5,857)</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(27.8) %</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55,555</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54,654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901</w:t>
            </w: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2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bl>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expense decreased for the three and nine months ended September 30, 2019 compared to the three and nine months ended September 30, 2018, primarily due to the redemption in August 2018 of $200 million of our 6.625% Senior Notes due 2021. This redemption was funded with proceeds from a term loan with a significantly lower interest rate. The interest expense decrease was partially offset by the interest incurred under our new $525 million aggregate principal amount of our 6.625% Senior Notes due September 2027, which were issued in March 2019.</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changes in foreign currency (gain) loss, net for the three months ended September 30, 2019 compared to the three months ended September 30, 2018 were due to foreign currency exchange rate movements and the associated impact on our net monetary exposure at our foreign subsidiaries.</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Loss on debt retirement increased for the nine months ended September 30, 2019 compared to the nine months ended September 30, 2018, primarily due to the early redemption in April 2019 of the outstanding $525 million aggregate principal amount of our 6.375% Senior Notes due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center"/>
              <w:ind w:right="145"/>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96"/>
        </w:trPr>
        <w:tc>
          <w:tcPr>
            <w:tcW w:w="4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196"/>
        </w:trPr>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4"/>
          </w:tcPr>
          <w:p>
            <w:pPr>
              <w:jc w:val="right"/>
              <w:ind w:right="585"/>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9,141</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14,326</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(5,185)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36,418</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27,438</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8,980</w:t>
            </w:r>
          </w:p>
        </w:tc>
      </w:tr>
      <w:tr>
        <w:trPr>
          <w:trHeight w:val="33"/>
        </w:trPr>
        <w:tc>
          <w:tcPr>
            <w:tcW w:w="4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majority of our income is earned and taxed in foreign jurisdictions in the Asia Pacific region with applicable tax rates similar to the U.S. federal and state combined tax rate of approximately 25%. 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for the nine months ended September 30, 2019 also includes an $11.8 million discrete tax expense primarily for the recognition of a valuation allowance for certain deferred tax assets.</w:t>
      </w:r>
    </w:p>
    <w:p>
      <w:pPr>
        <w:spacing w:after="0" w:line="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nine months ended September 30, 2019 and 2018, our subsidiaries in Korea, the Philippines and Singapore operated under tax holidays. The tax holidays granted to our Malaysia operations and certain operations in the Philippines expired during 2018. As these tax holidays expire, income earned in these jurisdictions will be subject to higher statutory income tax rates, which may cause our effective tax rate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debt service requirements and other funding needs. Based on this assessment, we believe that our cash flow from operating activities, together with existing cash and cash equivalents and availability under our credit facilities, will be sufficient to fund our working capital, capital expenditure, debt service and other financial requirements for at least the next twelve months. Our liquidity is affected by, among other factors, volatility in the global economy and credit markets, the performance of our business, our capital expenditure levels, other uses of our cash including any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Quarterly Report on Form 10-Q.</w:t>
      </w:r>
    </w:p>
    <w:p>
      <w:pPr>
        <w:spacing w:after="0" w:line="20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primary source of cash and the source of funds for our operations are cash flows from operations, current cash and cash equivalents, borrowings under available credit facilities and proceeds from any additional debt or equity financings. In March 2019, we issued $525 million of 6.625% Senior Notes due September 2027 (the “2027 Notes”). Additionally, in April 2019, we redeemed the outstanding $525 million aggregate principal amount of our 6.375% Senior Notes due October 2022 (the “2022 Notes”). The redemption was funded with net proceeds from our issuance of the 2027 Notes, together with cash on hand. We refer you to Note 12 to our Consolidated Financial Statements in Part 1, Item 1 of this Quarterly Report on Form 10-Q for additional information.</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2019, we had cash and cash equivalents of $598.8 million. Included in our cash balance as of September 30, 2019 is $537.7 million held offshore by our foreign subsidiaries. We have the ability to access cash held offshore by our foreign subsidiaries primarily through the repayment of intercompany debt obligations. Due to the changes in the U.S. tax law under the Tax Act, distributions of cash to the U.S. as dividends generally will not be subject to U.S. federal income tax. If we were to distribute this offshore cash to the U.S. as dividends from our foreign subsidiaries, we may be subject to foreign withholding and state income taxes.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borrowing base under our $250.0 million first lien senior secured revolving credit facility entered into by our subsidiary, Amkor Technology Singapore Holding Pte, Ltd. (“Singapore Revolver”), is limited to the amount of eligible accounts receivable. As of September 30, 2019, we had outstanding borrowings of $80.0 million, additional availability of $151.0 million, and no outstanding standby letters of credit. Our foreign subsidiaries had $200.0 million available to be drawn under revolving credit facilities, including the Singapore Revolver, and $110.0 million available to be borrowed under term loan credit facilities for working capital purposes and capital expenditures.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2019, we had $1,298.0 million of debt. Our scheduled principal repayments on debt include $26.4 million due over the remainder of 2019, $112.3 million due in 2020, $61.2 million due in 2021, $207.8 million due in 2022, $325.5 million due in 2023, and $572.1 million due thereafter. We were in compliance with all debt covenants at September 30, 2019, and we expect to remain in compliance with these covenants for at least the next twelve months.</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nine months ended September 30, 2019 and 2018, we sold receivables totaling $480.2 million and $622.2 million, net of discounts and fees of $3.3 million and $5.4 million, respectively.</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is subject to the terms of our indentures and other debt agreements,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debt agreements have restrictions on dividend payments and the repurchase of stock and subordinated securities. These restrictions are determined in part by calculations based upon cumulative net income or borrowing availability. We have never paid a dividend to our stockholders, and we do not have any present plans for doing so. From time to time, Amkor Technology, Inc. also guarantees certain debt of our subsidiaries.</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the repurchase of up to $300 million of our common stock, exclusive of any fees, commissions or other expenses. At September 30, 2019,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program since 2012.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make significant capital expenditures in order to service the demand of our customers. We expect 2019 capital expenditures to be approximately $475 million. During the nine months ended September 30, 2019, our capital expenditures totaled $328.5 million. Ultimately, the amount of our 2019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II, Item 1A of this Quarterly Report on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the nine months ended September 30, 2019 and 2018, was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center"/>
              <w:ind w:right="94"/>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96"/>
        </w:trPr>
        <w:tc>
          <w:tcPr>
            <w:tcW w:w="8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196"/>
        </w:trPr>
        <w:tc>
          <w:tcPr>
            <w:tcW w:w="8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2"/>
          </w:tcPr>
          <w:p>
            <w:pPr>
              <w:jc w:val="center"/>
              <w:ind w:left="759"/>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spacing w:after="0"/>
              <w:rPr>
                <w:sz w:val="17"/>
                <w:szCs w:val="17"/>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283,332</w:t>
            </w:r>
          </w:p>
        </w:tc>
        <w:tc>
          <w:tcPr>
            <w:tcW w:w="6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427,218</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(318,817)</w:t>
            </w:r>
          </w:p>
        </w:tc>
        <w:tc>
          <w:tcPr>
            <w:tcW w:w="6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(473,270)</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(49,734)</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594</w:t>
            </w:r>
          </w:p>
        </w:tc>
      </w:tr>
      <w:tr>
        <w:trPr>
          <w:trHeight w:val="27"/>
        </w:trPr>
        <w:tc>
          <w:tcPr>
            <w:tcW w:w="8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provided by operating activities for the nine months ended September 30, 2019 decreased by $143.9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nine months ended September 30, 2018, primarily due to lower net income and changes in our net working capital.</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cash flows used in investing activities, which decreased compared to the nine months ended September 30, 2018, are principally for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for property, plant and equipment. The decrease is primarily due to our initiative to reduce spending on incremental capacity during a period of reduced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net cash used in financing activities for the nine months ended September 30, 2019 was primarily due to the redemption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2022 Notes and repayments of debt in Japan and Korea, partially offset by our issuance of the 2027 Notes and net borrowings under our Singapore Revolver. The net cash provided by financing activities for the nine months ended September 30, 2018 was primarily due to net borrowings in Japan, offset by the full redemption of our 6.625% Senior Notes due 2021.</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196"/>
        </w:trPr>
        <w:tc>
          <w:tcPr>
            <w:tcW w:w="8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196"/>
        </w:trPr>
        <w:tc>
          <w:tcPr>
            <w:tcW w:w="8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283,332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427,218</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Payments for property, plant and equipment</w:t>
            </w:r>
          </w:p>
        </w:tc>
        <w:tc>
          <w:tcPr>
            <w:tcW w:w="18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(328,497)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(478,036)</w:t>
            </w:r>
          </w:p>
        </w:tc>
      </w:tr>
      <w:tr>
        <w:trPr>
          <w:trHeight w:val="27"/>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and insurance recovery for property, plant and equipment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10,033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1,606</w:t>
            </w:r>
          </w:p>
        </w:tc>
      </w:tr>
      <w:tr>
        <w:trPr>
          <w:trHeight w:val="264"/>
        </w:trPr>
        <w:tc>
          <w:tcPr>
            <w:tcW w:w="8240" w:type="dxa"/>
            <w:vAlign w:val="bottom"/>
          </w:tcPr>
          <w:p>
            <w:pPr>
              <w:ind w:left="220"/>
              <w:spacing w:after="0"/>
              <w:rPr>
                <w:sz w:val="20"/>
                <w:szCs w:val="20"/>
                <w:color w:val="auto"/>
              </w:rPr>
            </w:pPr>
            <w:r>
              <w:rPr>
                <w:rFonts w:ascii="Arial" w:cs="Arial" w:eastAsia="Arial" w:hAnsi="Arial"/>
                <w:sz w:val="18"/>
                <w:szCs w:val="18"/>
                <w:color w:val="auto"/>
              </w:rPr>
              <w:t>Free cash flow</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(35,132)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(49,212)</w:t>
            </w:r>
          </w:p>
        </w:tc>
      </w:tr>
      <w:tr>
        <w:trPr>
          <w:trHeight w:val="21"/>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contractual obligations at September 30, 2019 and the effect such obligations are expected to have on our liquidity and cash flows in future periods.</w:t>
      </w: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Payments Due for Year Ending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90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2019 -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Remaining</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1,305,432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26,435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112,321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61,215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207,805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325,513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572,143</w:t>
            </w:r>
          </w:p>
        </w:tc>
        <w:tc>
          <w:tcPr>
            <w:tcW w:w="0" w:type="dxa"/>
            <w:vAlign w:val="bottom"/>
          </w:tcPr>
          <w:p>
            <w:pPr>
              <w:spacing w:after="0"/>
              <w:rPr>
                <w:sz w:val="1"/>
                <w:szCs w:val="1"/>
                <w:color w:val="auto"/>
              </w:rPr>
            </w:pPr>
          </w:p>
        </w:tc>
      </w:tr>
      <w:tr>
        <w:trPr>
          <w:trHeight w:val="197"/>
        </w:trPr>
        <w:tc>
          <w:tcPr>
            <w:tcW w:w="3480" w:type="dxa"/>
            <w:vAlign w:val="bottom"/>
          </w:tcPr>
          <w:p>
            <w:pPr>
              <w:ind w:left="20"/>
              <w:spacing w:after="0"/>
              <w:rPr>
                <w:sz w:val="20"/>
                <w:szCs w:val="20"/>
                <w:color w:val="auto"/>
              </w:rPr>
            </w:pPr>
            <w:r>
              <w:rPr>
                <w:rFonts w:ascii="Arial" w:cs="Arial" w:eastAsia="Arial" w:hAnsi="Arial"/>
                <w:sz w:val="14"/>
                <w:szCs w:val="14"/>
                <w:color w:val="auto"/>
              </w:rPr>
              <w:t>Scheduled interest payment obligations (1)</w:t>
            </w:r>
          </w:p>
        </w:tc>
        <w:tc>
          <w:tcPr>
            <w:tcW w:w="2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358,276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6,078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55,860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54,083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50,589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46,712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144,954</w:t>
            </w: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obligations (2)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82,473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55,098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10,128</w:t>
            </w:r>
          </w:p>
        </w:tc>
        <w:tc>
          <w:tcPr>
            <w:tcW w:w="0" w:type="dxa"/>
            <w:vAlign w:val="bottom"/>
          </w:tcPr>
          <w:p>
            <w:pPr>
              <w:spacing w:after="0"/>
              <w:rPr>
                <w:sz w:val="1"/>
                <w:szCs w:val="1"/>
                <w:color w:val="auto"/>
              </w:rPr>
            </w:pPr>
          </w:p>
        </w:tc>
      </w:tr>
      <w:tr>
        <w:trPr>
          <w:trHeight w:val="197"/>
        </w:trPr>
        <w:tc>
          <w:tcPr>
            <w:tcW w:w="3480" w:type="dxa"/>
            <w:vAlign w:val="bottom"/>
          </w:tcPr>
          <w:p>
            <w:pPr>
              <w:ind w:left="20"/>
              <w:spacing w:after="0"/>
              <w:rPr>
                <w:sz w:val="20"/>
                <w:szCs w:val="20"/>
                <w:color w:val="auto"/>
              </w:rPr>
            </w:pPr>
            <w:r>
              <w:rPr>
                <w:rFonts w:ascii="Arial" w:cs="Arial" w:eastAsia="Arial" w:hAnsi="Arial"/>
                <w:sz w:val="14"/>
                <w:szCs w:val="14"/>
                <w:color w:val="auto"/>
              </w:rPr>
              <w:t>Operating lease obligations (3)</w:t>
            </w:r>
          </w:p>
        </w:tc>
        <w:tc>
          <w:tcPr>
            <w:tcW w:w="20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137,965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11,464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41,204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31,232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17,405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9,818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26,842</w:t>
            </w:r>
          </w:p>
        </w:tc>
        <w:tc>
          <w:tcPr>
            <w:tcW w:w="0" w:type="dxa"/>
            <w:vAlign w:val="bottom"/>
          </w:tcPr>
          <w:p>
            <w:pPr>
              <w:spacing w:after="0"/>
              <w:rPr>
                <w:sz w:val="1"/>
                <w:szCs w:val="1"/>
                <w:color w:val="auto"/>
              </w:rPr>
            </w:pPr>
          </w:p>
        </w:tc>
      </w:tr>
      <w:tr>
        <w:trPr>
          <w:trHeight w:val="209"/>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obligations (3)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3,757</w:t>
            </w:r>
          </w:p>
        </w:tc>
        <w:tc>
          <w:tcPr>
            <w:tcW w:w="0" w:type="dxa"/>
            <w:vAlign w:val="bottom"/>
          </w:tcPr>
          <w:p>
            <w:pPr>
              <w:spacing w:after="0"/>
              <w:rPr>
                <w:sz w:val="1"/>
                <w:szCs w:val="1"/>
                <w:color w:val="auto"/>
              </w:rPr>
            </w:pPr>
          </w:p>
        </w:tc>
      </w:tr>
      <w:tr>
        <w:trPr>
          <w:trHeight w:val="197"/>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Severance obligations (4)</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129,340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3,167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11,344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10,316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9,348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86,665</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contractual obligations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2,038,083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104,559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235,196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169,297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290,632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393,910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844,489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00" w:hanging="328"/>
        <w:spacing w:after="0" w:line="277"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September 30, 2019 for variable rate debt.</w:t>
      </w:r>
    </w:p>
    <w:p>
      <w:pPr>
        <w:spacing w:after="0" w:line="116" w:lineRule="exact"/>
        <w:rPr>
          <w:rFonts w:ascii="Arial" w:cs="Arial" w:eastAsia="Arial" w:hAnsi="Arial"/>
          <w:sz w:val="18"/>
          <w:szCs w:val="18"/>
          <w:color w:val="auto"/>
        </w:rPr>
      </w:pPr>
    </w:p>
    <w:p>
      <w:pPr>
        <w:ind w:left="660" w:right="820" w:hanging="328"/>
        <w:spacing w:after="0" w:line="277"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off-balance sheet purchase obligations for capital expenditures, long-term supply contracts and other contractual commitments outstanding at September 30, 2019.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future minimum lease payments including interest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September 30, 2019 include:</w:t>
      </w:r>
    </w:p>
    <w:p>
      <w:pPr>
        <w:spacing w:after="0" w:line="11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$61.4 million of foreign pension plan obligations, for which the timing and actual amount of impact on our future cash flow is uncertain.</w:t>
      </w:r>
    </w:p>
    <w:p>
      <w:pPr>
        <w:spacing w:after="0" w:line="171" w:lineRule="exact"/>
        <w:rPr>
          <w:rFonts w:ascii="Arial" w:cs="Arial" w:eastAsia="Arial" w:hAnsi="Arial"/>
          <w:sz w:val="18"/>
          <w:szCs w:val="18"/>
          <w:color w:val="auto"/>
        </w:rPr>
      </w:pPr>
    </w:p>
    <w:p>
      <w:pPr>
        <w:ind w:left="660" w:right="180" w:hanging="328"/>
        <w:spacing w:after="0" w:line="26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$24.1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2019, we had no off-balance sheet guarantees or other off-balance sheet arrangements as defined in Item 303(a)(4)(ii) of SEC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refer you to Note 15 to our Consolidated Financial Statements in Part I, Item 1 of this Quarterly Report on Form 10-Q for a discussion of our contingencies related to litigation and other legal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critical accounting policies are disclosed in our Annual Report on Form 10-K for the year ended December 31, 2018. During the nine months ended September 30, 2019, there were no significant changes in our critical accounting policies as reported in our 2018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recent accounting pronouncements, we refer you to Note 2 to our Consolidated Financial Statements in Part I, Item 1 of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U.S. dollar is the reporting and functional currency for us and our subsidiaries, except for J-Devices, where the Japanese Yen is the functional currency. In order to reduce our exposure to foreign currency gains and losses, we generally use natural hedging techniques to reduce foreign currency rate risk. On a limited basis, we use forward contracts to mitigate foreign currency risk of certain monetary liabilities denominated in foreign currencies.</w:t>
      </w:r>
    </w:p>
    <w:p>
      <w:pPr>
        <w:spacing w:after="0" w:line="193"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September 30, 2019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nine months ended September 30, 2019 would have been approximately $7 million lower, due to the remeasurement of monetary assets and liabilities.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have foreign currency exchange rate exposure for our results of operations. For the nine months ended September 30, 2019, approximately 76% of our net sales were denominated in U.S. dollars. Our remaining net sales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were principally denominated in Japanese Yen for local country sales. For the nine months ended September 30, 2019, approximately 50%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of the country where our production facilities are located and largely consisted of labor. To the extent that the U.S. dollar weakens against these currencies in Asia,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September 30, 2019 to assess the potential impact of fluctuations in exchange rates for all foreign denominated sales and operating expenses. Assuming that all foreign currencies appreciated 10% against the U.S. dollar, our operating income for the nine months ended September 30, 2019 would have been approximately $78 million lower.</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Consolidated Financial Statements are impacted by changes in exchange rates at the entity where the local currency is the functional currency. The effect of foreign exchange rate translation for these entities was a gain of $3.7 million and a loss of $2.7 million for the nine months ended September 30, 2019 and 2018, respectively, and was recognized as an adjustment to equity through 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interest rate risk with respect to our debt. Our fixed and variable rate debt includes foreign borrowings and revolving credit facilities. Our fixed rate debt also consists of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September 30,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142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3"/>
                <w:szCs w:val="13"/>
                <w:b w:val="1"/>
                <w:bCs w:val="1"/>
                <w:color w:val="auto"/>
                <w:w w:val="91"/>
              </w:rPr>
              <w:t>2019 - Remaining</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89"/>
              </w:rPr>
              <w:t>2023</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Thereafter</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Total</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9"/>
              </w:rPr>
              <w:t>Fair Value</w:t>
            </w:r>
          </w:p>
        </w:tc>
      </w:tr>
      <w:tr>
        <w:trPr>
          <w:trHeight w:val="181"/>
        </w:trPr>
        <w:tc>
          <w:tcPr>
            <w:tcW w:w="214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 in thousands)</w:t>
            </w: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1"/>
        </w:trPr>
        <w:tc>
          <w:tcPr>
            <w:tcW w:w="2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rate debt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14,804</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59,215</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59,215</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163,555</w:t>
            </w: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45,513</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572,143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914,445</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963,382</w:t>
            </w:r>
          </w:p>
        </w:tc>
      </w:tr>
      <w:tr>
        <w:trPr>
          <w:trHeight w:val="197"/>
        </w:trPr>
        <w:tc>
          <w:tcPr>
            <w:tcW w:w="2140" w:type="dxa"/>
            <w:vAlign w:val="bottom"/>
          </w:tcPr>
          <w:p>
            <w:pPr>
              <w:ind w:left="220"/>
              <w:spacing w:after="0"/>
              <w:rPr>
                <w:sz w:val="20"/>
                <w:szCs w:val="20"/>
                <w:color w:val="auto"/>
              </w:rPr>
            </w:pPr>
            <w:r>
              <w:rPr>
                <w:rFonts w:ascii="Arial" w:cs="Arial" w:eastAsia="Arial" w:hAnsi="Arial"/>
                <w:sz w:val="14"/>
                <w:szCs w:val="14"/>
                <w:color w:val="auto"/>
              </w:rPr>
              <w:t>Average interest rate</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Variable rate debt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11,631</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53,106</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44,250</w:t>
            </w: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280,000</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390,987</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394,898</w:t>
            </w:r>
          </w:p>
        </w:tc>
      </w:tr>
      <w:tr>
        <w:trPr>
          <w:trHeight w:val="197"/>
        </w:trPr>
        <w:tc>
          <w:tcPr>
            <w:tcW w:w="21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Average interest rate</w:t>
            </w: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2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debt maturities</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26,435</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112,321</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61,215</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207,805</w:t>
            </w:r>
          </w:p>
        </w:tc>
        <w:tc>
          <w:tcPr>
            <w:tcW w:w="6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325,513</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572,143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1,305,432</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1,358,280</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the fair value of our long-term debt, see Note 14 to our Consolidated Financial Statements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September 30, 2019 and concluded those disclosure controls and procedures were effective as of that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reported, we are implementing an enterprise resource planning system in a multi-year program in certain of our factories. There have been no changes in our internal control over financial reporting that occurred during the three months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about legal proceedings is set forth in Note 15 to our Consolidated Financial Statements in Part I, Item 1 of this Quarterly Report on Form 10-Q and in our Annual Report on Form 10-K for the year ended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Quarterly Report on Form 10-Q. You should carefully consider the risks and uncertainties described below, together with all of the other information included in this report, in considering our business and prospects. The risks and uncertainties described below are not the only ones facing Amkor. Additional risks and uncertainties not presently known to us may also impair our business operations. The occurrence of any of the following risks could affect our business, liquidity, results of operations, financial condition or cash flows.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the Highly Cyclical Semiconductor Industry - We Operate in Volatile Industries and Industry Downturns and Declines in Global Economic and Financial Conditions Could Harm Our Performance.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we compete in experience slower, or even negative growth, our business and results of operations may be adversely affected.</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consumer electronics, or computing, could have a material adverse effect on our business and operating results. During downturns, we have experienced, among other things, reduced demand, excess capacity and reduced sales. For example, generally soft economic conditions and a lack of compelling new mobile products constrained overall demand during 2015. In addition, we believe that there is an inventory correction in the smartphone market and that the general semiconductor market is going through a typical cyclical correction. Macroeconomic uncertainties and a cautious business climate are also expected to constrain the revenue growth in our business. It is difficult to predict the timing, strength or duration of any economic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factors, including the impact of adverse economic conditions,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ind w:left="660" w:right="280" w:hanging="328"/>
        <w:spacing w:after="0" w:line="26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expanding our sales to customers in Greater China and, in particular, in the mid-level and entry-level tiers of the mobile device market; and increasing our share of the automotive market;</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right="800" w:hanging="328"/>
        <w:spacing w:after="0" w:line="342"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69" w:lineRule="exact"/>
        <w:rPr>
          <w:rFonts w:ascii="Arial" w:cs="Arial" w:eastAsia="Arial" w:hAnsi="Arial"/>
          <w:sz w:val="16"/>
          <w:szCs w:val="16"/>
          <w:color w:val="auto"/>
        </w:rPr>
      </w:pPr>
    </w:p>
    <w:p>
      <w:pPr>
        <w:ind w:left="660" w:hanging="328"/>
        <w:spacing w:after="0" w:line="26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labor costs to perform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 leverage and restrictive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political instability and government shutdowns, civil disturbances or environmental or natural events, such as earthquakes in Japan, that impact our operations, and international events, such as the United Kingdom’s ongoing negotiations to leave the European Union;</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pandemic illnesses that may impact our labor force and our ability to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fluctuations in interest rates and currency exchange rates, including the potential impact of the phase-out of LIBOR on our variable rate debt;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often difficult to predict the impact of these factors upon our results for a particular period. 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11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consumer demand resulting from deteriorating conditions in local economies;</w:t>
      </w:r>
    </w:p>
    <w:p>
      <w:pPr>
        <w:spacing w:after="0" w:line="171" w:lineRule="exact"/>
        <w:rPr>
          <w:rFonts w:ascii="Arial" w:cs="Arial" w:eastAsia="Arial" w:hAnsi="Arial"/>
          <w:sz w:val="18"/>
          <w:szCs w:val="18"/>
          <w:color w:val="auto"/>
        </w:rPr>
      </w:pPr>
    </w:p>
    <w:p>
      <w:pPr>
        <w:ind w:left="660" w:right="40" w:hanging="328"/>
        <w:spacing w:after="0" w:line="31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laws, rules, regulations and policies imposed by U.S. or foreign governments, such as tariffs, customs, duties and other restrictive trade barriers, national security, data privacy and cybersecurity, antitrust and competition, tax, currency and banking, labor, environmental, health and safety, and in particular the recent increase in tariffs, customs, duties and other restrictive trade barriers considered or adopted by U.S. and foreign governments;</w:t>
      </w:r>
    </w:p>
    <w:p>
      <w:pPr>
        <w:spacing w:after="0" w:line="92"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payment of dividends and other payments by non-U.S. subsidiaries may be subject to prohibitions, limitations or taxes in local jurisdictions;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J-Devices;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foreign jurisdictions in which we operate; and</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particular, 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a recent rise in tensions within and among other countries in the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Customer Capabilities and May Face Competition from New Competitors, Including Foundries.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the People’s Republic of China, or the PRC, where there are government-supported efforts to promote the development and growth of the local semiconductor industry. For example, STATS ChipPAC was acquired in 2015 by Jiangsu Electronics Technology Co., Ltd., a local PRC company.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For example, Advanced Semiconductor Engineering, Inc. and Siliconware Precision Industries Co., Ltd. became sister companies under a new joint holding company, ASE Technology Holding Co. LTD., in April 2018.</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face competition from the internal capabilities and capacity of many of our current and potential IDM and foundry customers. In addition, we compete with contract foundries, such as Taiwan Semiconductor Manufacturing Company Limited and Samsung Electronics Co., Ltd., which offer full turnkey services from silicon wafer fabrication through packaging and final test. These semiconductor foundries, which are substantially larger and have greater financial resources than we do, have expanded their operations to include packaging and test services, and may continue to expand these capabilities in the future.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for packaging and test services, or that our business, liquidity, results of operations, financial condition and cash flows will not be adversely affected by such increased competition.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operations are characterized by relatively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In periods of low demand we experience relatively low capacity utilization in our operations, which leads to reduced margins during that period. Transitions between different packaging technologies, such as the transition from gold wirebond to flip chip and copper wirebond packages, can also impact our capacity utilization if we do not efficiently redeploy our equipment for other packaging and test opportunities. For example, in the past, the migration of some customer demand from wirebond to flip chip packages resulted in under-utilized wirebond assets which negatively impacted our capacity utilization and gross margin. We cannot assure you that we will be 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achieve consistently high capacity utilization, and if we fail to do so, our gross margins will be negatively impacted. If our gross margins decrease, our business, liquidity, results of operations, financial condition and cash flows could be materially adversely affected.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fixed operating costs have increased in recent years in part as a result of our efforts to expand our capacity through significant capital expenditures. Forecasted customer demand for which we have made capital investments may not materialize, especially if industry conditions deteriorate. As a result, our sales may not adequately cover fixed costs, resulting in reduced profit levels or causing significant losses, either of which may adversely impact our business, liquidity, results of operations, financial condition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 Our Failure to Meet Our Guidance or Analyst Projections Could Adversely Impact the Trading Prices of Our Securities.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periodically provide guidance to investors with respect to certain financial information for future periods. Securities analysts also periodically publish their own projections with respect to our future operating results. As discussed above under “Fluctuations in Operating Results and Cash Flows - Our Operating Results and Cash Flows Have Varied and May Vary Significantly as a Result of Factors That We Cannot Control,” our operating results and cash flows vary significantly and are difficult to accurately predict. Volatility in customer forecasts and fluctuations in global consumer demand make it particularly difficult to predict future results. Further, providing guidance requires us to make estimates and assumptions about such things as revenue, costs and expenses, which may turn out to be incorrect or change. To the extent we fail to meet or exceed our own guidance or the analyst projections for any reason, the trading prices of our securities may be adversely impacted. Moreover, even if we do meet or exceed that guidance or those projections, if analysts and investors do not react favorably, or if analysts were to discontinue providing coverage of our company, the trading prices of our securities may be adversely impacted.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2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2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reasons IDMs and foundries may shift their outsourced business to internal capacity include:</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their desire to realize higher utilization of their existing packaging and test capacity, especially during downturns in the semiconductor industry;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their unwillingness to disclose proprietary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their possession of more advanced packaging and test technologies;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guaranteed availability of their own packaging and test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downturn in the semiconductor industry, IDMs and foundries could respond by shifting some or all outsourced packaging and test services to internally serviced capacity on a short-term basis. Also, the IDMs and foundries could curtail or reverse the trend of outsourcing packaging and test services. If we experience a significant loss of IDM or foundry business, it could have a material adverse effect on our business, liquidity, results of operations, financial condition and cash flows, especially during a prolonged industry downturn.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significant amount of indebtedness, and the terms of the agreements governing our indebtedness allow us and our subsidiaries to incur more debt, subject to certain limitations. As of September 30, 2019, our total debt balance was $1,298.0 million, of which $103.0 million was classified as a current liability and $539.3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intensify.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right="2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ind w:left="660" w:right="400" w:hanging="328"/>
        <w:spacing w:after="0" w:line="26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in our indebtedness, our ability to borrow additional funds;</w:t>
      </w:r>
    </w:p>
    <w:p>
      <w:pPr>
        <w:spacing w:after="0" w:line="171" w:lineRule="exact"/>
        <w:rPr>
          <w:rFonts w:ascii="Arial" w:cs="Arial" w:eastAsia="Arial" w:hAnsi="Arial"/>
          <w:sz w:val="18"/>
          <w:szCs w:val="18"/>
          <w:color w:val="auto"/>
        </w:rPr>
      </w:pPr>
    </w:p>
    <w:p>
      <w:pPr>
        <w:ind w:left="660" w:right="9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certain of our credit agreements use LIBOR or other reference rates to determine the rate of interest payable on our borrowings. The United Kingdom’s Financial Conduct Authority intends to phase out LIBOR by the end of 2021. Plans for alternative reference rates for other currencies have also been announced. At this time, we cannot predict how markets will respond to proposed alternative rates or the effect of any changes to, or discontinuation of, LIBOR. If reference rates under our credit agreements are no longer available or if our lenders have increased costs due to changes in reference rates, we may experience increases in interest rates on our variable rate debt, which could adversely impact our interest expense,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our liquidity based on our current expectations regarding sales and operating expenses, capital spending, debt service requirements and other funding needs. Our liquidity is affected by, among other factors, the performance of our business, our capital expenditure and other investment levels and our ability to repay debt and other long-term obligations out of our operating cash flows or with the proceeds of debt or equity financings.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capital-intensive industry. We had capital expenditures of $328.5 million during the nine months ended September 30, 2019. Servicing our current and future customers requires that we incur significant operating expenses and continue to make significant capital expenditures and other investments, which are generally made in advance of the related revenues and without firm customer commitments. Ultimately the actual amount of our capital expenditures for 2019 and thereafter may vary materially and will depend on several factors. These factors include, among others, the amount, timing and implementation of our capital projects, including those under review and those not yet planned, the performance of our business, economic and market conditions, the cash needs and investment opportunities for the business, the need for additional capacity and facilities and the availability of cash flows from operations or financing.</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we have a significant level of debt which requires significant scheduled principal and interest payments in the coming years. The sources funding our operations, including capital expenditures and other investments and servicing principal and interest obligations with respect to our debt, are cash flows from our operations, existing cash and cash equivalents, borrowings under available debt facilities, or proceeds from any additional debt or equity financing.</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rising interest rates or adverse economic, political and other global conditions, could also make it difficult or more expensive for us to maintain our existing credit facilities or refinance our debt.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may be adversely impacted.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in the Indentures and Agreements Governing Our Current and Future Indebtedness Could Restrict Our Operating Flexibility.</w:t>
      </w: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subsidiary in Korea maintains an unfunded severance plan, under which we have an accrued liability of $129.3 million as of September 30, 2019.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Financial Results or Prevent Fraud.</w:t>
      </w:r>
    </w:p>
    <w:p>
      <w:pPr>
        <w:spacing w:after="0" w:line="2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We must annually evaluate our internal procedures to satisfy the requirements of Section 404 of the Sarbanes-Oxley Act of 2002, which requires management and our independent registered public accounting firm to assess the effectiveness of internal control over financial reporting.</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controls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of any evaluation of effectiveness of internal controls to future periods are subject to the risk that the internal controls may become inadequate because of changes in conditions, or that the degree of compliance with the policies or procedures may deteriorate.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In December 2015, we acquired the operations of J-Devices, and we integrated those operations into our overall internal control over financial reporting. Although we continue to monitor and assess our internal controls for these systems and operations, there is a risk that deficiencies may occur that could constitute significant deficiencies or, in the aggregate, a material weakness.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telecommunication failures, user errors, malfeasance or catastrophic events. In addition, security breaches could result in unauthorized disclosure of confidential information. Some of our key software has been developed by our own programmers, and this software may not be easily integrated with other software and systems. From time to time we make additions or changes to our information technology systems. For example, we have implemented new shop floor systems in certain of our factories, and we are integrating J-Devices’ information technology systems with our existing systems and processes. </w:t>
      </w:r>
      <w:r>
        <w:rPr>
          <w:rFonts w:ascii="Arial" w:cs="Arial" w:eastAsia="Arial" w:hAnsi="Arial"/>
          <w:sz w:val="16"/>
          <w:szCs w:val="16"/>
          <w:color w:val="090909"/>
        </w:rPr>
        <w:t>In addition, in May 2017, we completed our acquisition of Nanium and</w:t>
      </w:r>
      <w:r>
        <w:rPr>
          <w:rFonts w:ascii="Arial" w:cs="Arial" w:eastAsia="Arial" w:hAnsi="Arial"/>
          <w:sz w:val="16"/>
          <w:szCs w:val="16"/>
          <w:color w:val="auto"/>
        </w:rPr>
        <w:t xml:space="preserve"> continue </w:t>
      </w:r>
      <w:r>
        <w:rPr>
          <w:rFonts w:ascii="Arial" w:cs="Arial" w:eastAsia="Arial" w:hAnsi="Arial"/>
          <w:sz w:val="16"/>
          <w:szCs w:val="16"/>
          <w:color w:val="090909"/>
        </w:rPr>
        <w:t>to integrate its information</w:t>
      </w:r>
      <w:r>
        <w:rPr>
          <w:rFonts w:ascii="Arial" w:cs="Arial" w:eastAsia="Arial" w:hAnsi="Arial"/>
          <w:sz w:val="16"/>
          <w:szCs w:val="16"/>
          <w:color w:val="auto"/>
        </w:rPr>
        <w:t xml:space="preserve"> technology </w:t>
      </w:r>
      <w:r>
        <w:rPr>
          <w:rFonts w:ascii="Arial" w:cs="Arial" w:eastAsia="Arial" w:hAnsi="Arial"/>
          <w:sz w:val="16"/>
          <w:szCs w:val="16"/>
          <w:color w:val="090909"/>
        </w:rPr>
        <w:t>systems into our existing systems and processes.</w:t>
      </w:r>
      <w:r>
        <w:rPr>
          <w:rFonts w:ascii="Arial" w:cs="Arial" w:eastAsia="Arial" w:hAnsi="Arial"/>
          <w:sz w:val="16"/>
          <w:szCs w:val="16"/>
          <w:color w:val="auto"/>
        </w:rPr>
        <w:t xml:space="preserve"> We face risks in connection with current and future projects to install or integrate new information technology systems or upgrade our existing systems. These risks include:</w:t>
      </w:r>
    </w:p>
    <w:p>
      <w:pPr>
        <w:spacing w:after="0" w:line="11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design and implementation of the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may exceed our plans and expectations; and</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resulting from the implementation or integration of the systems may impact our ability to process transactions and delay shipments to customers, impact our results of operations or financial condition or harm our control environment.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could be materially and adversely affected if our information technology systems are disrupted or if we are unable to successfully install new systems or improve, upgrade, integrate or expand upon our existing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Retain or Replace Qualified Employees to Support Our Operations.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and operational consolidations, strategic acquisitions, joint ventures and other partnering arrangements. Some of the risks from these activities include those associated with the following:</w:t>
      </w:r>
    </w:p>
    <w:p>
      <w:pPr>
        <w:spacing w:after="0" w:line="1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 other difficulties in the assimilation of acquired operations, technologies or products; and</w:t>
      </w:r>
    </w:p>
    <w:p>
      <w:pPr>
        <w:spacing w:after="0" w:line="116"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For example, in May 2017, we completed the purchase of Nanium, which we are now integrating with our existing operations.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22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obtain from various vendors the materials and equipment required for the packaging and test services performed by our factories. We source most of our materials, including critical materials such as leadframes, laminate substrates and gold wire, from a limited group of suppliers. A disruption to the operations of one or more of our suppliers could have a negative impact on our business. For example, severe earthquakes and tsunamis in the past have significantly and adversely affected the electronics industry supply chain by impacting the supply of specialty chemicals, substrates, silicon wafers, equipment and other supplies to the electronics industry. 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 the shortage in the supply of wafers to some of our customers in a prior year delayed or otherwise adversely impacted the demand for certain of our advanced packaging and test services.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Rules adopted by the SEC implementing the Dodd-Frank Wall Street Reform and Consumer Protection Act impose diligence and disclosure requirements regarding the use of certain minerals originating from the conflict zones of the Democratic Republic of Congo and adjoining countries in our products. Industry associations and many of our customers have implemented initiatives to improve transparency and accountability concerning the supply of these materials and, in some cases, requiring us to certify that the covered materials we use in our packages do not come from the conflict areas. We may incur additional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in sufficient quantities and at competitive prices or that we will be able to verify the origin of all of the materials we use in our manufacturing process. If we are unable to meet these requirements and customer initiatives, it could adversely affect our business as some customers may move their business to other suppliers. Our reputation could also be adversely affected.</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62% of our net sales for the year ended December 31, 2018, and one customer accounted for more than 10% of our consolidated net sales during the period. In addition, we have significant customer concentration within our end markets. The loss of a significant customer, a business combination among our customers, a reduction in orders or decrease in price from a significant customer or disruption in any of our significant strategic partnerships or other commercial arrangements may result in a decline in our sales and profitability and could have a material adverse effect on our business, liquidity, results of operations, financial condition and cash flows.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Our business is likely to remain subject to this variability in order levels, and we cannot assure you that our key customers or any other customers will continue to place orders with us in the future at the same levels as in past periods.</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example, if a key customer decides to purchase wafers from a semiconductor foundry that provides packaging and test services, our business could be reduced if the customer also engages that foundry for related packaging and test services. We cannot assure that customer decisions regarding the purchase of semiconductor wafers will not significantly and adversely impact customer demand for our packaging and test services.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from time to time we may acquire or build new facilities or migrate existing business among our facilities. In connection with these facility changes, our customers require us to re-qualify the new facilities even though we have already qualified to perform the services at our other facilities. We cannot assure that we will successfully re-qualify or that our customers will not qualify our competitors and move the business for such services.</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make significant investments in equipment and facilities in order to service the demand of our customers. For example, we expect that our 2019 capital expenditures will be approximately $475 million. The amount of our capital expenditures depends on several factors, including the performance of our business, our assessment of future industry and customer demand, our capacity utilization levels and availability,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capital expenditures to increase production capacity will put downward pressure on our gross margin, at least in the near term. From time to time, we also make significant capital expenditures based on specific business opportunities with one or a few key customers, and the additional equipment purchased may not be readily usable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 advanced packaging and test technologies because, among other things, new equipment used for these technologies is generally more expensive and often our existing equipment cannot be redeployed in whole or part for these technologies.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w:t>
      </w:r>
    </w:p>
    <w:p>
      <w:pPr>
        <w:spacing w:after="0" w:line="12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 for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fixed income, credit and equity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political and other global conditions.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lead time needed to order, install and put into service various capital investments is often significant, and, as a result, we often need to commit to capital expenditures in advance of our receipt of firm orders or advance deposits based on our view of anticipated future demand with only very limited visibility. Although we seek to limit our exposure in this regard, in the past we have from time to time expended significant capital for additional equipment or facilities for which the anticipated demand did not materialize for a variety of reasons, many of which were outside of our control. To the extent this occurs in the future, our business, liquidity, results of operations, financial condition and cash flows could be materially adversely affected.</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during periods where customer demand exceeds our capacity, customers may transfer some or all of their business to internal resources or to other suppliers who are able to support their needs. To the extent this occurs, our business, liquidity, results of operations, financial condition and cash flows could be materially adversely affected.</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completed the initial phase of construction of K5 in December 2016, there can be no assurance regarding when the facility will be fully utilized, or that the actual scope, costs, timeline or benefits of the project will be consistent with our expectations.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 - Any Impairment Charges Required Under U.S. GAAP May Have a Material Adverse Effect on Our Net Income.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U.S. GAAP, we review our long-lived assets including property, plant and equipment, intellectual property, goodwill and other intangibles for impairment when events or changes in circumstances indicate the carrying value may not be recoverable. In addition, we review goodwill for impairment annually during the fourth quarter of each year. Factors we consider include significant under-performance relative to expected historical or projected future operating results, significant negative industry or economic trends and our market capitalization relative to net book value. We may be required in the future to record a significant charge to earnings in our financial statements during the period in which any impairment of our long-lived assets is determined. Such charges have had and could have a significant adverse impact on our results of operations and our operating flexibility under our debt covenants.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Incident to Our Business Could Adversely Affect Us.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party to various legal proceedings, including those described from time to time in our reports filed with the SEC and may be a party to legal proceedings in the future. These proceedings could require significant management time and resources and, if an unfavorable ruling or outcome were to occur in these legal proceedings, there could be a material adverse impact on our business, liquidity, results of operations, financial condition, cash flows and the trading price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In addition, organizations such as the Organisation for Economic Co-operation and Development may, from time to time, propose guidelines regarding transfer pricing and other international tax matters relating to multinational companies like Amkor. Changes in U.S. or foreign tax laws arising out of such proposals or otherwise could have a material adverse impact on our liquidity, results of operations, financial condition and cash flows.</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Enactment of Tax Reform Could Materially Impact Our Financial Position and Results of Operations.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Tax Act was signed into law. The Tax Act made significant changes to the U.S. tax code. Changes include a reduction of the U.S. federal corporate tax rate from 35% to 21%, a one-time transition tax on unremitted foreign earnings and profits applicable for our fiscal year ended December 31, 2017, limitations on tax deductions for interest expense for the period beginning January 1, 2018, and changes to other existing deductions and business-related exclusions in future periods. As a result, in the fourth quarter of 2017, we recognized a one-time net tax benefit of approximately $41.6 million, primarily due to the release of a valuation allowance against U.S. deferred tax assets that we expected to realize as a result of the change to the U.S. tax law limiting the deductibility of interest expense. We also incurred charges for the one-time transition tax on our unremitted foreign earnings and profits offset by the anticipated utilization of foreign tax credits. We were also required to re-measure our deferred tax assets based on the new U.S. federal corporate tax rate of 21%. In 2018, we updated our provisional estimate of the impact of the Tax Act and recorded a $22.3 million income tax expense to complete the accounting for the impact of the Tax Act, reducing our estimated net tax benefit of $41.6 million from 2017. Our accounting for the impact of the Tax Act is now complete in accordance with SEC staff issued Staff Accounting Bulletin No. 118 (“SAB 118”). However, there is uncertainty in the application of many aspects of the Tax Act, and additional guidance with respect to the Tax Act may affect our estimates and could have a material impact on our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breadth of semiconductor packaging and test services are rapidly increasing. As a result, we expect that we will need to develop, acquire and implement new manufacturing processes and packaging technologies and tools 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meaningful protection or other commercial advantage to us.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9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including settled legal proceedings described in more detail in Note 15 to the Consolidated Financial Statements in Part II, Item 8 of our Annual Report on Form 10-K.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Quarterly Report on Form 10-Q on our results of operations, financial condition and cash flows could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Defective packages primarily result from:</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Test is also complex and involves sophisticated equipment and software. Similar to many software programs, these software programs are complex and may contain programming errors or “bugs.” The test equipment is also subject to malfunction. In addition, the test process is subject to operator error.</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in line with industry practice, new customers usually require us to pass a lengthy and rigorous qualification process that may take several months. If we fail to qualify packages with potential customers or existing customers, such failure could have a material adverse effect on our business, results of operations, financial condition and cash flows.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semiconductor packaging process generates byproducts that are subject to extensive governmental regulations.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Environmental, health and safety laws and regulations in places we do business, impose various controls on the use, storage, handling, discharge and disposal of chemicals used in our production processes and on the factories we occupy and are increasingly imposing restrictions on the materials contained in semiconductor products. For example,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existence of hazardous materials on our properties or hazardous substances in the products we manufacture.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greenhouse gas emissions, reductions in waste and wastewater from operations, additional reporting on the materials and components used in the products we manufacture, and the use of renewable energy sources in our factory operations. To comply with these additional requirements, we may need to procure additional equipment or make factory or process changes and our manufacturing costs may increase.</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Political Instability, Hostilities, or Other Disruptions.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significant packaging and test and other operations in China, Japan, Korea, Malaysia, the Philippines, Portugal, Singapore, and Taiwan which are or could be subject to: natural disasters, such as earthquakes, tsunamis, typhoons, floods, droughts, volcanoes and other severe weather and geological events, and other calamities, such as fire; the outbreak of infectious diseases (such as Ebola, SARS or flu); industrial strikes; breakdowns of equipment; difficulties or delays in obtaining materials, equipment, utilities and services; political events or instability; acts of war, armed conflict, terrorist incidents and other hostilities, including any such events that may arise out of increased tensions involving North Korea or in other regions where we have facilities; and industrial accidents and other events, that could disrupt or even shutdown our operations. In addition, our suppliers and customers also have significant operations in such locations. In the event of such a disruption or shutdown, we may be unable to reallocate production to other facilities in a timely or cost-effective manner (if at all) and we may not have sufficient capacity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We also incurred earthquake related costs for damaged inventory, buildings and equipment.</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Although we maintain insurance policies for various types of property, casualty and other risks, we do not carry insurance for all the above referred risks, and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2019, Mr. James J. Kim, the Executive Chairman of our Board of Directors, Mr. John T. Kim, the Vice Chairman of our Board of Directors, Ms. Susan Y. Kim, a member of our Board of Directors, and members of the Kim family and affiliates owned approximately 141.7 million shares, or approximately 59%, of our outstanding common stock. The Kim family also has options to acquire approximately 0.4 million shares. If the options are exercised, the Kim family’s total ownership would be an aggregate of approximately 142.1 million shares of our outstanding common stock or approximately 59% of our outstanding common stock.</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2013, the Kim family exchanged convertible notes issued by Amkor in 2009 for approximately 49.6 million shares of common stock (the “Convert Shares”). The Convert Shares are subject to a voting agreement. The agreement requires the Kim family to vote these shares in a “neutral manner” on all matters submitted to our stockholders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September 30, 2019.</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260" w:type="dxa"/>
            <w:vAlign w:val="bottom"/>
          </w:tcPr>
          <w:p>
            <w:pPr>
              <w:spacing w:after="0"/>
              <w:rPr>
                <w:sz w:val="12"/>
                <w:szCs w:val="12"/>
                <w:color w:val="auto"/>
              </w:rPr>
            </w:pPr>
          </w:p>
        </w:tc>
        <w:tc>
          <w:tcPr>
            <w:tcW w:w="1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 Programs</w:t>
            </w:r>
          </w:p>
        </w:tc>
        <w:tc>
          <w:tcPr>
            <w:tcW w:w="100" w:type="dxa"/>
            <w:vAlign w:val="bottom"/>
          </w:tcPr>
          <w:p>
            <w:pPr>
              <w:spacing w:after="0"/>
              <w:rPr>
                <w:sz w:val="12"/>
                <w:szCs w:val="12"/>
                <w:color w:val="auto"/>
              </w:rPr>
            </w:pPr>
          </w:p>
        </w:tc>
        <w:tc>
          <w:tcPr>
            <w:tcW w:w="2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Purchased (a)</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Per Share ($)</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1 - July 31</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August 1 - August 31</w:t>
            </w:r>
          </w:p>
        </w:tc>
        <w:tc>
          <w:tcPr>
            <w:tcW w:w="1960" w:type="dxa"/>
            <w:vAlign w:val="bottom"/>
          </w:tcPr>
          <w:p>
            <w:pPr>
              <w:jc w:val="right"/>
              <w:ind w:right="56"/>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76"/>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980" w:type="dxa"/>
            <w:vAlign w:val="bottom"/>
          </w:tcPr>
          <w:p>
            <w:pPr>
              <w:ind w:left="1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7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1 - September 30</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64"/>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2"/>
                <w:szCs w:val="22"/>
                <w:color w:val="auto"/>
              </w:rPr>
            </w:pPr>
          </w:p>
        </w:tc>
        <w:tc>
          <w:tcPr>
            <w:tcW w:w="1980" w:type="dxa"/>
            <w:vAlign w:val="bottom"/>
            <w:tcBorders>
              <w:top w:val="single" w:sz="8" w:color="auto"/>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100" w:hanging="328"/>
        <w:spacing w:after="0" w:line="277" w:lineRule="auto"/>
        <w:tabs>
          <w:tab w:leader="none" w:pos="6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vesting of restricted shares issued to employees.</w:t>
      </w:r>
    </w:p>
    <w:p>
      <w:pPr>
        <w:spacing w:after="0" w:line="116" w:lineRule="exact"/>
        <w:rPr>
          <w:rFonts w:ascii="Arial" w:cs="Arial" w:eastAsia="Arial" w:hAnsi="Arial"/>
          <w:sz w:val="18"/>
          <w:szCs w:val="18"/>
          <w:color w:val="auto"/>
        </w:rPr>
      </w:pPr>
    </w:p>
    <w:p>
      <w:pPr>
        <w:ind w:left="660" w:right="140" w:hanging="328"/>
        <w:spacing w:after="0" w:line="259"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Board of Directors previously authorized the repurchase of up to $300.0 million of our common stock, $150.0 million was approved in August 2011 and $150.0 million was approved in February 2012, exclusive of any fees, commissions or other expenses. For the three months ended September 30, 2019, we made no common stock purchases, and at September 30, 2019, approximately $91.6 million was available pursuant to the stock repurchase program.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99"/>
              </w:rPr>
              <w:t>Incorporated by Reference</w:t>
            </w:r>
          </w:p>
        </w:tc>
        <w:tc>
          <w:tcPr>
            <w:tcW w:w="2020" w:type="dxa"/>
            <w:vAlign w:val="bottom"/>
          </w:tcPr>
          <w:p>
            <w:pPr>
              <w:jc w:val="center"/>
              <w:ind w:left="994"/>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vMerge w:val="continue"/>
          </w:tcPr>
          <w:p>
            <w:pPr>
              <w:spacing w:after="0"/>
              <w:rPr>
                <w:sz w:val="16"/>
                <w:szCs w:val="16"/>
                <w:color w:val="auto"/>
              </w:rPr>
            </w:pPr>
          </w:p>
        </w:tc>
        <w:tc>
          <w:tcPr>
            <w:tcW w:w="2020" w:type="dxa"/>
            <w:vAlign w:val="bottom"/>
            <w:tcBorders>
              <w:bottom w:val="single" w:sz="8" w:color="auto"/>
            </w:tcBorders>
          </w:tcPr>
          <w:p>
            <w:pPr>
              <w:jc w:val="center"/>
              <w:ind w:left="994"/>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1120" w:type="dxa"/>
            <w:vAlign w:val="bottom"/>
          </w:tcPr>
          <w:p>
            <w:pPr>
              <w:ind w:left="260"/>
              <w:spacing w:after="0" w:line="139" w:lineRule="exact"/>
              <w:rPr>
                <w:sz w:val="20"/>
                <w:szCs w:val="20"/>
                <w:color w:val="auto"/>
              </w:rPr>
            </w:pPr>
            <w:r>
              <w:rPr>
                <w:rFonts w:ascii="Arial" w:cs="Arial" w:eastAsia="Arial" w:hAnsi="Arial"/>
                <w:sz w:val="14"/>
                <w:szCs w:val="14"/>
                <w:b w:val="1"/>
                <w:bCs w:val="1"/>
                <w:color w:val="auto"/>
              </w:rPr>
              <w:t>Exhibit</w:t>
            </w:r>
          </w:p>
        </w:tc>
        <w:tc>
          <w:tcPr>
            <w:tcW w:w="5240" w:type="dxa"/>
            <w:vAlign w:val="bottom"/>
            <w:gridSpan w:val="12"/>
            <w:vMerge w:val="restart"/>
          </w:tcPr>
          <w:p>
            <w:pPr>
              <w:ind w:left="202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20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6"/>
        </w:trPr>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5240" w:type="dxa"/>
            <w:vAlign w:val="bottom"/>
            <w:gridSpan w:val="1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line="181" w:lineRule="exact"/>
              <w:rPr>
                <w:sz w:val="20"/>
                <w:szCs w:val="20"/>
                <w:color w:val="auto"/>
              </w:rPr>
            </w:pPr>
            <w:r>
              <w:rPr>
                <w:rFonts w:ascii="Arial" w:cs="Arial" w:eastAsia="Arial" w:hAnsi="Arial"/>
                <w:sz w:val="18"/>
                <w:szCs w:val="18"/>
                <w:color w:val="auto"/>
              </w:rPr>
              <w:t>31.1</w:t>
            </w:r>
          </w:p>
        </w:tc>
        <w:tc>
          <w:tcPr>
            <w:tcW w:w="4760" w:type="dxa"/>
            <w:vAlign w:val="bottom"/>
            <w:tcBorders>
              <w:bottom w:val="single" w:sz="8" w:color="0000FF"/>
            </w:tcBorders>
            <w:gridSpan w:val="5"/>
          </w:tcPr>
          <w:p>
            <w:pPr>
              <w:spacing w:after="0" w:line="181"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Certification of Stephen D. Kelley, President and Chief Executive</w:t>
              </w:r>
            </w:hyperlink>
          </w:p>
        </w:tc>
        <w:tc>
          <w:tcPr>
            <w:tcW w:w="48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20" w:type="dxa"/>
            <w:vAlign w:val="bottom"/>
          </w:tcPr>
          <w:p>
            <w:pPr>
              <w:jc w:val="center"/>
              <w:ind w:left="994"/>
              <w:spacing w:after="0" w:line="181"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40" w:type="dxa"/>
            <w:vAlign w:val="bottom"/>
            <w:gridSpan w:val="12"/>
          </w:tcPr>
          <w:p>
            <w:pPr>
              <w:spacing w:after="0" w:line="156" w:lineRule="exact"/>
              <w:rPr>
                <w:rFonts w:ascii="Arial" w:cs="Arial" w:eastAsia="Arial" w:hAnsi="Arial"/>
                <w:sz w:val="18"/>
                <w:szCs w:val="18"/>
                <w:color w:val="0000FF"/>
                <w:w w:val="96"/>
              </w:rPr>
            </w:pPr>
            <w:hyperlink w:anchor="page51">
              <w:r>
                <w:rPr>
                  <w:rFonts w:ascii="Arial" w:cs="Arial" w:eastAsia="Arial" w:hAnsi="Arial"/>
                  <w:sz w:val="18"/>
                  <w:szCs w:val="18"/>
                  <w:color w:val="0000FF"/>
                  <w:w w:val="96"/>
                </w:rPr>
                <w:t>Officer of Amkor Technology, Inc., pursuant to Rule 13a-14(a) under</w:t>
              </w:r>
            </w:hyperlink>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000" w:type="dxa"/>
            <w:vAlign w:val="bottom"/>
            <w:tcBorders>
              <w:top w:val="single" w:sz="8" w:color="0000FF"/>
            </w:tcBorders>
            <w:gridSpan w:val="9"/>
          </w:tcPr>
          <w:p>
            <w:pPr>
              <w:spacing w:after="0" w:line="15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the Securities Exchange Act of 1934, as adopted pursuant to Section</w:t>
              </w:r>
            </w:hyperlink>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302 of the Sarbanes-Oxley Act of 2002.</w:t>
              </w:r>
            </w:hyperlink>
          </w:p>
        </w:tc>
        <w:tc>
          <w:tcPr>
            <w:tcW w:w="2040" w:type="dxa"/>
            <w:vAlign w:val="bottom"/>
            <w:tcBorders>
              <w:top w:val="single" w:sz="8" w:color="0000FF"/>
            </w:tcBorders>
            <w:gridSpan w:val="6"/>
          </w:tcPr>
          <w:p>
            <w:pPr>
              <w:spacing w:after="0"/>
              <w:rPr>
                <w:sz w:val="13"/>
                <w:szCs w:val="13"/>
                <w:color w:val="auto"/>
              </w:rPr>
            </w:pPr>
          </w:p>
        </w:tc>
        <w:tc>
          <w:tcPr>
            <w:tcW w:w="2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474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w:anchor="page52">
              <w:r>
                <w:rPr>
                  <w:rFonts w:ascii="Arial" w:cs="Arial" w:eastAsia="Arial" w:hAnsi="Arial"/>
                  <w:sz w:val="18"/>
                  <w:szCs w:val="18"/>
                  <w:color w:val="0000FF"/>
                  <w:w w:val="91"/>
                </w:rPr>
                <w:t>Certification of Megan Faust, Corporate Vice President and Chief</w:t>
              </w:r>
            </w:hyperlink>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20" w:type="dxa"/>
            <w:vAlign w:val="bottom"/>
          </w:tcPr>
          <w:p>
            <w:pPr>
              <w:jc w:val="center"/>
              <w:ind w:left="99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880" w:type="dxa"/>
            <w:vAlign w:val="bottom"/>
            <w:tcBorders>
              <w:bottom w:val="single" w:sz="8" w:color="0000FF"/>
            </w:tcBorders>
            <w:gridSpan w:val="6"/>
          </w:tcPr>
          <w:p>
            <w:pPr>
              <w:spacing w:after="0" w:line="156" w:lineRule="exact"/>
              <w:rPr>
                <w:rFonts w:ascii="Arial" w:cs="Arial" w:eastAsia="Arial" w:hAnsi="Arial"/>
                <w:sz w:val="18"/>
                <w:szCs w:val="18"/>
                <w:color w:val="0000FF"/>
                <w:w w:val="92"/>
              </w:rPr>
            </w:pPr>
            <w:hyperlink w:anchor="page52">
              <w:r>
                <w:rPr>
                  <w:rFonts w:ascii="Arial" w:cs="Arial" w:eastAsia="Arial" w:hAnsi="Arial"/>
                  <w:sz w:val="18"/>
                  <w:szCs w:val="18"/>
                  <w:color w:val="0000FF"/>
                  <w:w w:val="92"/>
                </w:rPr>
                <w:t>Financial Officer of Amkor Technology, Inc., pursuant to Rule 13a-</w:t>
              </w:r>
            </w:hyperlink>
          </w:p>
        </w:tc>
        <w:tc>
          <w:tcPr>
            <w:tcW w:w="360" w:type="dxa"/>
            <w:vAlign w:val="bottom"/>
            <w:gridSpan w:val="6"/>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5240" w:type="dxa"/>
            <w:vAlign w:val="bottom"/>
            <w:gridSpan w:val="12"/>
          </w:tcPr>
          <w:p>
            <w:pPr>
              <w:spacing w:after="0" w:line="156"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14(a) under the Securities Exchange Act of 1934, as adopted pursuant to</w:t>
              </w:r>
            </w:hyperlink>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Section 302 of the Sarbanes-Oxley Act of 2002.</w:t>
              </w:r>
            </w:hyperlink>
          </w:p>
        </w:tc>
        <w:tc>
          <w:tcPr>
            <w:tcW w:w="17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5240" w:type="dxa"/>
            <w:vAlign w:val="bottom"/>
            <w:gridSpan w:val="12"/>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Certification of Chief Executive Officer and Chief Financial Officer</w:t>
              </w:r>
            </w:hyperlink>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20" w:type="dxa"/>
            <w:vAlign w:val="bottom"/>
          </w:tcPr>
          <w:p>
            <w:pPr>
              <w:jc w:val="center"/>
              <w:ind w:left="994"/>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900" w:type="dxa"/>
            <w:vAlign w:val="bottom"/>
            <w:tcBorders>
              <w:top w:val="single" w:sz="8" w:color="0000FF"/>
            </w:tcBorders>
            <w:gridSpan w:val="7"/>
          </w:tcPr>
          <w:p>
            <w:pPr>
              <w:spacing w:after="0" w:line="156"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pursuant to 18 U.S.C. Section 1350, as adopted pursuant to Section</w:t>
              </w:r>
            </w:hyperlink>
          </w:p>
        </w:tc>
        <w:tc>
          <w:tcPr>
            <w:tcW w:w="340" w:type="dxa"/>
            <w:vAlign w:val="bottom"/>
            <w:gridSpan w:val="5"/>
          </w:tcPr>
          <w:p>
            <w:pPr>
              <w:jc w:val="right"/>
              <w:ind w:right="80"/>
              <w:spacing w:after="0" w:line="156" w:lineRule="exact"/>
              <w:rPr>
                <w:rFonts w:ascii="Arial" w:cs="Arial" w:eastAsia="Arial" w:hAnsi="Arial"/>
                <w:sz w:val="18"/>
                <w:szCs w:val="18"/>
                <w:color w:val="0000FF"/>
                <w:w w:val="79"/>
              </w:rPr>
            </w:pPr>
            <w:hyperlink w:anchor="page53">
              <w:r>
                <w:rPr>
                  <w:rFonts w:ascii="Arial" w:cs="Arial" w:eastAsia="Arial" w:hAnsi="Arial"/>
                  <w:sz w:val="18"/>
                  <w:szCs w:val="18"/>
                  <w:color w:val="0000FF"/>
                  <w:w w:val="79"/>
                </w:rPr>
                <w:t>906</w:t>
              </w:r>
            </w:hyperlink>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25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53">
              <w:r>
                <w:rPr>
                  <w:rFonts w:ascii="Arial" w:cs="Arial" w:eastAsia="Arial" w:hAnsi="Arial"/>
                  <w:sz w:val="18"/>
                  <w:szCs w:val="18"/>
                  <w:color w:val="0000FF"/>
                  <w:w w:val="90"/>
                </w:rPr>
                <w:t>of the Sarbanes-Oxley Act of 2002.</w:t>
              </w:r>
            </w:hyperlink>
          </w:p>
        </w:tc>
        <w:tc>
          <w:tcPr>
            <w:tcW w:w="2600" w:type="dxa"/>
            <w:vAlign w:val="bottom"/>
            <w:tcBorders>
              <w:top w:val="single" w:sz="8" w:color="0000FF"/>
            </w:tcBorders>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5240" w:type="dxa"/>
            <w:vAlign w:val="bottom"/>
            <w:gridSpan w:val="12"/>
          </w:tcPr>
          <w:p>
            <w:pPr>
              <w:spacing w:after="0"/>
              <w:rPr>
                <w:sz w:val="20"/>
                <w:szCs w:val="20"/>
                <w:color w:val="auto"/>
              </w:rPr>
            </w:pPr>
            <w:r>
              <w:rPr>
                <w:rFonts w:ascii="Arial" w:cs="Arial" w:eastAsia="Arial" w:hAnsi="Arial"/>
                <w:sz w:val="18"/>
                <w:szCs w:val="18"/>
                <w:color w:val="auto"/>
                <w:w w:val="99"/>
              </w:rPr>
              <w:t>Inline XBRL Instance Document - the instance document does not</w:t>
            </w:r>
          </w:p>
        </w:tc>
        <w:tc>
          <w:tcPr>
            <w:tcW w:w="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20" w:type="dxa"/>
            <w:vAlign w:val="bottom"/>
          </w:tcPr>
          <w:p>
            <w:pPr>
              <w:jc w:val="center"/>
              <w:ind w:left="99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240" w:type="dxa"/>
            <w:vAlign w:val="bottom"/>
            <w:gridSpan w:val="12"/>
          </w:tcPr>
          <w:p>
            <w:pPr>
              <w:spacing w:after="0"/>
              <w:rPr>
                <w:sz w:val="20"/>
                <w:szCs w:val="20"/>
                <w:color w:val="auto"/>
              </w:rPr>
            </w:pPr>
            <w:r>
              <w:rPr>
                <w:rFonts w:ascii="Arial" w:cs="Arial" w:eastAsia="Arial" w:hAnsi="Arial"/>
                <w:sz w:val="18"/>
                <w:szCs w:val="18"/>
                <w:color w:val="auto"/>
                <w:w w:val="90"/>
              </w:rPr>
              <w:t>appear in the Interactive Data File because its XBRL tags are embedded</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524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52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8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20" w:type="dxa"/>
            <w:vAlign w:val="bottom"/>
          </w:tcPr>
          <w:p>
            <w:pPr>
              <w:jc w:val="center"/>
              <w:ind w:left="99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5240" w:type="dxa"/>
            <w:vAlign w:val="bottom"/>
            <w:gridSpan w:val="12"/>
          </w:tcPr>
          <w:p>
            <w:pPr>
              <w:spacing w:after="0"/>
              <w:rPr>
                <w:sz w:val="20"/>
                <w:szCs w:val="20"/>
                <w:color w:val="auto"/>
              </w:rPr>
            </w:pPr>
            <w:r>
              <w:rPr>
                <w:rFonts w:ascii="Arial" w:cs="Arial" w:eastAsia="Arial" w:hAnsi="Arial"/>
                <w:sz w:val="18"/>
                <w:szCs w:val="18"/>
                <w:color w:val="auto"/>
                <w:w w:val="99"/>
              </w:rPr>
              <w:t>Inline XBRL Taxonomy Extension Calculation Linkbase Document</w:t>
            </w:r>
          </w:p>
        </w:tc>
        <w:tc>
          <w:tcPr>
            <w:tcW w:w="8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20" w:type="dxa"/>
            <w:vAlign w:val="bottom"/>
          </w:tcPr>
          <w:p>
            <w:pPr>
              <w:jc w:val="center"/>
              <w:ind w:left="99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524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20" w:type="dxa"/>
            <w:vAlign w:val="bottom"/>
          </w:tcPr>
          <w:p>
            <w:pPr>
              <w:jc w:val="center"/>
              <w:ind w:left="99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5240" w:type="dxa"/>
            <w:vAlign w:val="bottom"/>
            <w:gridSpan w:val="12"/>
          </w:tcPr>
          <w:p>
            <w:pPr>
              <w:spacing w:after="0"/>
              <w:rPr>
                <w:sz w:val="20"/>
                <w:szCs w:val="20"/>
                <w:color w:val="auto"/>
              </w:rPr>
            </w:pPr>
            <w:r>
              <w:rPr>
                <w:rFonts w:ascii="Arial" w:cs="Arial" w:eastAsia="Arial" w:hAnsi="Arial"/>
                <w:sz w:val="18"/>
                <w:szCs w:val="18"/>
                <w:color w:val="auto"/>
                <w:w w:val="96"/>
              </w:rPr>
              <w:t>Inline XBRL Taxonomy Extension Presentation Linkbase Document</w:t>
            </w:r>
          </w:p>
        </w:tc>
        <w:tc>
          <w:tcPr>
            <w:tcW w:w="8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20" w:type="dxa"/>
            <w:vAlign w:val="bottom"/>
          </w:tcPr>
          <w:p>
            <w:pPr>
              <w:jc w:val="center"/>
              <w:ind w:left="99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524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8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20" w:type="dxa"/>
            <w:vAlign w:val="bottom"/>
          </w:tcPr>
          <w:p>
            <w:pPr>
              <w:jc w:val="center"/>
              <w:ind w:left="99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524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8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20" w:type="dxa"/>
            <w:vAlign w:val="bottom"/>
          </w:tcPr>
          <w:p>
            <w:pPr>
              <w:jc w:val="center"/>
              <w:ind w:left="99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5240" w:type="dxa"/>
            <w:vAlign w:val="bottom"/>
            <w:gridSpan w:val="12"/>
          </w:tcPr>
          <w:p>
            <w:pPr>
              <w:spacing w:after="0"/>
              <w:rPr>
                <w:sz w:val="20"/>
                <w:szCs w:val="20"/>
                <w:color w:val="auto"/>
              </w:rPr>
            </w:pPr>
            <w:r>
              <w:rPr>
                <w:rFonts w:ascii="Arial" w:cs="Arial" w:eastAsia="Arial" w:hAnsi="Arial"/>
                <w:sz w:val="18"/>
                <w:szCs w:val="18"/>
                <w:color w:val="auto"/>
              </w:rPr>
              <w:t>contained in Exhibit 101)</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333" w:lineRule="exact"/>
        <w:rPr>
          <w:sz w:val="20"/>
          <w:szCs w:val="20"/>
          <w:color w:val="auto"/>
        </w:rPr>
      </w:pPr>
    </w:p>
    <w:p>
      <w:pPr>
        <w:ind w:left="512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31750</wp:posOffset>
            </wp:positionV>
            <wp:extent cx="35591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Corporate Vice President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1" w:right="2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Stephen D. Kelley, certify that:</w:t>
      </w:r>
    </w:p>
    <w:p>
      <w:pPr>
        <w:spacing w:after="0" w:line="10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980" w:right="240" w:hanging="324"/>
        <w:spacing w:after="0" w:line="264" w:lineRule="auto"/>
        <w:tabs>
          <w:tab w:leader="none" w:pos="9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80" w:right="540" w:hanging="324"/>
        <w:spacing w:after="0" w:line="264" w:lineRule="auto"/>
        <w:tabs>
          <w:tab w:leader="none" w:pos="9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980" w:right="720" w:hanging="324"/>
        <w:spacing w:after="0" w:line="334" w:lineRule="auto"/>
        <w:tabs>
          <w:tab w:leader="none" w:pos="97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240" w:hanging="324"/>
        <w:spacing w:after="0" w:line="264" w:lineRule="auto"/>
        <w:tabs>
          <w:tab w:leader="none" w:pos="9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80" w:right="140" w:hanging="324"/>
        <w:spacing w:after="0" w:line="277" w:lineRule="auto"/>
        <w:tabs>
          <w:tab w:leader="none" w:pos="9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80" w:right="20" w:hanging="324"/>
        <w:spacing w:after="0" w:line="277" w:lineRule="auto"/>
        <w:tabs>
          <w:tab w:leader="none" w:pos="9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0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5591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ectPr>
          <w:pgSz w:w="11900" w:h="16838" w:orient="portrait"/>
          <w:cols w:equalWidth="0" w:num="1">
            <w:col w:w="11420"/>
          </w:cols>
          <w:pgMar w:left="240" w:top="135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10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980" w:right="240" w:hanging="324"/>
        <w:spacing w:after="0" w:line="264" w:lineRule="auto"/>
        <w:tabs>
          <w:tab w:leader="none" w:pos="9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80" w:right="540" w:hanging="324"/>
        <w:spacing w:after="0" w:line="264" w:lineRule="auto"/>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980" w:right="720" w:hanging="324"/>
        <w:spacing w:after="0" w:line="334" w:lineRule="auto"/>
        <w:tabs>
          <w:tab w:leader="none" w:pos="971"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240" w:hanging="324"/>
        <w:spacing w:after="0" w:line="264" w:lineRule="auto"/>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80" w:right="140" w:hanging="324"/>
        <w:spacing w:after="0" w:line="277" w:lineRule="auto"/>
        <w:tabs>
          <w:tab w:leader="none" w:pos="9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80" w:right="20" w:hanging="324"/>
        <w:spacing w:after="0" w:line="277" w:lineRule="auto"/>
        <w:tabs>
          <w:tab w:leader="none" w:pos="9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0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5591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Corporate Vice President and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ectPr>
          <w:pgSz w:w="11900" w:h="16838" w:orient="portrait"/>
          <w:cols w:equalWidth="0" w:num="1">
            <w:col w:w="11420"/>
          </w:cols>
          <w:pgMar w:left="240" w:top="135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September 30, 2019, as filed with the Securities and Exchange Commission on the date hereof (the “Report”), I, Stephen D. Kelley, President and Chief Executive Officer of the Company, certify, pursuant to 18 U.S.C. Section 1350, as adopted pursuant to Section 906 of the Sarbanes-Oxley Act of 2002, that:</w:t>
      </w:r>
    </w:p>
    <w:p>
      <w:pPr>
        <w:spacing w:after="0" w:line="30" w:lineRule="exact"/>
        <w:rPr>
          <w:sz w:val="20"/>
          <w:szCs w:val="20"/>
          <w:color w:val="auto"/>
        </w:rPr>
      </w:pPr>
    </w:p>
    <w:p>
      <w:pPr>
        <w:ind w:left="920" w:hanging="26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5591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September 30, 2019, as filed with the Securities and Exchange Commission on the date hereof (the “Report”), I, Megan Faust, Corporate Vice President and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5591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Corporate Vice President and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October 31, 2019</w:t>
      </w:r>
    </w:p>
    <w:sectPr>
      <w:pgSz w:w="11900" w:h="16838" w:orient="portrait"/>
      <w:cols w:equalWidth="0" w:num="1">
        <w:col w:w="11420"/>
      </w:cols>
      <w:pgMar w:left="240" w:top="1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9"/>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2019-12-28T03:39:51Z</dcterms:created>
  <dcterms:modified xsi:type="dcterms:W3CDTF">2019-12-28T03:39:51Z</dcterms:modified>
</cp:coreProperties>
</file>