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843280</wp:posOffset>
            </wp:positionV>
            <wp:extent cx="69348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800735</wp:posOffset>
            </wp:positionV>
            <wp:extent cx="69348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34835" cy="1714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February 14, 2022</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20"/>
                <w:szCs w:val="20"/>
                <w:color w:val="auto"/>
              </w:rPr>
            </w:pPr>
          </w:p>
        </w:tc>
        <w:tc>
          <w:tcPr>
            <w:tcW w:w="3280" w:type="dxa"/>
            <w:vAlign w:val="bottom"/>
            <w:tcBorders>
              <w:bottom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rPr>
              <w:t>000-29472</w:t>
            </w: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rPr>
              <w:t>23-1722724</w:t>
            </w:r>
          </w:p>
        </w:tc>
      </w:tr>
      <w:tr>
        <w:trPr>
          <w:trHeight w:val="237"/>
        </w:trPr>
        <w:tc>
          <w:tcPr>
            <w:tcW w:w="328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540" w:type="dxa"/>
            <w:vAlign w:val="bottom"/>
          </w:tcPr>
          <w:p>
            <w:pPr>
              <w:spacing w:after="0"/>
              <w:rPr>
                <w:sz w:val="20"/>
                <w:szCs w:val="20"/>
                <w:color w:val="auto"/>
              </w:rPr>
            </w:pPr>
          </w:p>
        </w:tc>
        <w:tc>
          <w:tcPr>
            <w:tcW w:w="41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(Commission File Number)</w:t>
            </w:r>
          </w:p>
        </w:tc>
        <w:tc>
          <w:tcPr>
            <w:tcW w:w="3020" w:type="dxa"/>
            <w:vAlign w:val="bottom"/>
          </w:tcPr>
          <w:p>
            <w:pPr>
              <w:jc w:val="center"/>
              <w:ind w:right="17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280" w:type="dxa"/>
            <w:vAlign w:val="bottom"/>
          </w:tcPr>
          <w:p>
            <w:pPr>
              <w:jc w:val="center"/>
              <w:spacing w:after="0"/>
              <w:rPr>
                <w:sz w:val="20"/>
                <w:szCs w:val="20"/>
                <w:color w:val="auto"/>
              </w:rPr>
            </w:pPr>
            <w:r>
              <w:rPr>
                <w:rFonts w:ascii="Arial" w:cs="Arial" w:eastAsia="Arial" w:hAnsi="Arial"/>
                <w:sz w:val="18"/>
                <w:szCs w:val="18"/>
                <w:color w:val="auto"/>
                <w:w w:val="93"/>
              </w:rPr>
              <w:t>Incorporation)</w:t>
            </w:r>
          </w:p>
        </w:tc>
        <w:tc>
          <w:tcPr>
            <w:tcW w:w="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tcPr>
          <w:p>
            <w:pPr>
              <w:spacing w:after="0"/>
              <w:rPr>
                <w:sz w:val="20"/>
                <w:szCs w:val="20"/>
                <w:color w:val="auto"/>
              </w:rPr>
            </w:pPr>
          </w:p>
        </w:tc>
      </w:tr>
      <w:tr>
        <w:trPr>
          <w:trHeight w:val="534"/>
        </w:trPr>
        <w:tc>
          <w:tcPr>
            <w:tcW w:w="3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9"/>
              </w:rPr>
              <w:t>2045 EAST INNOVATION CIRCLE</w:t>
            </w:r>
          </w:p>
        </w:tc>
        <w:tc>
          <w:tcPr>
            <w:tcW w:w="3020" w:type="dxa"/>
            <w:vAlign w:val="bottom"/>
          </w:tcPr>
          <w:p>
            <w:pPr>
              <w:spacing w:after="0"/>
              <w:rPr>
                <w:sz w:val="24"/>
                <w:szCs w:val="24"/>
                <w:color w:val="auto"/>
              </w:rPr>
            </w:pPr>
          </w:p>
        </w:tc>
      </w:tr>
      <w:tr>
        <w:trPr>
          <w:trHeight w:val="220"/>
        </w:trPr>
        <w:tc>
          <w:tcPr>
            <w:tcW w:w="3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gridSpan w:val="3"/>
          </w:tcPr>
          <w:p>
            <w:pPr>
              <w:jc w:val="center"/>
              <w:ind w:right="500"/>
              <w:spacing w:after="0"/>
              <w:rPr>
                <w:sz w:val="20"/>
                <w:szCs w:val="20"/>
                <w:color w:val="auto"/>
              </w:rPr>
            </w:pPr>
            <w:r>
              <w:rPr>
                <w:rFonts w:ascii="Arial" w:cs="Arial" w:eastAsia="Arial" w:hAnsi="Arial"/>
                <w:sz w:val="18"/>
                <w:szCs w:val="18"/>
                <w:b w:val="1"/>
                <w:bCs w:val="1"/>
                <w:color w:val="auto"/>
                <w:w w:val="97"/>
              </w:rPr>
              <w:t>TEMPE, AZ 85284</w:t>
            </w:r>
          </w:p>
        </w:tc>
        <w:tc>
          <w:tcPr>
            <w:tcW w:w="3020" w:type="dxa"/>
            <w:vAlign w:val="bottom"/>
          </w:tcPr>
          <w:p>
            <w:pPr>
              <w:spacing w:after="0"/>
              <w:rPr>
                <w:sz w:val="19"/>
                <w:szCs w:val="19"/>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020" w:type="dxa"/>
            <w:vAlign w:val="bottom"/>
          </w:tcPr>
          <w:p>
            <w:pPr>
              <w:spacing w:after="0"/>
              <w:rPr>
                <w:sz w:val="20"/>
                <w:szCs w:val="20"/>
                <w:color w:val="auto"/>
              </w:rPr>
            </w:pPr>
          </w:p>
        </w:tc>
      </w:tr>
      <w:tr>
        <w:trPr>
          <w:trHeight w:val="445"/>
        </w:trPr>
        <w:tc>
          <w:tcPr>
            <w:tcW w:w="3280" w:type="dxa"/>
            <w:vAlign w:val="bottom"/>
          </w:tcPr>
          <w:p>
            <w:pPr>
              <w:spacing w:after="0"/>
              <w:rPr>
                <w:sz w:val="24"/>
                <w:szCs w:val="24"/>
                <w:color w:val="auto"/>
              </w:rPr>
            </w:pPr>
          </w:p>
        </w:tc>
        <w:tc>
          <w:tcPr>
            <w:tcW w:w="3820" w:type="dxa"/>
            <w:vAlign w:val="bottom"/>
            <w:gridSpan w:val="2"/>
          </w:tcPr>
          <w:p>
            <w:pPr>
              <w:jc w:val="center"/>
              <w:ind w:left="770"/>
              <w:spacing w:after="0"/>
              <w:rPr>
                <w:sz w:val="20"/>
                <w:szCs w:val="20"/>
                <w:color w:val="auto"/>
              </w:rPr>
            </w:pPr>
            <w:r>
              <w:rPr>
                <w:rFonts w:ascii="Arial" w:cs="Arial" w:eastAsia="Arial" w:hAnsi="Arial"/>
                <w:sz w:val="18"/>
                <w:szCs w:val="18"/>
                <w:b w:val="1"/>
                <w:bCs w:val="1"/>
                <w:color w:val="auto"/>
                <w:w w:val="90"/>
              </w:rPr>
              <w:t>(480) 821-5000</w:t>
            </w: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20" w:type="dxa"/>
            <w:vAlign w:val="bottom"/>
          </w:tcPr>
          <w:p>
            <w:pPr>
              <w:spacing w:after="0"/>
              <w:rPr>
                <w:sz w:val="24"/>
                <w:szCs w:val="24"/>
                <w:color w:val="auto"/>
              </w:rPr>
            </w:pPr>
          </w:p>
        </w:tc>
      </w:tr>
      <w:tr>
        <w:trPr>
          <w:trHeight w:val="230"/>
        </w:trPr>
        <w:tc>
          <w:tcPr>
            <w:tcW w:w="3280" w:type="dxa"/>
            <w:vAlign w:val="bottom"/>
          </w:tcPr>
          <w:p>
            <w:pPr>
              <w:spacing w:after="0"/>
              <w:rPr>
                <w:sz w:val="20"/>
                <w:szCs w:val="20"/>
                <w:color w:val="auto"/>
              </w:rPr>
            </w:pPr>
          </w:p>
        </w:tc>
        <w:tc>
          <w:tcPr>
            <w:tcW w:w="4640" w:type="dxa"/>
            <w:vAlign w:val="bottom"/>
            <w:gridSpan w:val="4"/>
          </w:tcPr>
          <w:p>
            <w:pPr>
              <w:jc w:val="center"/>
              <w:spacing w:after="0"/>
              <w:rPr>
                <w:sz w:val="20"/>
                <w:szCs w:val="20"/>
                <w:color w:val="auto"/>
              </w:rPr>
            </w:pPr>
            <w:r>
              <w:rPr>
                <w:rFonts w:ascii="Arial" w:cs="Arial" w:eastAsia="Arial" w:hAnsi="Arial"/>
                <w:sz w:val="18"/>
                <w:szCs w:val="18"/>
                <w:color w:val="auto"/>
                <w:w w:val="89"/>
              </w:rPr>
              <w:t>(Registrant’s telephone number, including area code)</w:t>
            </w:r>
          </w:p>
        </w:tc>
        <w:tc>
          <w:tcPr>
            <w:tcW w:w="3020" w:type="dxa"/>
            <w:vAlign w:val="bottom"/>
          </w:tcPr>
          <w:p>
            <w:pPr>
              <w:spacing w:after="0"/>
              <w:rPr>
                <w:sz w:val="20"/>
                <w:szCs w:val="20"/>
                <w:color w:val="auto"/>
              </w:rPr>
            </w:pPr>
          </w:p>
        </w:tc>
      </w:tr>
    </w:tbl>
    <w:p>
      <w:pPr>
        <w:spacing w:after="0" w:line="283"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73" w:lineRule="exact"/>
        <w:rPr>
          <w:rFonts w:ascii="MS PGothic" w:cs="MS PGothic" w:eastAsia="MS PGothic" w:hAnsi="MS PGothic"/>
          <w:sz w:val="20"/>
          <w:szCs w:val="20"/>
          <w:color w:val="auto"/>
        </w:rPr>
      </w:pPr>
    </w:p>
    <w:p>
      <w:pPr>
        <w:ind w:left="220" w:hanging="212"/>
        <w:spacing w:after="0"/>
        <w:tabs>
          <w:tab w:leader="none" w:pos="22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52"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7680" w:type="dxa"/>
            <w:vAlign w:val="bottom"/>
            <w:gridSpan w:val="2"/>
          </w:tcPr>
          <w:p>
            <w:pPr>
              <w:ind w:left="32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403"/>
        </w:trPr>
        <w:tc>
          <w:tcPr>
            <w:tcW w:w="35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9"/>
              </w:rPr>
              <w:t>Title of Each Class</w:t>
            </w:r>
          </w:p>
        </w:tc>
        <w:tc>
          <w:tcPr>
            <w:tcW w:w="2800" w:type="dxa"/>
            <w:vAlign w:val="bottom"/>
            <w:tcBorders>
              <w:bottom w:val="single" w:sz="8" w:color="auto"/>
            </w:tcBorders>
          </w:tcPr>
          <w:p>
            <w:pPr>
              <w:jc w:val="center"/>
              <w:ind w:left="236"/>
              <w:spacing w:after="0"/>
              <w:rPr>
                <w:sz w:val="20"/>
                <w:szCs w:val="20"/>
                <w:color w:val="auto"/>
              </w:rPr>
            </w:pPr>
            <w:r>
              <w:rPr>
                <w:rFonts w:ascii="Arial" w:cs="Arial" w:eastAsia="Arial" w:hAnsi="Arial"/>
                <w:sz w:val="18"/>
                <w:szCs w:val="18"/>
                <w:b w:val="1"/>
                <w:bCs w:val="1"/>
                <w:color w:val="auto"/>
                <w:w w:val="91"/>
              </w:rPr>
              <w:t>Trading Symbol</w:t>
            </w:r>
          </w:p>
        </w:tc>
        <w:tc>
          <w:tcPr>
            <w:tcW w:w="48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Name of Each Exchange on Which Registered</w:t>
            </w:r>
          </w:p>
        </w:tc>
      </w:tr>
      <w:tr>
        <w:trPr>
          <w:trHeight w:val="224"/>
        </w:trPr>
        <w:tc>
          <w:tcPr>
            <w:tcW w:w="3520" w:type="dxa"/>
            <w:vAlign w:val="bottom"/>
          </w:tcPr>
          <w:p>
            <w:pPr>
              <w:jc w:val="center"/>
              <w:ind w:left="370"/>
              <w:spacing w:after="0"/>
              <w:rPr>
                <w:sz w:val="20"/>
                <w:szCs w:val="20"/>
                <w:color w:val="auto"/>
              </w:rPr>
            </w:pPr>
            <w:r>
              <w:rPr>
                <w:rFonts w:ascii="Arial" w:cs="Arial" w:eastAsia="Arial" w:hAnsi="Arial"/>
                <w:sz w:val="18"/>
                <w:szCs w:val="18"/>
                <w:color w:val="auto"/>
                <w:w w:val="90"/>
              </w:rPr>
              <w:t>Common Stock, $0.001 par value</w:t>
            </w:r>
          </w:p>
        </w:tc>
        <w:tc>
          <w:tcPr>
            <w:tcW w:w="2800" w:type="dxa"/>
            <w:vAlign w:val="bottom"/>
          </w:tcPr>
          <w:p>
            <w:pPr>
              <w:jc w:val="center"/>
              <w:ind w:left="256"/>
              <w:spacing w:after="0"/>
              <w:rPr>
                <w:sz w:val="20"/>
                <w:szCs w:val="20"/>
                <w:color w:val="auto"/>
              </w:rPr>
            </w:pPr>
            <w:r>
              <w:rPr>
                <w:rFonts w:ascii="Arial" w:cs="Arial" w:eastAsia="Arial" w:hAnsi="Arial"/>
                <w:sz w:val="18"/>
                <w:szCs w:val="18"/>
                <w:color w:val="auto"/>
              </w:rPr>
              <w:t>AMKR</w:t>
            </w:r>
          </w:p>
        </w:tc>
        <w:tc>
          <w:tcPr>
            <w:tcW w:w="4880" w:type="dxa"/>
            <w:vAlign w:val="bottom"/>
          </w:tcPr>
          <w:p>
            <w:pPr>
              <w:jc w:val="center"/>
              <w:ind w:right="10"/>
              <w:spacing w:after="0"/>
              <w:rPr>
                <w:sz w:val="20"/>
                <w:szCs w:val="20"/>
                <w:color w:val="auto"/>
              </w:rPr>
            </w:pPr>
            <w:r>
              <w:rPr>
                <w:rFonts w:ascii="Arial" w:cs="Arial" w:eastAsia="Arial" w:hAnsi="Arial"/>
                <w:sz w:val="18"/>
                <w:szCs w:val="18"/>
                <w:color w:val="auto"/>
                <w:w w:val="93"/>
              </w:rPr>
              <w:t>The NASDAQ Global Select Market</w:t>
            </w:r>
          </w:p>
        </w:tc>
      </w:tr>
    </w:tbl>
    <w:p>
      <w:pPr>
        <w:spacing w:after="0" w:line="66" w:lineRule="exact"/>
        <w:rPr>
          <w:sz w:val="24"/>
          <w:szCs w:val="24"/>
          <w:color w:val="auto"/>
        </w:rPr>
      </w:pPr>
    </w:p>
    <w:p>
      <w:pPr>
        <w:ind w:right="4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10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On February 14, 2022, Amkor Technology, Inc. announced in a press release its financial performance for the fourth quarter and year ended December 31, 2021. The information in this Current Report on Form 8-K, including the exhibit attached hereto, is being furnished and shall not be deemed “filed” for purposes of Section 18 of the Securities Exchange Act of 1934, as amended (the “Exchange Act”), or otherwise subject to liability under that section, nor shall it be deemed incorporated by reference in any filing under the Securities Act of 1933, as amended, or the Exchange Act, regardless of any general incorporation language in such filing.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36" w:lineRule="exact"/>
        <w:rPr>
          <w:sz w:val="20"/>
          <w:szCs w:val="20"/>
          <w:color w:val="auto"/>
        </w:rPr>
      </w:pPr>
    </w:p>
    <w:p>
      <w:pPr>
        <w:ind w:left="260"/>
        <w:spacing w:after="0"/>
        <w:tabs>
          <w:tab w:leader="none" w:pos="57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 w:lineRule="exact"/>
        <w:rPr>
          <w:sz w:val="20"/>
          <w:szCs w:val="20"/>
          <w:color w:val="auto"/>
        </w:rPr>
      </w:pPr>
    </w:p>
    <w:p>
      <w:pPr>
        <w:ind w:left="320"/>
        <w:spacing w:after="0"/>
        <w:tabs>
          <w:tab w:leader="none" w:pos="1060" w:val="left"/>
        </w:tabs>
        <w:rPr>
          <w:rFonts w:ascii="Arial" w:cs="Arial" w:eastAsia="Arial" w:hAnsi="Arial"/>
          <w:sz w:val="16"/>
          <w:szCs w:val="16"/>
          <w:u w:val="single" w:color="auto"/>
          <w:color w:val="0000FF"/>
        </w:rPr>
      </w:pPr>
      <w:hyperlink w:anchor="page4">
        <w:r>
          <w:rPr>
            <w:rFonts w:ascii="Arial" w:cs="Arial" w:eastAsia="Arial" w:hAnsi="Arial"/>
            <w:sz w:val="18"/>
            <w:szCs w:val="18"/>
            <w:u w:val="single" w:color="auto"/>
            <w:color w:val="0000FF"/>
          </w:rPr>
          <w:t>99.1</w:t>
        </w:r>
      </w:hyperlink>
      <w:r>
        <w:rPr>
          <w:rFonts w:ascii="Arial" w:cs="Arial" w:eastAsia="Arial" w:hAnsi="Arial"/>
          <w:sz w:val="18"/>
          <w:szCs w:val="18"/>
          <w:u w:val="single" w:color="auto"/>
          <w:color w:val="0000FF"/>
        </w:rPr>
        <w:tab/>
      </w:r>
      <w:hyperlink w:anchor="page4">
        <w:r>
          <w:rPr>
            <w:rFonts w:ascii="Arial" w:cs="Arial" w:eastAsia="Arial" w:hAnsi="Arial"/>
            <w:sz w:val="16"/>
            <w:szCs w:val="16"/>
            <w:u w:val="single" w:color="auto"/>
            <w:color w:val="0000FF"/>
          </w:rPr>
          <w:t>Press Release dated February 14, 2022, which is furnished (not filed) herewith.</w:t>
        </w:r>
      </w:hyperlink>
    </w:p>
    <w:p>
      <w:pPr>
        <w:spacing w:after="0" w:line="23" w:lineRule="exact"/>
        <w:rPr>
          <w:sz w:val="20"/>
          <w:szCs w:val="20"/>
          <w:color w:val="auto"/>
        </w:rPr>
      </w:pPr>
    </w:p>
    <w:p>
      <w:pPr>
        <w:ind w:left="340"/>
        <w:spacing w:after="0"/>
        <w:tabs>
          <w:tab w:leader="none" w:pos="10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55" w:right="4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8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AMKOR TECHNOLOGY, INC.</w:t>
      </w:r>
    </w:p>
    <w:p>
      <w:pPr>
        <w:spacing w:after="0" w:line="27" w:lineRule="exact"/>
        <w:rPr>
          <w:sz w:val="20"/>
          <w:szCs w:val="20"/>
          <w:color w:val="auto"/>
        </w:rPr>
      </w:pPr>
    </w:p>
    <w:p>
      <w:pPr>
        <w:ind w:left="4180"/>
        <w:spacing w:after="0"/>
        <w:tabs>
          <w:tab w:leader="none" w:pos="4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14605</wp:posOffset>
            </wp:positionV>
            <wp:extent cx="29914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5"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Megan Faust</w:t>
      </w:r>
    </w:p>
    <w:p>
      <w:pPr>
        <w:spacing w:after="0" w:line="23"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2022</w:t>
      </w:r>
    </w:p>
    <w:p>
      <w:pPr>
        <w:sectPr>
          <w:pgSz w:w="11900" w:h="16838" w:orient="portrait"/>
          <w:cols w:equalWidth="0" w:num="1">
            <w:col w:w="11240"/>
          </w:cols>
          <w:pgMar w:left="320" w:top="1255"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843280</wp:posOffset>
            </wp:positionV>
            <wp:extent cx="72009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72009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Amkor Technology Reports Record Financial Results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the Fourth Quarter and Full Year 2021</w:t>
      </w:r>
    </w:p>
    <w:p>
      <w:pPr>
        <w:spacing w:after="0" w:line="24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TEMPE, Ariz. -- February 14, 2022 -- Amkor Technology, Inc. (Nasdaq: AMKR), a leading provider of semiconductor packaging and test services, today announced financial results for the fourth quarter and full year ended December 31, 2021.</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Highlights:</w:t>
      </w:r>
    </w:p>
    <w:p>
      <w:pPr>
        <w:spacing w:after="0" w:line="3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Record net sales $1.72 billion, up 3% sequentially and 26% year-on-year</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gross profit $362 million, record operating income $252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Gross margin 21.0%, operating income margin 14.6%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net income $217 million, record earnings per diluted share $0.88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2021 Highlights:</w:t>
      </w:r>
    </w:p>
    <w:p>
      <w:pPr>
        <w:spacing w:after="0" w:line="3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Record net sales $6.14 billion, up 22% year-on-year</w:t>
      </w:r>
    </w:p>
    <w:p>
      <w:pPr>
        <w:spacing w:after="0" w:line="9" w:lineRule="exact"/>
        <w:rPr>
          <w:rFonts w:ascii="Arial" w:cs="Arial" w:eastAsia="Arial" w:hAnsi="Arial"/>
          <w:sz w:val="18"/>
          <w:szCs w:val="18"/>
          <w:b w:val="1"/>
          <w:b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gross profit $1,226 million, record operating income $763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20.0%, operating income margin 12.4%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Record net income $643 million, record earnings per diluted share $2.62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from operations $1,121 million, free cash flow $344 million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“Amkor delivered outstanding financial results in 2021. With continued momentum in the fourth quarter, we achieved record annual revenue of $6.14 billion, growing nearly 22% or $1.1 billion year-over-year. Strong execution, high factory utilization, and disciplined spending drove record EPS of $2.62,” said Giel Rutten, Amkor’s president and chief executive officer. “Our differentiated technology portfolio and deep customer and supplier relationships place us in a very strong market position, and we expect 2022 to be another year of growth.”</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960" w:type="dxa"/>
            <w:vAlign w:val="bottom"/>
          </w:tcPr>
          <w:p>
            <w:pPr>
              <w:spacing w:after="0"/>
              <w:rPr>
                <w:sz w:val="20"/>
                <w:szCs w:val="20"/>
                <w:color w:val="auto"/>
              </w:rPr>
            </w:pPr>
            <w:r>
              <w:rPr>
                <w:rFonts w:ascii="Arial" w:cs="Arial" w:eastAsia="Arial" w:hAnsi="Arial"/>
                <w:sz w:val="18"/>
                <w:szCs w:val="18"/>
                <w:b w:val="1"/>
                <w:bCs w:val="1"/>
                <w:color w:val="auto"/>
              </w:rPr>
              <w:t>Quarterly Financial Results</w:t>
            </w:r>
          </w:p>
        </w:tc>
        <w:tc>
          <w:tcPr>
            <w:tcW w:w="17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418"/>
        </w:trPr>
        <w:tc>
          <w:tcPr>
            <w:tcW w:w="3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millions, except per share amounts)</w:t>
            </w:r>
          </w:p>
        </w:tc>
        <w:tc>
          <w:tcPr>
            <w:tcW w:w="172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98"/>
              </w:rPr>
              <w:t>Q4 2021</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Q3 2021</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Q4 2020 (1)</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2021</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2020 (1)</w:t>
            </w:r>
          </w:p>
        </w:tc>
      </w:tr>
      <w:tr>
        <w:trPr>
          <w:trHeight w:val="223"/>
        </w:trPr>
        <w:tc>
          <w:tcPr>
            <w:tcW w:w="396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rPr>
              <w:t>$1,725</w:t>
            </w:r>
          </w:p>
        </w:tc>
        <w:tc>
          <w:tcPr>
            <w:tcW w:w="1320" w:type="dxa"/>
            <w:vAlign w:val="bottom"/>
          </w:tcPr>
          <w:p>
            <w:pPr>
              <w:jc w:val="center"/>
              <w:spacing w:after="0"/>
              <w:rPr>
                <w:sz w:val="20"/>
                <w:szCs w:val="20"/>
                <w:color w:val="auto"/>
              </w:rPr>
            </w:pPr>
            <w:r>
              <w:rPr>
                <w:rFonts w:ascii="Arial" w:cs="Arial" w:eastAsia="Arial" w:hAnsi="Arial"/>
                <w:sz w:val="18"/>
                <w:szCs w:val="18"/>
                <w:color w:val="auto"/>
                <w:w w:val="98"/>
              </w:rPr>
              <w:t>$1,681</w:t>
            </w:r>
          </w:p>
        </w:tc>
        <w:tc>
          <w:tcPr>
            <w:tcW w:w="1560" w:type="dxa"/>
            <w:vAlign w:val="bottom"/>
          </w:tcPr>
          <w:p>
            <w:pPr>
              <w:jc w:val="center"/>
              <w:spacing w:after="0"/>
              <w:rPr>
                <w:sz w:val="20"/>
                <w:szCs w:val="20"/>
                <w:color w:val="auto"/>
              </w:rPr>
            </w:pPr>
            <w:r>
              <w:rPr>
                <w:rFonts w:ascii="Arial" w:cs="Arial" w:eastAsia="Arial" w:hAnsi="Arial"/>
                <w:sz w:val="18"/>
                <w:szCs w:val="18"/>
                <w:color w:val="auto"/>
              </w:rPr>
              <w:t>$1,371</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$6,138</w:t>
            </w:r>
          </w:p>
        </w:tc>
        <w:tc>
          <w:tcPr>
            <w:tcW w:w="1420" w:type="dxa"/>
            <w:vAlign w:val="bottom"/>
          </w:tcPr>
          <w:p>
            <w:pPr>
              <w:jc w:val="center"/>
              <w:spacing w:after="0"/>
              <w:rPr>
                <w:sz w:val="20"/>
                <w:szCs w:val="20"/>
                <w:color w:val="auto"/>
              </w:rPr>
            </w:pPr>
            <w:r>
              <w:rPr>
                <w:rFonts w:ascii="Arial" w:cs="Arial" w:eastAsia="Arial" w:hAnsi="Arial"/>
                <w:sz w:val="18"/>
                <w:szCs w:val="18"/>
                <w:color w:val="auto"/>
              </w:rPr>
              <w:t>$5,051</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rPr>
              <w:t>21.0%</w:t>
            </w: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19.3%</w:t>
            </w:r>
          </w:p>
        </w:tc>
        <w:tc>
          <w:tcPr>
            <w:tcW w:w="1560" w:type="dxa"/>
            <w:vAlign w:val="bottom"/>
          </w:tcPr>
          <w:p>
            <w:pPr>
              <w:jc w:val="center"/>
              <w:spacing w:after="0"/>
              <w:rPr>
                <w:sz w:val="20"/>
                <w:szCs w:val="20"/>
                <w:color w:val="auto"/>
              </w:rPr>
            </w:pPr>
            <w:r>
              <w:rPr>
                <w:rFonts w:ascii="Arial" w:cs="Arial" w:eastAsia="Arial" w:hAnsi="Arial"/>
                <w:sz w:val="18"/>
                <w:szCs w:val="18"/>
                <w:color w:val="auto"/>
              </w:rPr>
              <w:t>20.3%</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20.0%</w:t>
            </w:r>
          </w:p>
        </w:tc>
        <w:tc>
          <w:tcPr>
            <w:tcW w:w="1420" w:type="dxa"/>
            <w:vAlign w:val="bottom"/>
          </w:tcPr>
          <w:p>
            <w:pPr>
              <w:jc w:val="center"/>
              <w:spacing w:after="0"/>
              <w:rPr>
                <w:sz w:val="20"/>
                <w:szCs w:val="20"/>
                <w:color w:val="auto"/>
              </w:rPr>
            </w:pPr>
            <w:r>
              <w:rPr>
                <w:rFonts w:ascii="Arial" w:cs="Arial" w:eastAsia="Arial" w:hAnsi="Arial"/>
                <w:sz w:val="18"/>
                <w:szCs w:val="18"/>
                <w:color w:val="auto"/>
              </w:rPr>
              <w:t>17.8%</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w w:val="99"/>
              </w:rPr>
              <w:t>$252</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$211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$159</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$763</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$457</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Operating income margin</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rPr>
              <w:t>14.6%</w:t>
            </w:r>
          </w:p>
        </w:tc>
        <w:tc>
          <w:tcPr>
            <w:tcW w:w="1320" w:type="dxa"/>
            <w:vAlign w:val="bottom"/>
          </w:tcPr>
          <w:p>
            <w:pPr>
              <w:jc w:val="center"/>
              <w:spacing w:after="0"/>
              <w:rPr>
                <w:sz w:val="20"/>
                <w:szCs w:val="20"/>
                <w:color w:val="auto"/>
              </w:rPr>
            </w:pPr>
            <w:r>
              <w:rPr>
                <w:rFonts w:ascii="Arial" w:cs="Arial" w:eastAsia="Arial" w:hAnsi="Arial"/>
                <w:sz w:val="18"/>
                <w:szCs w:val="18"/>
                <w:color w:val="auto"/>
                <w:w w:val="97"/>
              </w:rPr>
              <w:t>12.6%</w:t>
            </w:r>
          </w:p>
        </w:tc>
        <w:tc>
          <w:tcPr>
            <w:tcW w:w="1560" w:type="dxa"/>
            <w:vAlign w:val="bottom"/>
          </w:tcPr>
          <w:p>
            <w:pPr>
              <w:jc w:val="center"/>
              <w:spacing w:after="0"/>
              <w:rPr>
                <w:sz w:val="20"/>
                <w:szCs w:val="20"/>
                <w:color w:val="auto"/>
              </w:rPr>
            </w:pPr>
            <w:r>
              <w:rPr>
                <w:rFonts w:ascii="Arial" w:cs="Arial" w:eastAsia="Arial" w:hAnsi="Arial"/>
                <w:sz w:val="18"/>
                <w:szCs w:val="18"/>
                <w:color w:val="auto"/>
              </w:rPr>
              <w:t>11.6%</w:t>
            </w:r>
          </w:p>
        </w:tc>
        <w:tc>
          <w:tcPr>
            <w:tcW w:w="1260" w:type="dxa"/>
            <w:vAlign w:val="bottom"/>
          </w:tcPr>
          <w:p>
            <w:pPr>
              <w:jc w:val="center"/>
              <w:spacing w:after="0"/>
              <w:rPr>
                <w:sz w:val="20"/>
                <w:szCs w:val="20"/>
                <w:color w:val="auto"/>
              </w:rPr>
            </w:pPr>
            <w:r>
              <w:rPr>
                <w:rFonts w:ascii="Arial" w:cs="Arial" w:eastAsia="Arial" w:hAnsi="Arial"/>
                <w:sz w:val="18"/>
                <w:szCs w:val="18"/>
                <w:color w:val="auto"/>
                <w:w w:val="97"/>
              </w:rPr>
              <w:t>12.4%</w:t>
            </w:r>
          </w:p>
        </w:tc>
        <w:tc>
          <w:tcPr>
            <w:tcW w:w="1420" w:type="dxa"/>
            <w:vAlign w:val="bottom"/>
          </w:tcPr>
          <w:p>
            <w:pPr>
              <w:jc w:val="center"/>
              <w:spacing w:after="0"/>
              <w:rPr>
                <w:sz w:val="20"/>
                <w:szCs w:val="20"/>
                <w:color w:val="auto"/>
              </w:rPr>
            </w:pPr>
            <w:r>
              <w:rPr>
                <w:rFonts w:ascii="Arial" w:cs="Arial" w:eastAsia="Arial" w:hAnsi="Arial"/>
                <w:sz w:val="18"/>
                <w:szCs w:val="18"/>
                <w:color w:val="auto"/>
                <w:w w:val="97"/>
              </w:rPr>
              <w:t>9.1%</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Net income attributable to Amkor</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w w:val="99"/>
              </w:rPr>
              <w:t>$217</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$181</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$127</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$643</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$338</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Earnings per diluted share</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w w:val="97"/>
              </w:rPr>
              <w:t>$0.88</w:t>
            </w:r>
          </w:p>
        </w:tc>
        <w:tc>
          <w:tcPr>
            <w:tcW w:w="1320" w:type="dxa"/>
            <w:vAlign w:val="bottom"/>
          </w:tcPr>
          <w:p>
            <w:pPr>
              <w:jc w:val="center"/>
              <w:spacing w:after="0"/>
              <w:rPr>
                <w:sz w:val="20"/>
                <w:szCs w:val="20"/>
                <w:color w:val="auto"/>
              </w:rPr>
            </w:pPr>
            <w:r>
              <w:rPr>
                <w:rFonts w:ascii="Arial" w:cs="Arial" w:eastAsia="Arial" w:hAnsi="Arial"/>
                <w:sz w:val="18"/>
                <w:szCs w:val="18"/>
                <w:color w:val="auto"/>
              </w:rPr>
              <w:t>$0.74</w:t>
            </w:r>
          </w:p>
        </w:tc>
        <w:tc>
          <w:tcPr>
            <w:tcW w:w="1560" w:type="dxa"/>
            <w:vAlign w:val="bottom"/>
          </w:tcPr>
          <w:p>
            <w:pPr>
              <w:jc w:val="center"/>
              <w:spacing w:after="0"/>
              <w:rPr>
                <w:sz w:val="20"/>
                <w:szCs w:val="20"/>
                <w:color w:val="auto"/>
              </w:rPr>
            </w:pPr>
            <w:r>
              <w:rPr>
                <w:rFonts w:ascii="Arial" w:cs="Arial" w:eastAsia="Arial" w:hAnsi="Arial"/>
                <w:sz w:val="18"/>
                <w:szCs w:val="18"/>
                <w:color w:val="auto"/>
                <w:w w:val="97"/>
              </w:rPr>
              <w:t>$0.52</w:t>
            </w:r>
          </w:p>
        </w:tc>
        <w:tc>
          <w:tcPr>
            <w:tcW w:w="1260" w:type="dxa"/>
            <w:vAlign w:val="bottom"/>
          </w:tcPr>
          <w:p>
            <w:pPr>
              <w:jc w:val="center"/>
              <w:spacing w:after="0"/>
              <w:rPr>
                <w:sz w:val="20"/>
                <w:szCs w:val="20"/>
                <w:color w:val="auto"/>
              </w:rPr>
            </w:pPr>
            <w:r>
              <w:rPr>
                <w:rFonts w:ascii="Arial" w:cs="Arial" w:eastAsia="Arial" w:hAnsi="Arial"/>
                <w:sz w:val="18"/>
                <w:szCs w:val="18"/>
                <w:color w:val="auto"/>
              </w:rPr>
              <w:t>$2.62</w:t>
            </w:r>
          </w:p>
        </w:tc>
        <w:tc>
          <w:tcPr>
            <w:tcW w:w="1420" w:type="dxa"/>
            <w:vAlign w:val="bottom"/>
          </w:tcPr>
          <w:p>
            <w:pPr>
              <w:jc w:val="center"/>
              <w:spacing w:after="0"/>
              <w:rPr>
                <w:sz w:val="20"/>
                <w:szCs w:val="20"/>
                <w:color w:val="auto"/>
              </w:rPr>
            </w:pPr>
            <w:r>
              <w:rPr>
                <w:rFonts w:ascii="Arial" w:cs="Arial" w:eastAsia="Arial" w:hAnsi="Arial"/>
                <w:sz w:val="18"/>
                <w:szCs w:val="18"/>
                <w:color w:val="auto"/>
              </w:rPr>
              <w:t>$1.40</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EBITDA (2)</w:t>
            </w:r>
          </w:p>
        </w:tc>
        <w:tc>
          <w:tcPr>
            <w:tcW w:w="1720" w:type="dxa"/>
            <w:vAlign w:val="bottom"/>
          </w:tcPr>
          <w:p>
            <w:pPr>
              <w:jc w:val="center"/>
              <w:ind w:left="230"/>
              <w:spacing w:after="0"/>
              <w:rPr>
                <w:sz w:val="20"/>
                <w:szCs w:val="20"/>
                <w:color w:val="auto"/>
              </w:rPr>
            </w:pPr>
            <w:r>
              <w:rPr>
                <w:rFonts w:ascii="Arial" w:cs="Arial" w:eastAsia="Arial" w:hAnsi="Arial"/>
                <w:sz w:val="18"/>
                <w:szCs w:val="18"/>
                <w:color w:val="auto"/>
                <w:w w:val="99"/>
              </w:rPr>
              <w:t>$398</w:t>
            </w: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$358</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$288</w:t>
            </w:r>
          </w:p>
        </w:tc>
        <w:tc>
          <w:tcPr>
            <w:tcW w:w="1260" w:type="dxa"/>
            <w:vAlign w:val="bottom"/>
          </w:tcPr>
          <w:p>
            <w:pPr>
              <w:jc w:val="center"/>
              <w:spacing w:after="0"/>
              <w:rPr>
                <w:sz w:val="20"/>
                <w:szCs w:val="20"/>
                <w:color w:val="auto"/>
              </w:rPr>
            </w:pPr>
            <w:r>
              <w:rPr>
                <w:rFonts w:ascii="Arial" w:cs="Arial" w:eastAsia="Arial" w:hAnsi="Arial"/>
                <w:sz w:val="18"/>
                <w:szCs w:val="18"/>
                <w:color w:val="auto"/>
                <w:w w:val="98"/>
              </w:rPr>
              <w:t>$1,331</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$960</w:t>
            </w:r>
          </w:p>
        </w:tc>
      </w:tr>
      <w:tr>
        <w:trPr>
          <w:trHeight w:val="230"/>
        </w:trPr>
        <w:tc>
          <w:tcPr>
            <w:tcW w:w="3960" w:type="dxa"/>
            <w:vAlign w:val="bottom"/>
          </w:tcPr>
          <w:p>
            <w:pPr>
              <w:ind w:left="20"/>
              <w:spacing w:after="0"/>
              <w:rPr>
                <w:sz w:val="20"/>
                <w:szCs w:val="20"/>
                <w:color w:val="auto"/>
              </w:rPr>
            </w:pPr>
            <w:r>
              <w:rPr>
                <w:rFonts w:ascii="Arial" w:cs="Arial" w:eastAsia="Arial" w:hAnsi="Arial"/>
                <w:sz w:val="18"/>
                <w:szCs w:val="18"/>
                <w:color w:val="auto"/>
              </w:rPr>
              <w:t>Annual free cash flow (2)</w:t>
            </w:r>
          </w:p>
        </w:tc>
        <w:tc>
          <w:tcPr>
            <w:tcW w:w="1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$344</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$221</w:t>
            </w:r>
          </w:p>
        </w:tc>
      </w:tr>
      <w:tr>
        <w:trPr>
          <w:trHeight w:val="229"/>
        </w:trPr>
        <w:tc>
          <w:tcPr>
            <w:tcW w:w="3960" w:type="dxa"/>
            <w:vAlign w:val="bottom"/>
          </w:tcPr>
          <w:p>
            <w:pPr>
              <w:ind w:left="20"/>
              <w:spacing w:after="0"/>
              <w:rPr>
                <w:sz w:val="20"/>
                <w:szCs w:val="20"/>
                <w:color w:val="auto"/>
              </w:rPr>
            </w:pPr>
            <w:r>
              <w:rPr>
                <w:rFonts w:ascii="Arial" w:cs="Arial" w:eastAsia="Arial" w:hAnsi="Arial"/>
                <w:sz w:val="18"/>
                <w:szCs w:val="18"/>
                <w:color w:val="auto"/>
              </w:rPr>
              <w:t>Net debt (2)</w:t>
            </w:r>
          </w:p>
        </w:tc>
        <w:tc>
          <w:tcPr>
            <w:tcW w:w="1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$59</w:t>
            </w: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$322</w:t>
            </w:r>
          </w:p>
        </w:tc>
      </w:tr>
    </w:tbl>
    <w:p>
      <w:pPr>
        <w:spacing w:after="0" w:line="242" w:lineRule="exact"/>
        <w:rPr>
          <w:sz w:val="20"/>
          <w:szCs w:val="20"/>
          <w:color w:val="auto"/>
        </w:rPr>
      </w:pPr>
    </w:p>
    <w:p>
      <w:pPr>
        <w:ind w:left="260" w:right="20" w:hanging="252"/>
        <w:spacing w:after="0" w:line="250" w:lineRule="auto"/>
        <w:tabs>
          <w:tab w:leader="none" w:pos="313" w:val="left"/>
        </w:tabs>
        <w:numPr>
          <w:ilvl w:val="0"/>
          <w:numId w:val="4"/>
        </w:numPr>
        <w:rPr>
          <w:rFonts w:ascii="Arial" w:cs="Arial" w:eastAsia="Arial" w:hAnsi="Arial"/>
          <w:sz w:val="18"/>
          <w:szCs w:val="18"/>
          <w:color w:val="auto"/>
        </w:rPr>
      </w:pPr>
      <w:r>
        <w:rPr>
          <w:rFonts w:ascii="Arial" w:cs="Arial" w:eastAsia="Arial" w:hAnsi="Arial"/>
          <w:sz w:val="18"/>
          <w:szCs w:val="18"/>
          <w:color w:val="auto"/>
        </w:rPr>
        <w:t>Q4 and full year 2020 net income includes a $20 million discrete income tax benefit, or $0.08 per diluted share, primarily related to changes in the valuation of certain deferred tax assets.</w:t>
      </w:r>
    </w:p>
    <w:p>
      <w:pPr>
        <w:ind w:left="260" w:hanging="252"/>
        <w:spacing w:after="0" w:line="261" w:lineRule="auto"/>
        <w:tabs>
          <w:tab w:leader="none" w:pos="312" w:val="left"/>
        </w:tabs>
        <w:numPr>
          <w:ilvl w:val="0"/>
          <w:numId w:val="4"/>
        </w:numPr>
        <w:rPr>
          <w:rFonts w:ascii="Arial" w:cs="Arial" w:eastAsia="Arial" w:hAnsi="Arial"/>
          <w:sz w:val="18"/>
          <w:szCs w:val="18"/>
          <w:color w:val="auto"/>
        </w:rPr>
      </w:pPr>
      <w:r>
        <w:rPr>
          <w:rFonts w:ascii="Arial" w:cs="Arial" w:eastAsia="Arial" w:hAnsi="Arial"/>
          <w:sz w:val="18"/>
          <w:szCs w:val="18"/>
          <w:color w:val="auto"/>
        </w:rPr>
        <w:t>EBITDA, free cash flow and net debt are non-GAAP measures. The reconciliations to the comparable GAAP measures are included below under “Selected Operating Data.”</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2021, total cash and short-term investments was $1.08 billion, and total debt was $1.14 billion.</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8"/>
          <w:szCs w:val="18"/>
          <w:color w:val="auto"/>
        </w:rPr>
        <w:t xml:space="preserve">On November 16, 2021, Amkor’s </w:t>
      </w:r>
      <w:r>
        <w:rPr>
          <w:rFonts w:ascii="Arial" w:cs="Arial" w:eastAsia="Arial" w:hAnsi="Arial"/>
          <w:sz w:val="18"/>
          <w:szCs w:val="18"/>
          <w:color w:val="auto"/>
          <w:highlight w:val="white"/>
        </w:rPr>
        <w:t>Board of Directors announced a 25% increase in the company’s quarterly cash dividend, from $0.04 per</w:t>
      </w:r>
      <w:r>
        <w:rPr>
          <w:rFonts w:ascii="Arial" w:cs="Arial" w:eastAsia="Arial" w:hAnsi="Arial"/>
          <w:sz w:val="18"/>
          <w:szCs w:val="18"/>
          <w:color w:val="auto"/>
        </w:rPr>
        <w:t xml:space="preserve"> </w:t>
      </w:r>
      <w:r>
        <w:rPr>
          <w:rFonts w:ascii="Arial" w:cs="Arial" w:eastAsia="Arial" w:hAnsi="Arial"/>
          <w:sz w:val="18"/>
          <w:szCs w:val="18"/>
          <w:color w:val="auto"/>
          <w:highlight w:val="white"/>
        </w:rPr>
        <w:t xml:space="preserve">share to $0.05 per share, on the company’s common stock. The increase was effective with the dividend paid on December 28, 2021. </w:t>
      </w:r>
      <w:r>
        <w:rPr>
          <w:rFonts w:ascii="Arial" w:cs="Arial" w:eastAsia="Arial" w:hAnsi="Arial"/>
          <w:sz w:val="18"/>
          <w:szCs w:val="18"/>
          <w:color w:val="auto"/>
        </w:rPr>
        <w:t>The</w:t>
      </w:r>
      <w:r>
        <w:rPr>
          <w:rFonts w:ascii="Arial" w:cs="Arial" w:eastAsia="Arial" w:hAnsi="Arial"/>
          <w:sz w:val="18"/>
          <w:szCs w:val="18"/>
          <w:color w:val="auto"/>
          <w:highlight w:val="white"/>
        </w:rPr>
        <w:t xml:space="preserve"> </w:t>
      </w:r>
      <w:r>
        <w:rPr>
          <w:rFonts w:ascii="Arial" w:cs="Arial" w:eastAsia="Arial" w:hAnsi="Arial"/>
          <w:sz w:val="18"/>
          <w:szCs w:val="18"/>
          <w:color w:val="auto"/>
        </w:rPr>
        <w:t>declaration and payment of future dividends, as well as any record and payment dates, are subject to the approval of the Board of Directors.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presents Amkor’s guidance for the first quarter 2022 (unless otherwise noted):</w:t>
      </w:r>
    </w:p>
    <w:p>
      <w:pPr>
        <w:spacing w:after="0" w:line="252"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sales of $1.50 billion to $1.60 billion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margin of 17.5% to 20.0%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income of $115 million to $165 million, or $0.45 to $0.65 per diluted share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Full year 2022 capital expenditures to be around $950 million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Amkor will conduct a conference call on Monday, February 14, 2022, at 5:00 p.m. Eastern Time. This call may include material information not included in this press release. To access the live audio webcast and the accompanying slide presentation, visit the Investor Relations section of Amkor’s website, located at ir.amkor.com. The live call can also be accessed by dialing 1-877-407-4019 or 1-201-689-8337.</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Amkor Technology, Inc.</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Amkor Technology, Inc. is one of the world’s largest providers of outsourced semiconductor packaging and test services. Founded in 1968, Amkor pioneered the outsourcing of IC packaging and test, and is now a strategic manufacturing partner for the world’s leading semiconductor companies, foundries and electronics OEMs. Amkor’s operational base includes production facilities, product development centers and sales and support offices located in key electronics manufacturing regions in Asia, Europe and the USA. For more information visit amkor.com.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Jennifer Jue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Investor Relations and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480-786-7594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jennifer.jue@amkor.com</w:t>
      </w:r>
    </w:p>
    <w:p>
      <w:pPr>
        <w:sectPr>
          <w:pgSz w:w="11900" w:h="16838" w:orient="portrait"/>
          <w:cols w:equalWidth="0" w:num="1">
            <w:col w:w="11240"/>
          </w:cols>
          <w:pgMar w:left="320" w:top="1273" w:right="3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Sales Data:</w:t>
      </w:r>
    </w:p>
    <w:p>
      <w:pPr>
        <w:spacing w:after="0" w:line="45" w:lineRule="exact"/>
        <w:rPr>
          <w:sz w:val="20"/>
          <w:szCs w:val="20"/>
          <w:color w:val="auto"/>
        </w:rPr>
      </w:pPr>
    </w:p>
    <w:p>
      <w:pPr>
        <w:ind w:left="140" w:right="1300" w:hanging="120"/>
        <w:spacing w:after="0" w:line="294" w:lineRule="auto"/>
        <w:rPr>
          <w:sz w:val="20"/>
          <w:szCs w:val="20"/>
          <w:color w:val="auto"/>
        </w:rPr>
      </w:pPr>
      <w:r>
        <w:rPr>
          <w:rFonts w:ascii="Arial" w:cs="Arial" w:eastAsia="Arial" w:hAnsi="Arial"/>
          <w:sz w:val="17"/>
          <w:szCs w:val="17"/>
          <w:color w:val="auto"/>
        </w:rPr>
        <w:t>Net sales (in millions): Advanced Products (1) (3) Mainstream Products (2) (3)</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net sales</w:t>
      </w:r>
    </w:p>
    <w:p>
      <w:pPr>
        <w:spacing w:after="0" w:line="20" w:lineRule="exact"/>
        <w:rPr>
          <w:sz w:val="20"/>
          <w:szCs w:val="20"/>
          <w:color w:val="auto"/>
        </w:rPr>
      </w:pPr>
      <w:r>
        <w:rPr>
          <w:sz w:val="20"/>
          <w:szCs w:val="20"/>
          <w:color w:val="auto"/>
        </w:rPr>
        <w:br w:type="column"/>
      </w:r>
    </w:p>
    <w:p>
      <w:pPr>
        <w:jc w:val="center"/>
        <w:ind w:right="4400"/>
        <w:spacing w:after="0"/>
        <w:rPr>
          <w:sz w:val="20"/>
          <w:szCs w:val="20"/>
          <w:color w:val="auto"/>
        </w:rPr>
      </w:pPr>
      <w:r>
        <w:rPr>
          <w:rFonts w:ascii="Arial" w:cs="Arial" w:eastAsia="Arial" w:hAnsi="Arial"/>
          <w:sz w:val="17"/>
          <w:szCs w:val="17"/>
          <w:b w:val="1"/>
          <w:bCs w:val="1"/>
          <w:color w:val="auto"/>
        </w:rPr>
        <w:t>AMKOR TECHNOLOGY, INC.</w:t>
      </w:r>
    </w:p>
    <w:p>
      <w:pPr>
        <w:spacing w:after="0" w:line="43" w:lineRule="exact"/>
        <w:rPr>
          <w:sz w:val="20"/>
          <w:szCs w:val="20"/>
          <w:color w:val="auto"/>
        </w:rPr>
      </w:pPr>
    </w:p>
    <w:p>
      <w:pPr>
        <w:jc w:val="center"/>
        <w:ind w:right="4400"/>
        <w:spacing w:after="0"/>
        <w:rPr>
          <w:sz w:val="20"/>
          <w:szCs w:val="20"/>
          <w:color w:val="auto"/>
        </w:rPr>
      </w:pPr>
      <w:r>
        <w:rPr>
          <w:rFonts w:ascii="Arial" w:cs="Arial" w:eastAsia="Arial" w:hAnsi="Arial"/>
          <w:sz w:val="18"/>
          <w:szCs w:val="18"/>
          <w:b w:val="1"/>
          <w:bCs w:val="1"/>
          <w:color w:val="auto"/>
        </w:rPr>
        <w:t>Selected Operating Data</w:t>
      </w:r>
    </w:p>
    <w:p>
      <w:pPr>
        <w:spacing w:after="0" w:line="325" w:lineRule="exact"/>
        <w:rPr>
          <w:sz w:val="20"/>
          <w:szCs w:val="20"/>
          <w:color w:val="auto"/>
        </w:rPr>
      </w:pPr>
    </w:p>
    <w:tbl>
      <w:tblPr>
        <w:tblLayout w:type="fixed"/>
        <w:tblInd w:w="840" w:type="dxa"/>
        <w:tblCellMar>
          <w:top w:w="0" w:type="dxa"/>
          <w:left w:w="0" w:type="dxa"/>
          <w:bottom w:w="0" w:type="dxa"/>
          <w:right w:w="0" w:type="dxa"/>
        </w:tblCellMar>
      </w:tblPr>
      <w:tr>
        <w:trPr>
          <w:trHeight w:val="239"/>
        </w:trPr>
        <w:tc>
          <w:tcPr>
            <w:tcW w:w="1220" w:type="dxa"/>
            <w:vAlign w:val="bottom"/>
            <w:gridSpan w:val="2"/>
          </w:tcPr>
          <w:p>
            <w:pPr>
              <w:ind w:left="200"/>
              <w:spacing w:after="0"/>
              <w:rPr>
                <w:sz w:val="20"/>
                <w:szCs w:val="20"/>
                <w:color w:val="auto"/>
              </w:rPr>
            </w:pPr>
            <w:r>
              <w:rPr>
                <w:rFonts w:ascii="Arial" w:cs="Arial" w:eastAsia="Arial" w:hAnsi="Arial"/>
                <w:sz w:val="18"/>
                <w:szCs w:val="18"/>
                <w:b w:val="1"/>
                <w:bCs w:val="1"/>
                <w:color w:val="auto"/>
              </w:rPr>
              <w:t>Q4 2021</w:t>
            </w: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Q3 2021</w:t>
            </w:r>
          </w:p>
        </w:tc>
        <w:tc>
          <w:tcPr>
            <w:tcW w:w="1220" w:type="dxa"/>
            <w:vAlign w:val="bottom"/>
            <w:gridSpan w:val="2"/>
          </w:tcPr>
          <w:p>
            <w:pPr>
              <w:ind w:left="220"/>
              <w:spacing w:after="0"/>
              <w:rPr>
                <w:sz w:val="20"/>
                <w:szCs w:val="20"/>
                <w:color w:val="auto"/>
              </w:rPr>
            </w:pPr>
            <w:r>
              <w:rPr>
                <w:rFonts w:ascii="Arial" w:cs="Arial" w:eastAsia="Arial" w:hAnsi="Arial"/>
                <w:sz w:val="18"/>
                <w:szCs w:val="18"/>
                <w:b w:val="1"/>
                <w:bCs w:val="1"/>
                <w:color w:val="auto"/>
              </w:rPr>
              <w:t>Q4 2020</w:t>
            </w: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r>
      <w:tr>
        <w:trPr>
          <w:trHeight w:val="668"/>
        </w:trPr>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$1,236</w:t>
            </w:r>
          </w:p>
        </w:tc>
        <w:tc>
          <w:tcPr>
            <w:tcW w:w="10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10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$4,409</w:t>
            </w:r>
          </w:p>
        </w:tc>
        <w:tc>
          <w:tcPr>
            <w:tcW w:w="100" w:type="dxa"/>
            <w:vAlign w:val="bottom"/>
          </w:tcPr>
          <w:p>
            <w:pPr>
              <w:spacing w:after="0"/>
              <w:rPr>
                <w:sz w:val="24"/>
                <w:szCs w:val="2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$3,605</w:t>
            </w:r>
          </w:p>
        </w:tc>
      </w:tr>
      <w:tr>
        <w:trPr>
          <w:trHeight w:val="229"/>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1,446</w:t>
            </w:r>
          </w:p>
        </w:tc>
      </w:tr>
      <w:tr>
        <w:trPr>
          <w:trHeight w:val="223"/>
        </w:trPr>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$5,051</w:t>
            </w:r>
          </w:p>
        </w:tc>
      </w:tr>
      <w:tr>
        <w:trPr>
          <w:trHeight w:val="20"/>
        </w:trPr>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-770890</wp:posOffset>
            </wp:positionV>
            <wp:extent cx="713232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-479425</wp:posOffset>
            </wp:positionV>
            <wp:extent cx="71323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-2788285</wp:posOffset>
            </wp:positionH>
            <wp:positionV relativeFrom="paragraph">
              <wp:posOffset>-187960</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80" w:space="720"/>
            <w:col w:w="6840"/>
          </w:cols>
          <w:pgMar w:left="320" w:top="360" w:right="339" w:bottom="1440" w:gutter="0" w:footer="0" w:header="0"/>
        </w:sectPr>
      </w:pP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5240" w:type="dxa"/>
            <w:vAlign w:val="bottom"/>
          </w:tcPr>
          <w:p>
            <w:pPr>
              <w:ind w:left="20"/>
              <w:spacing w:after="0"/>
              <w:rPr>
                <w:sz w:val="20"/>
                <w:szCs w:val="20"/>
                <w:color w:val="auto"/>
              </w:rPr>
            </w:pPr>
            <w:r>
              <w:rPr>
                <w:rFonts w:ascii="Arial" w:cs="Arial" w:eastAsia="Arial" w:hAnsi="Arial"/>
                <w:sz w:val="18"/>
                <w:szCs w:val="18"/>
                <w:color w:val="auto"/>
              </w:rPr>
              <w:t>Packaging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85 %</w:t>
            </w: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Test 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03"/>
        </w:trPr>
        <w:tc>
          <w:tcPr>
            <w:tcW w:w="5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 from top ten customers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03"/>
        </w:trPr>
        <w:tc>
          <w:tcPr>
            <w:tcW w:w="5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End Market Distribution Data</w:t>
            </w: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Communications (smart phones, tablets)</w:t>
            </w:r>
          </w:p>
        </w:tc>
        <w:tc>
          <w:tcPr>
            <w:tcW w:w="112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41 %</w:t>
            </w:r>
          </w:p>
        </w:tc>
      </w:tr>
      <w:tr>
        <w:trPr>
          <w:trHeight w:val="188"/>
        </w:trPr>
        <w:tc>
          <w:tcPr>
            <w:tcW w:w="52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Consumer (AR &amp; gaming, connected home, home electronics,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wearables)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188"/>
        </w:trPr>
        <w:tc>
          <w:tcPr>
            <w:tcW w:w="5240" w:type="dxa"/>
            <w:vAlign w:val="bottom"/>
          </w:tcPr>
          <w:p>
            <w:pPr>
              <w:ind w:left="20"/>
              <w:spacing w:after="0" w:line="189" w:lineRule="exact"/>
              <w:rPr>
                <w:sz w:val="20"/>
                <w:szCs w:val="20"/>
                <w:color w:val="auto"/>
              </w:rPr>
            </w:pPr>
            <w:r>
              <w:rPr>
                <w:rFonts w:ascii="Arial" w:cs="Arial" w:eastAsia="Arial" w:hAnsi="Arial"/>
                <w:sz w:val="18"/>
                <w:szCs w:val="18"/>
                <w:color w:val="auto"/>
              </w:rPr>
              <w:t>Automotive and Industrial (ADAS, electrification, infotainment,</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7"/>
        </w:trPr>
        <w:tc>
          <w:tcPr>
            <w:tcW w:w="5240" w:type="dxa"/>
            <w:vAlign w:val="bottom"/>
          </w:tcPr>
          <w:p>
            <w:pPr>
              <w:ind w:left="20"/>
              <w:spacing w:after="0"/>
              <w:rPr>
                <w:sz w:val="20"/>
                <w:szCs w:val="20"/>
                <w:color w:val="auto"/>
              </w:rPr>
            </w:pPr>
            <w:r>
              <w:rPr>
                <w:rFonts w:ascii="Arial" w:cs="Arial" w:eastAsia="Arial" w:hAnsi="Arial"/>
                <w:sz w:val="18"/>
                <w:szCs w:val="18"/>
                <w:color w:val="auto"/>
              </w:rPr>
              <w:t>safety)</w:t>
            </w:r>
          </w:p>
        </w:tc>
        <w:tc>
          <w:tcPr>
            <w:tcW w:w="11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Computing (datacenter, infrastructure, PC/laptops, storage)</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6"/>
        </w:trPr>
        <w:tc>
          <w:tcPr>
            <w:tcW w:w="5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Gross Margin Data:</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Labor</w:t>
            </w:r>
          </w:p>
        </w:tc>
        <w:tc>
          <w:tcPr>
            <w:tcW w:w="1120" w:type="dxa"/>
            <w:vAlign w:val="bottom"/>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12.9 %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12.3 %</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manufacturing</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23.3 %</w:t>
            </w: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20.0 %</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17.8 %</w:t>
            </w:r>
          </w:p>
        </w:tc>
      </w:tr>
      <w:tr>
        <w:trPr>
          <w:trHeight w:val="21"/>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Advanced Products include flip chip and wafer-level processing and related test services.</w:t>
      </w:r>
    </w:p>
    <w:p>
      <w:pPr>
        <w:spacing w:after="0" w:line="9" w:lineRule="exact"/>
        <w:rPr>
          <w:rFonts w:ascii="Arial" w:cs="Arial" w:eastAsia="Arial" w:hAnsi="Arial"/>
          <w:sz w:val="18"/>
          <w:szCs w:val="18"/>
          <w:color w:val="auto"/>
        </w:rPr>
      </w:pPr>
    </w:p>
    <w:p>
      <w:pPr>
        <w:ind w:left="280" w:hanging="272"/>
        <w:spacing w:after="0"/>
        <w:tabs>
          <w:tab w:leader="none" w:pos="2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Mainstream Products include wirebond packaging and related test services.</w:t>
      </w:r>
    </w:p>
    <w:p>
      <w:pPr>
        <w:spacing w:after="0" w:line="9" w:lineRule="exact"/>
        <w:rPr>
          <w:rFonts w:ascii="Arial" w:cs="Arial" w:eastAsia="Arial" w:hAnsi="Arial"/>
          <w:sz w:val="18"/>
          <w:szCs w:val="18"/>
          <w:color w:val="auto"/>
        </w:rPr>
      </w:pPr>
    </w:p>
    <w:p>
      <w:pPr>
        <w:ind w:left="260" w:hanging="252"/>
        <w:spacing w:after="0" w:line="261" w:lineRule="auto"/>
        <w:tabs>
          <w:tab w:leader="none" w:pos="290" w:val="left"/>
        </w:tabs>
        <w:numPr>
          <w:ilvl w:val="0"/>
          <w:numId w:val="6"/>
        </w:numPr>
        <w:rPr>
          <w:rFonts w:ascii="Arial" w:cs="Arial" w:eastAsia="Arial" w:hAnsi="Arial"/>
          <w:sz w:val="18"/>
          <w:szCs w:val="18"/>
          <w:color w:val="auto"/>
        </w:rPr>
      </w:pPr>
      <w:r>
        <w:rPr>
          <w:rFonts w:ascii="Arial" w:cs="Arial" w:eastAsia="Arial" w:hAnsi="Arial"/>
          <w:sz w:val="18"/>
          <w:szCs w:val="18"/>
          <w:color w:val="auto"/>
        </w:rPr>
        <w:t>Beginning in 2021, we are reporting memory net sales in Advanced Products. Previously, memory net sales were reported in Mainstream Products. Prior year amounts were reclassified to conform to current year presentation.</w:t>
      </w:r>
    </w:p>
    <w:p>
      <w:pPr>
        <w:sectPr>
          <w:pgSz w:w="11900" w:h="16838" w:orient="portrait"/>
          <w:cols w:equalWidth="0" w:num="1">
            <w:col w:w="11240"/>
          </w:cols>
          <w:pgMar w:left="320" w:top="360" w:right="3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this press release, we refer to EBITDA, which is not defined by U.S. GAAP. We define EBITDA as net income before interest expense, income tax expense and depreciation and amortization. We believe EBITDA to be relevant and useful information to our investors because it provides additional information in assessing our financial operating results. Our management uses EBITDA in evaluating our operating performance, and our ability to service debt, and our ability to fund capital expenditures and pay dividends. However, EBITDA has certain limitations in that it does not reflect the impact of certain expenses on our consolidated statements of income, including interest expense, which is a necessary element of our costs because we have borrowed money in order to finance our operations, income tax expense, which is a necessary element of our costs because taxes are imposed by law, and depreciation and amortization, which is a necessary element of our costs because we use capital assets to generate income. EBITDA should be considered in addition to, and not as a substitute for, or superior to, operating income, net income or other measures of financial performance prepared in accordance with U.S. GAAP. Furthermore, our definition of EBITDA may not be comparable to similarly titled measures reported by other companies. Below is our reconciliation of EBITDA to U.S. GAAP net income.</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Non-GAAP Financial Measures Reconciliation:</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millions)</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Q4 2021</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Q3 2021</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Q4 2020</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209"/>
        </w:trPr>
        <w:tc>
          <w:tcPr>
            <w:tcW w:w="5740" w:type="dxa"/>
            <w:vAlign w:val="bottom"/>
          </w:tcPr>
          <w:p>
            <w:pPr>
              <w:ind w:left="20"/>
              <w:spacing w:after="0"/>
              <w:rPr>
                <w:sz w:val="20"/>
                <w:szCs w:val="20"/>
                <w:color w:val="auto"/>
              </w:rPr>
            </w:pPr>
            <w:r>
              <w:rPr>
                <w:rFonts w:ascii="Arial" w:cs="Arial" w:eastAsia="Arial" w:hAnsi="Arial"/>
                <w:sz w:val="18"/>
                <w:szCs w:val="18"/>
                <w:b w:val="1"/>
                <w:bCs w:val="1"/>
                <w:color w:val="auto"/>
              </w:rPr>
              <w:t>EBITDA Data:</w:t>
            </w: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Plus: Interest expense</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Income tax expense</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Plus: Depreciation &amp; amortization</w:t>
            </w: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34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this press release, we refer to free cash flow, which is not defined by U.S. GAAP. We define free cash flow as net cash provided by operating activities less payments for property, plant and equipment, plus proceeds from the sale of and insurance recovery for property, plant and equipment, if applicable. We believe free cash flow to be relevant and useful information to our investors because it provides them with additional information in assessing our liquidity, capital resources and financial operating results. Our management uses free cash flow in evaluating our liquidity, and our ability to service debt, and our ability to fund capital expenditures and pay dividends.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 Below is our reconciliation of free cash flow to U.S. GAAP net cash provided by operating activities.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Non-GAAP Financial Measures Reconciliation:</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millions)</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9"/>
        </w:trPr>
        <w:tc>
          <w:tcPr>
            <w:tcW w:w="9080" w:type="dxa"/>
            <w:vAlign w:val="bottom"/>
          </w:tcPr>
          <w:p>
            <w:pPr>
              <w:ind w:left="20"/>
              <w:spacing w:after="0"/>
              <w:rPr>
                <w:sz w:val="20"/>
                <w:szCs w:val="20"/>
                <w:color w:val="auto"/>
              </w:rPr>
            </w:pPr>
            <w:r>
              <w:rPr>
                <w:rFonts w:ascii="Arial" w:cs="Arial" w:eastAsia="Arial" w:hAnsi="Arial"/>
                <w:sz w:val="18"/>
                <w:szCs w:val="18"/>
                <w:b w:val="1"/>
                <w:bCs w:val="1"/>
                <w:color w:val="auto"/>
              </w:rPr>
              <w:t>Free Cash Flow Data:</w:t>
            </w: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r>
      <w:tr>
        <w:trPr>
          <w:trHeight w:val="230"/>
        </w:trPr>
        <w:tc>
          <w:tcPr>
            <w:tcW w:w="9080" w:type="dxa"/>
            <w:vAlign w:val="bottom"/>
          </w:tcPr>
          <w:p>
            <w:pPr>
              <w:ind w:left="20"/>
              <w:spacing w:after="0"/>
              <w:rPr>
                <w:sz w:val="20"/>
                <w:szCs w:val="20"/>
                <w:color w:val="auto"/>
              </w:rPr>
            </w:pPr>
            <w:r>
              <w:rPr>
                <w:rFonts w:ascii="Arial" w:cs="Arial" w:eastAsia="Arial" w:hAnsi="Arial"/>
                <w:sz w:val="18"/>
                <w:szCs w:val="18"/>
                <w:color w:val="auto"/>
              </w:rPr>
              <w:t>Less: Purchases of property, plant and equipment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(553)</w:t>
            </w:r>
          </w:p>
        </w:tc>
      </w:tr>
      <w:tr>
        <w:trPr>
          <w:trHeight w:val="229"/>
        </w:trPr>
        <w:tc>
          <w:tcPr>
            <w:tcW w:w="9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Plus: Proceeds from sale of and insurance recovery for property, plant and equipment</w:t>
            </w:r>
          </w:p>
        </w:tc>
        <w:tc>
          <w:tcPr>
            <w:tcW w:w="2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9080" w:type="dxa"/>
            <w:vAlign w:val="bottom"/>
          </w:tcPr>
          <w:p>
            <w:pPr>
              <w:ind w:left="220"/>
              <w:spacing w:after="0"/>
              <w:rPr>
                <w:sz w:val="20"/>
                <w:szCs w:val="20"/>
                <w:color w:val="auto"/>
              </w:rPr>
            </w:pPr>
            <w:r>
              <w:rPr>
                <w:rFonts w:ascii="Arial" w:cs="Arial" w:eastAsia="Arial" w:hAnsi="Arial"/>
                <w:sz w:val="18"/>
                <w:szCs w:val="18"/>
                <w:color w:val="auto"/>
              </w:rPr>
              <w:t>Free cash flow</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9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Operating Data</w:t>
      </w:r>
    </w:p>
    <w:p>
      <w:pPr>
        <w:spacing w:after="0" w:line="200" w:lineRule="exact"/>
        <w:rPr>
          <w:sz w:val="20"/>
          <w:szCs w:val="20"/>
          <w:color w:val="auto"/>
        </w:rPr>
      </w:pPr>
    </w:p>
    <w:p>
      <w:pPr>
        <w:spacing w:after="0" w:line="34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also includes net debt, which is not defined by U.S. GAAP. We define net debt as total debt as reported on the consolidated balance sheet less the sum of cash and cash equivalents, and short term investments. We believe net debt to be relevant and useful information to our investors because it provides them with additional information in assessing our capital structure, financial leverage, and our ability to reduce debt and to fund investing and financing activities. This measure should be considered in addition to, and not as a substitute for, or superior to, total debt prepared in accordance with U.S. GAAP. Furthermore, our definition of net debt may not be comparable to similarly titled measures reported by other companies. Below is our reconciliation of net debt to U.S. GAAP total debt.</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9100" w:type="dxa"/>
            <w:vAlign w:val="bottom"/>
          </w:tcPr>
          <w:p>
            <w:pPr>
              <w:ind w:left="20"/>
              <w:spacing w:after="0"/>
              <w:rPr>
                <w:sz w:val="20"/>
                <w:szCs w:val="20"/>
                <w:color w:val="auto"/>
              </w:rPr>
            </w:pPr>
            <w:r>
              <w:rPr>
                <w:rFonts w:ascii="Arial" w:cs="Arial" w:eastAsia="Arial" w:hAnsi="Arial"/>
                <w:sz w:val="18"/>
                <w:szCs w:val="18"/>
                <w:b w:val="1"/>
                <w:bCs w:val="1"/>
                <w:color w:val="auto"/>
              </w:rPr>
              <w:t>Non-GAAP Financial Measure Reconciliation:</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 millions)</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b w:val="1"/>
                <w:bCs w:val="1"/>
                <w:color w:val="auto"/>
              </w:rPr>
              <w:t>Net Debt Data:</w:t>
            </w: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r>
      <w:tr>
        <w:trPr>
          <w:trHeight w:val="229"/>
        </w:trPr>
        <w:tc>
          <w:tcPr>
            <w:tcW w:w="9100" w:type="dxa"/>
            <w:vAlign w:val="bottom"/>
          </w:tcPr>
          <w:p>
            <w:pPr>
              <w:ind w:left="20"/>
              <w:spacing w:after="0"/>
              <w:rPr>
                <w:sz w:val="20"/>
                <w:szCs w:val="20"/>
                <w:color w:val="auto"/>
              </w:rPr>
            </w:pPr>
            <w:r>
              <w:rPr>
                <w:rFonts w:ascii="Arial" w:cs="Arial" w:eastAsia="Arial" w:hAnsi="Arial"/>
                <w:sz w:val="18"/>
                <w:szCs w:val="18"/>
                <w:color w:val="auto"/>
              </w:rPr>
              <w:t>Less: Cash and Cash Equivalents</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(698)</w:t>
            </w:r>
          </w:p>
        </w:tc>
      </w:tr>
      <w:tr>
        <w:trPr>
          <w:trHeight w:val="229"/>
        </w:trPr>
        <w:tc>
          <w:tcPr>
            <w:tcW w:w="9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23"/>
        </w:trPr>
        <w:tc>
          <w:tcPr>
            <w:tcW w:w="9100" w:type="dxa"/>
            <w:vAlign w:val="bottom"/>
          </w:tcPr>
          <w:p>
            <w:pPr>
              <w:ind w:left="20"/>
              <w:spacing w:after="0"/>
              <w:rPr>
                <w:sz w:val="20"/>
                <w:szCs w:val="20"/>
                <w:color w:val="auto"/>
              </w:rPr>
            </w:pPr>
            <w:r>
              <w:rPr>
                <w:rFonts w:ascii="Arial" w:cs="Arial" w:eastAsia="Arial" w:hAnsi="Arial"/>
                <w:sz w:val="18"/>
                <w:szCs w:val="18"/>
                <w:color w:val="auto"/>
              </w:rPr>
              <w:t>Net Debt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r>
      <w:tr>
        <w:trPr>
          <w:trHeight w:val="21"/>
        </w:trPr>
        <w:tc>
          <w:tcPr>
            <w:tcW w:w="9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2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For the Three Months Ended</w:t>
            </w:r>
          </w:p>
        </w:tc>
        <w:tc>
          <w:tcPr>
            <w:tcW w:w="3060" w:type="dxa"/>
            <w:vAlign w:val="bottom"/>
            <w:gridSpan w:val="5"/>
            <w:vMerge w:val="restart"/>
          </w:tcPr>
          <w:p>
            <w:pPr>
              <w:jc w:val="right"/>
              <w:ind w:right="10"/>
              <w:spacing w:after="0"/>
              <w:rPr>
                <w:sz w:val="20"/>
                <w:szCs w:val="20"/>
                <w:color w:val="auto"/>
              </w:rPr>
            </w:pPr>
            <w:r>
              <w:rPr>
                <w:rFonts w:ascii="Arial" w:cs="Arial" w:eastAsia="Arial" w:hAnsi="Arial"/>
                <w:sz w:val="18"/>
                <w:szCs w:val="18"/>
                <w:b w:val="1"/>
                <w:bCs w:val="1"/>
                <w:color w:val="auto"/>
              </w:rPr>
              <w:t>For the Year Ended December 31,</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rPr>
                <w:sz w:val="20"/>
                <w:szCs w:val="20"/>
                <w:color w:val="auto"/>
              </w:rPr>
            </w:pPr>
            <w:r>
              <w:rPr>
                <w:rFonts w:ascii="Arial" w:cs="Arial" w:eastAsia="Arial" w:hAnsi="Arial"/>
                <w:sz w:val="18"/>
                <w:szCs w:val="18"/>
                <w:color w:val="auto"/>
              </w:rPr>
              <w:t>(In thousands, except per share data)</w:t>
            </w:r>
          </w:p>
        </w:tc>
        <w:tc>
          <w:tcPr>
            <w:tcW w:w="200" w:type="dxa"/>
            <w:vAlign w:val="bottom"/>
          </w:tcPr>
          <w:p>
            <w:pPr>
              <w:spacing w:after="0"/>
              <w:rPr>
                <w:sz w:val="19"/>
                <w:szCs w:val="19"/>
                <w:color w:val="auto"/>
              </w:rPr>
            </w:pPr>
          </w:p>
        </w:tc>
        <w:tc>
          <w:tcPr>
            <w:tcW w:w="292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December 31,</w:t>
            </w:r>
          </w:p>
        </w:tc>
        <w:tc>
          <w:tcPr>
            <w:tcW w:w="30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1,724,644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1,371,041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6,138,329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5,050,589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1,362,276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1,092,540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4,912,775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4,149,775</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278,501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1,225,554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900,814</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72,546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78,219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296,084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302,842</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166,037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140,727</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109,959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462,121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443,569</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252,409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763,433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457,245</w:t>
            </w:r>
          </w:p>
        </w:tc>
        <w:tc>
          <w:tcPr>
            <w:tcW w:w="0" w:type="dxa"/>
            <w:vAlign w:val="bottom"/>
          </w:tcPr>
          <w:p>
            <w:pPr>
              <w:spacing w:after="0"/>
              <w:rPr>
                <w:sz w:val="1"/>
                <w:szCs w:val="1"/>
                <w:color w:val="auto"/>
              </w:rPr>
            </w:pPr>
          </w:p>
        </w:tc>
      </w:tr>
      <w:tr>
        <w:trPr>
          <w:trHeight w:val="223"/>
        </w:trPr>
        <w:tc>
          <w:tcPr>
            <w:tcW w:w="5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13,175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51,508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64,168</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23"/>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48,367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70,563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before taxes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139,644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715,066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386,682</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24,584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12,679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46,183</w:t>
            </w:r>
          </w:p>
        </w:tc>
        <w:tc>
          <w:tcPr>
            <w:tcW w:w="0" w:type="dxa"/>
            <w:vAlign w:val="bottom"/>
          </w:tcPr>
          <w:p>
            <w:pPr>
              <w:spacing w:after="0"/>
              <w:rPr>
                <w:sz w:val="1"/>
                <w:szCs w:val="1"/>
                <w:color w:val="auto"/>
              </w:rPr>
            </w:pPr>
          </w:p>
        </w:tc>
      </w:tr>
      <w:tr>
        <w:trPr>
          <w:trHeight w:val="223"/>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340,499</w:t>
            </w:r>
          </w:p>
        </w:tc>
        <w:tc>
          <w:tcPr>
            <w:tcW w:w="0" w:type="dxa"/>
            <w:vAlign w:val="bottom"/>
          </w:tcPr>
          <w:p>
            <w:pPr>
              <w:spacing w:after="0"/>
              <w:rPr>
                <w:sz w:val="1"/>
                <w:szCs w:val="1"/>
                <w:color w:val="auto"/>
              </w:rPr>
            </w:pPr>
          </w:p>
        </w:tc>
      </w:tr>
      <w:tr>
        <w:trPr>
          <w:trHeight w:val="230"/>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48"/>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642,995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338,138</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Amkor per common share:</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0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Shares used in computing per common share amounts: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243,878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241,509</w:t>
            </w:r>
          </w:p>
        </w:tc>
        <w:tc>
          <w:tcPr>
            <w:tcW w:w="0" w:type="dxa"/>
            <w:vAlign w:val="bottom"/>
          </w:tcPr>
          <w:p>
            <w:pPr>
              <w:spacing w:after="0"/>
              <w:rPr>
                <w:sz w:val="1"/>
                <w:szCs w:val="1"/>
                <w:color w:val="auto"/>
              </w:rPr>
            </w:pPr>
          </w:p>
        </w:tc>
      </w:tr>
      <w:tr>
        <w:trPr>
          <w:trHeight w:val="230"/>
        </w:trPr>
        <w:tc>
          <w:tcPr>
            <w:tcW w:w="50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245,894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243,356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245,704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242,248</w:t>
            </w: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940" w:type="dxa"/>
            <w:vAlign w:val="bottom"/>
            <w:tcBorders>
              <w:bottom w:val="single" w:sz="8" w:color="auto"/>
            </w:tcBorders>
          </w:tcPr>
          <w:p>
            <w:pPr>
              <w:spacing w:after="0"/>
              <w:rPr>
                <w:sz w:val="20"/>
                <w:szCs w:val="20"/>
                <w:color w:val="auto"/>
              </w:rPr>
            </w:pPr>
          </w:p>
        </w:tc>
      </w:tr>
      <w:tr>
        <w:trPr>
          <w:trHeight w:val="223"/>
        </w:trPr>
        <w:tc>
          <w:tcPr>
            <w:tcW w:w="8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94"/>
              </w:rPr>
              <w:t>2020</w:t>
            </w:r>
          </w:p>
        </w:tc>
      </w:tr>
      <w:tr>
        <w:trPr>
          <w:trHeight w:val="209"/>
        </w:trPr>
        <w:tc>
          <w:tcPr>
            <w:tcW w:w="818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826,744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698,002</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133,769</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Accounts receivable, net of allowances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1,258,767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962,643</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484,959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297,293</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40,218</w:t>
            </w:r>
          </w:p>
        </w:tc>
      </w:tr>
      <w:tr>
        <w:trPr>
          <w:trHeight w:val="22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2,856,563</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2,132,932</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2,871,058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2,566,002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 of use assets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159,742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147,236</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24,516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27,325</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145,628</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6,038,554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5,022,311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8180" w:type="dxa"/>
            <w:vAlign w:val="bottom"/>
            <w:shd w:val="clear" w:color="auto" w:fill="CCEEFF"/>
          </w:tcPr>
          <w:p>
            <w:pPr>
              <w:ind w:left="3000"/>
              <w:spacing w:after="0"/>
              <w:rPr>
                <w:sz w:val="20"/>
                <w:szCs w:val="20"/>
                <w:color w:val="auto"/>
              </w:rPr>
            </w:pPr>
            <w:r>
              <w:rPr>
                <w:rFonts w:ascii="Arial" w:cs="Arial" w:eastAsia="Arial" w:hAnsi="Arial"/>
                <w:sz w:val="18"/>
                <w:szCs w:val="18"/>
                <w:b w:val="1"/>
                <w:bCs w:val="1"/>
                <w:color w:val="auto"/>
              </w:rPr>
              <w:t>LIABILITIES AND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borrowings and current portion of long-term debt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153,008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149,007</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Trade accounts payable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828,727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636,434</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 payable</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210,875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181,339</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Short-term operating lease liability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64,233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49,748</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422,892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299,459</w:t>
            </w:r>
          </w:p>
        </w:tc>
      </w:tr>
      <w:tr>
        <w:trPr>
          <w:trHeight w:val="223"/>
        </w:trPr>
        <w:tc>
          <w:tcPr>
            <w:tcW w:w="818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1,679,735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1,315,987</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984,988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1,005,339</w:t>
            </w: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Pension and severance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120,472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159,610</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operating lease liabilities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83,937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84,420</w:t>
            </w: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196,876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102,996</w:t>
            </w:r>
          </w:p>
        </w:tc>
      </w:tr>
      <w:tr>
        <w:trPr>
          <w:trHeight w:val="223"/>
        </w:trPr>
        <w:tc>
          <w:tcPr>
            <w:tcW w:w="81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3,066,008</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2,668,352</w:t>
            </w:r>
          </w:p>
        </w:tc>
      </w:tr>
      <w:tr>
        <w:trPr>
          <w:trHeight w:val="236"/>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Amkor stockholders’ equity:</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Preferred stock</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1,977,134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1,953,378</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1,163,939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562,502</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27,270</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(219,065)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(217,740)</w:t>
            </w:r>
          </w:p>
        </w:tc>
      </w:tr>
      <w:tr>
        <w:trPr>
          <w:trHeight w:val="223"/>
        </w:trPr>
        <w:tc>
          <w:tcPr>
            <w:tcW w:w="8180" w:type="dxa"/>
            <w:vAlign w:val="bottom"/>
          </w:tcPr>
          <w:p>
            <w:pPr>
              <w:ind w:left="680"/>
              <w:spacing w:after="0"/>
              <w:rPr>
                <w:sz w:val="20"/>
                <w:szCs w:val="20"/>
                <w:color w:val="auto"/>
              </w:rPr>
            </w:pPr>
            <w:r>
              <w:rPr>
                <w:rFonts w:ascii="Arial" w:cs="Arial" w:eastAsia="Arial" w:hAnsi="Arial"/>
                <w:sz w:val="18"/>
                <w:szCs w:val="18"/>
                <w:color w:val="auto"/>
              </w:rPr>
              <w:t>Total Amkor stockholders’ equity</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2,942,276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2,325,699</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interests in subsidiaries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30,270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28,260</w:t>
            </w:r>
          </w:p>
        </w:tc>
      </w:tr>
      <w:tr>
        <w:trPr>
          <w:trHeight w:val="223"/>
        </w:trPr>
        <w:tc>
          <w:tcPr>
            <w:tcW w:w="81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2,972,546</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2,353,959</w:t>
            </w:r>
          </w:p>
        </w:tc>
      </w:tr>
      <w:tr>
        <w:trPr>
          <w:trHeight w:val="248"/>
        </w:trPr>
        <w:tc>
          <w:tcPr>
            <w:tcW w:w="8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6,038,554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5,022,311</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360"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81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060" w:type="dxa"/>
            <w:vAlign w:val="bottom"/>
            <w:tcBorders>
              <w:bottom w:val="single" w:sz="8" w:color="auto"/>
            </w:tcBorders>
            <w:gridSpan w:val="5"/>
          </w:tcPr>
          <w:p>
            <w:pPr>
              <w:jc w:val="right"/>
              <w:ind w:right="10"/>
              <w:spacing w:after="0"/>
              <w:rPr>
                <w:sz w:val="20"/>
                <w:szCs w:val="20"/>
                <w:color w:val="auto"/>
              </w:rPr>
            </w:pPr>
            <w:r>
              <w:rPr>
                <w:rFonts w:ascii="Arial" w:cs="Arial" w:eastAsia="Arial" w:hAnsi="Arial"/>
                <w:sz w:val="18"/>
                <w:szCs w:val="18"/>
                <w:b w:val="1"/>
                <w:bCs w:val="1"/>
                <w:color w:val="auto"/>
              </w:rPr>
              <w:t>For the Year Ended December 31,</w:t>
            </w:r>
          </w:p>
        </w:tc>
      </w:tr>
      <w:tr>
        <w:trPr>
          <w:trHeight w:val="223"/>
        </w:trPr>
        <w:tc>
          <w:tcPr>
            <w:tcW w:w="81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r>
      <w:tr>
        <w:trPr>
          <w:trHeight w:val="209"/>
        </w:trPr>
        <w:tc>
          <w:tcPr>
            <w:tcW w:w="8180" w:type="dxa"/>
            <w:vAlign w:val="bottom"/>
          </w:tcPr>
          <w:p>
            <w:pPr>
              <w:ind w:left="2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340,499</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563,582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510,396</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activities and non-cash items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12,594</w:t>
            </w:r>
          </w:p>
        </w:tc>
      </w:tr>
      <w:tr>
        <w:trPr>
          <w:trHeight w:val="230"/>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(93,456)</w:t>
            </w:r>
          </w:p>
        </w:tc>
      </w:tr>
      <w:tr>
        <w:trPr>
          <w:trHeight w:val="223"/>
        </w:trPr>
        <w:tc>
          <w:tcPr>
            <w:tcW w:w="8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1,121,295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770,033</w:t>
            </w:r>
          </w:p>
        </w:tc>
      </w:tr>
      <w:tr>
        <w:trPr>
          <w:trHeight w:val="237"/>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Payments for property, plant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(779,779)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(553,021)</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Proceeds from insurance recovery for property, plant and equipment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short-term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(414,208)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(535,368)</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Proceeds from sale of short-term investments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87,273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247,081</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maturities of short-term investments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159,015</w:t>
            </w:r>
          </w:p>
        </w:tc>
      </w:tr>
      <w:tr>
        <w:trPr>
          <w:trHeight w:val="229"/>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investing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(45,105)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39,769</w:t>
            </w:r>
          </w:p>
        </w:tc>
      </w:tr>
      <w:tr>
        <w:trPr>
          <w:trHeight w:val="223"/>
        </w:trPr>
        <w:tc>
          <w:tcPr>
            <w:tcW w:w="8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(943,879)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(638,705)</w:t>
            </w:r>
          </w:p>
        </w:tc>
      </w:tr>
      <w:tr>
        <w:trPr>
          <w:trHeight w:val="236"/>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Proceeds from revolving credit facilities</w:t>
            </w:r>
          </w:p>
        </w:tc>
        <w:tc>
          <w:tcPr>
            <w:tcW w:w="3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312,000</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revolving credit facilities</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(332,000)</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Proceeds from short-term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15,514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86,769</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short-term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(87,353)</w:t>
            </w:r>
          </w:p>
        </w:tc>
      </w:tr>
      <w:tr>
        <w:trPr>
          <w:trHeight w:val="229"/>
        </w:trPr>
        <w:tc>
          <w:tcPr>
            <w:tcW w:w="8180" w:type="dxa"/>
            <w:vAlign w:val="bottom"/>
          </w:tcPr>
          <w:p>
            <w:pPr>
              <w:ind w:left="22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353,587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331,033</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long-term debt</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(648,514)</w:t>
            </w:r>
          </w:p>
        </w:tc>
      </w:tr>
      <w:tr>
        <w:trPr>
          <w:trHeight w:val="230"/>
        </w:trPr>
        <w:tc>
          <w:tcPr>
            <w:tcW w:w="8180" w:type="dxa"/>
            <w:vAlign w:val="bottom"/>
          </w:tcPr>
          <w:p>
            <w:pPr>
              <w:ind w:left="220"/>
              <w:spacing w:after="0"/>
              <w:rPr>
                <w:sz w:val="20"/>
                <w:szCs w:val="20"/>
                <w:color w:val="auto"/>
              </w:rPr>
            </w:pPr>
            <w:r>
              <w:rPr>
                <w:rFonts w:ascii="Arial" w:cs="Arial" w:eastAsia="Arial" w:hAnsi="Arial"/>
                <w:sz w:val="18"/>
                <w:szCs w:val="18"/>
                <w:color w:val="auto"/>
              </w:rPr>
              <w:t>Payments of finance lease obligations</w:t>
            </w: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(20,373)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(9,851)</w:t>
            </w:r>
          </w:p>
        </w:tc>
      </w:tr>
      <w:tr>
        <w:trPr>
          <w:trHeight w:val="230"/>
        </w:trPr>
        <w:tc>
          <w:tcPr>
            <w:tcW w:w="8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of dividends</w:t>
            </w: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financing activities</w:t>
            </w: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14,197</w:t>
            </w:r>
          </w:p>
        </w:tc>
      </w:tr>
      <w:tr>
        <w:trPr>
          <w:trHeight w:val="223"/>
        </w:trPr>
        <w:tc>
          <w:tcPr>
            <w:tcW w:w="81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(30,102)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(333,719)</w:t>
            </w:r>
          </w:p>
        </w:tc>
      </w:tr>
      <w:tr>
        <w:trPr>
          <w:trHeight w:val="236"/>
        </w:trPr>
        <w:tc>
          <w:tcPr>
            <w:tcW w:w="8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fluctuations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p>
      <w:pPr>
        <w:spacing w:after="0" w:line="256" w:lineRule="exact"/>
        <w:rPr>
          <w:sz w:val="20"/>
          <w:szCs w:val="20"/>
          <w:color w:val="auto"/>
        </w:rPr>
      </w:pPr>
    </w:p>
    <w:p>
      <w:pPr>
        <w:ind w:left="20" w:right="1880"/>
        <w:spacing w:after="0" w:line="277" w:lineRule="auto"/>
        <w:rPr>
          <w:sz w:val="20"/>
          <w:szCs w:val="20"/>
          <w:color w:val="auto"/>
        </w:rPr>
      </w:pPr>
      <w:r>
        <w:rPr>
          <w:rFonts w:ascii="Arial" w:cs="Arial" w:eastAsia="Arial" w:hAnsi="Arial"/>
          <w:sz w:val="18"/>
          <w:szCs w:val="18"/>
          <w:color w:val="auto"/>
        </w:rPr>
        <w:t>Net (decrease) increase in cash, cash equivalents and restricted cash 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cash equivalents and restricted cash, end of period</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129,324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jc w:val="center"/>
              <w:ind w:left="170"/>
              <w:spacing w:after="0"/>
              <w:rPr>
                <w:sz w:val="20"/>
                <w:szCs w:val="20"/>
                <w:color w:val="auto"/>
              </w:rPr>
            </w:pPr>
            <w:r>
              <w:rPr>
                <w:rFonts w:ascii="Arial" w:cs="Arial" w:eastAsia="Arial" w:hAnsi="Arial"/>
                <w:sz w:val="18"/>
                <w:szCs w:val="18"/>
                <w:color w:val="auto"/>
              </w:rPr>
              <w:t>(196,335)</w:t>
            </w:r>
          </w:p>
        </w:tc>
      </w:tr>
      <w:tr>
        <w:trPr>
          <w:trHeight w:val="229"/>
        </w:trPr>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702,197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8"/>
              </w:rPr>
              <w:t>898,532</w:t>
            </w:r>
          </w:p>
        </w:tc>
      </w:tr>
      <w:tr>
        <w:trPr>
          <w:trHeight w:val="223"/>
        </w:trPr>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831,521</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8"/>
              </w:rPr>
              <w:t>702,197</w:t>
            </w:r>
          </w:p>
        </w:tc>
      </w:tr>
      <w:tr>
        <w:trPr>
          <w:trHeight w:val="20"/>
        </w:trPr>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7460" w:space="720"/>
            <w:col w:w="3060"/>
          </w:cols>
          <w:pgMar w:left="320" w:top="360"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Forward-Looking Statement Disclaimer</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contains forward-looking statements within the meaning of federal securities laws. You are cautioned not to place undue reliance on forward-looking statements, which are often characterized by terminology such as “may,” “will,” “should,” “expects,” “plans,” “anticipates,” “believes,” “estimates,” “predicts,” “potential,” “continue” or “intend,” by the negative of these terms or other comparable terminology or by discussions of strategy, plans or intentions. These forward-looking statements, including all of the statements made under “Business Outlook” above, include risks, uncertainties, assumptions and other factors that could affect future results and cause actual results and events to differ materially from those anticipated in such forward-looking statements, including, but not limited to, the following:</w:t>
      </w:r>
    </w:p>
    <w:p>
      <w:pPr>
        <w:spacing w:after="0" w:line="100" w:lineRule="exact"/>
        <w:rPr>
          <w:sz w:val="20"/>
          <w:szCs w:val="20"/>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health conditions or pandemics, such as COVID-19, impacting labor availability and operating capacity, capital availability, the supply chain and consumer demand for our customers’ products and services;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the highly cyclical, volatile semiconductor industry;</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costs, quality, availability and delivery times of raw materials, components and equipment, including any disruption in the supply of certain materials due to regulations and customer requirements, as well as supply constraints, production delays, fluctuations in commodity prices and wage inflation;</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industry downturns and declines in global economic and financial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international factories and operations and risks relating to our customers’ and vendors’ international operations;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 in demand for semiconductors and conditions in the semiconductor industry generally, as well as by specific customers, such as inventory reductions by our customers impacting demand in key markets;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investments in equipment and facilities to support the demand of our customers;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capacity and capacity utilization rates and fluctuations in our manufacturing yields;</w:t>
      </w:r>
    </w:p>
    <w:p>
      <w:pPr>
        <w:spacing w:after="0" w:line="117"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with established competitors in the packaging and test business, the internal capabilities of integrated device manufacturers and new competitors, including foundries;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substantial indebtedness and restrictive covenants in the indentures and agreements governing our current and future indebtedness;</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development, transition and ramp to high volume manufacture of more advanced silicon nodes and evolving wafer, packaging and test services technologies, which may cause production delays, lower manufacturing yields and supply constraints for new wafers and other materials;</w:t>
      </w:r>
    </w:p>
    <w:p>
      <w:pPr>
        <w:spacing w:after="0" w:line="93"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9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key customers or concentration of customers in certain end markets, such as Communications and Automotive and Industrial;</w:t>
      </w:r>
    </w:p>
    <w:p>
      <w:pPr>
        <w:spacing w:after="0" w:line="89"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rules, regulations and policies imposed by U.S. or other governments, such as tariffs, customs, duties and other restrictive trade barriers and national security, data privacy and cybersecurity, antitrust and competition, tax, currency and banking, labor, environmental, health and safety laws;</w:t>
      </w:r>
    </w:p>
    <w:p>
      <w:pPr>
        <w:spacing w:after="0" w:line="9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 particularly the dollar/yen exchange rate for our operations in Japan;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decisions by our integrated device manufacturer and foundry customers to curtail outsourcing;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difficulty achieving high capacity utilization rates due to high percentage of 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historical downward pressure on the prices of our packaging and test services;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warranty claims, product return and liability risks, and the risk of negative publicity if our products fail, as well as the risk of litigation incident to our business;</w:t>
      </w:r>
    </w:p>
    <w:p>
      <w:pPr>
        <w:sectPr>
          <w:pgSz w:w="11900" w:h="16838" w:orient="portrait"/>
          <w:cols w:equalWidth="0" w:num="1">
            <w:col w:w="11240"/>
          </w:cols>
          <w:pgMar w:left="320" w:top="886" w:right="339" w:bottom="1440" w:gutter="0" w:footer="0" w:header="0"/>
        </w:sectPr>
      </w:pPr>
    </w:p>
    <w:bookmarkStart w:id="13" w:name="page14"/>
    <w:bookmarkEnd w:id="13"/>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possibility that we may decrease or suspend our quarterly dividend;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funding our liquidity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significant severance plan obligations associated with our manufacturing operations in Korea;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an effective system of internal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difficulty attracting, retaining or replacing qualified personnel;</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continuing development and implementation of changes to, and maintenance and security of, our information technology systems;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challenges with integrating diverse operations;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changes in tax laws, taxing authorities not agreeing with our interpretation of applicable tax laws, including whether we continue to qualify for tax holidays, or any requirements to establish or adjust valuation allowances on deferred tax assets;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develop new proprietary technology, protect our proprietary technology, operate without infringing the proprietary rights of others and implement new technologies;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natural disasters and other calamities, political instability, hostilities or other disruptions; and</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certain of our stockholders to effectively determine or substantially influence the outcome of matters requiring stockholder approval.</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Other important risk factors that could affect the outcome of the events set forth in these statements and that could affect our operating results and financial condition are discussed in the company’s Annual Report on Form 10-K for the year ended December 31, 2020 (the “Form 10-K”) and in the company’s subsequent filings with the Securities and Exchange Commission (“SEC”) made prior to or after the date hereof. Because such statements include risks and uncertainties, actual results may differ materially from those anticipated in such forward-looking statements as a result of various factors, including those set forth in the Form 10-K and from time to time in our other reports filed with or furnished to the SEC. You should carefully consider the trends, risks and uncertainties described in this press release, the Form 10-K and other reports filed with or furnished to the SEC before making any investment decision with respect to our securities. If any of the following trends, risks or uncertainties actually occurs or continues, our business, financial condition or operating results could be materially adversely affected, the trading prices of our securities could decline, and you could lose part or all of your investment. All forward-looking statements in this press release are made based on our current expectations, forecasts, estimates and assumptions. Amkor undertakes no obligation to review or update any forward-looking statements to reflect events or circumstances occurring after the date of this press release except as may be required by law. All forward-looking statements attributable to us or persons acting on our behalf are expressly qualified in their entirety by this cautionary statement.</w:t>
      </w:r>
    </w:p>
    <w:sectPr>
      <w:pgSz w:w="11900" w:h="16838" w:orient="portrait"/>
      <w:cols w:equalWidth="0" w:num="1">
        <w:col w:w="11240"/>
      </w:cols>
      <w:pgMar w:left="320" w:top="10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2022-02-14T15:29:22Z</dcterms:created>
  <dcterms:modified xsi:type="dcterms:W3CDTF">2022-02-14T15:29:22Z</dcterms:modified>
</cp:coreProperties>
</file>