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517"/>
        <w:gridCol w:w="1473"/>
        <w:gridCol w:w="1473"/>
        <w:gridCol w:w="1511"/>
        <w:gridCol w:w="1473"/>
        <w:gridCol w:w="2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000-29472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 xml:space="preserve">AMKOR TECHNOLOGY, INC.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475" w:type="dxa"/>
        <w:jc w:val="left"/>
        <w:tblInd w:w="0" w:type="dxa"/>
        <w:tblLayout w:type="fixed"/>
        <w:tblCellMar>
          <w:top w:w="28" w:type="dxa"/>
          <w:left w:w="28" w:type="dxa"/>
          <w:bottom w:w="28" w:type="dxa"/>
          <w:right w:w="28" w:type="dxa"/>
        </w:tblCellMar>
      </w:tblPr>
      <w:tblGrid>
        <w:gridCol w:w="640"/>
        <w:gridCol w:w="561"/>
        <w:gridCol w:w="568"/>
        <w:gridCol w:w="109"/>
        <w:gridCol w:w="109"/>
        <w:gridCol w:w="109"/>
        <w:gridCol w:w="109"/>
        <w:gridCol w:w="109"/>
        <w:gridCol w:w="109"/>
        <w:gridCol w:w="109"/>
        <w:gridCol w:w="109"/>
        <w:gridCol w:w="109"/>
        <w:gridCol w:w="504"/>
        <w:gridCol w:w="504"/>
        <w:gridCol w:w="717"/>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23-1722724</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2045 East Innovation Circle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Tempe, AZ 85284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and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(480) 821-5000 </w:t>
      </w:r>
    </w:p>
    <w:p>
      <w:pPr>
        <w:pStyle w:val="TextBody"/>
        <w:bidi w:val="0"/>
        <w:spacing w:lineRule="auto" w:line="288" w:before="6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8352" w:type="dxa"/>
        <w:jc w:val="center"/>
        <w:tblInd w:w="0" w:type="dxa"/>
        <w:tblLayout w:type="fixed"/>
        <w:tblCellMar>
          <w:top w:w="28" w:type="dxa"/>
          <w:left w:w="28" w:type="dxa"/>
          <w:bottom w:w="28" w:type="dxa"/>
          <w:right w:w="28" w:type="dxa"/>
        </w:tblCellMar>
      </w:tblPr>
      <w:tblGrid>
        <w:gridCol w:w="1028"/>
        <w:gridCol w:w="898"/>
        <w:gridCol w:w="908"/>
        <w:gridCol w:w="499"/>
        <w:gridCol w:w="499"/>
        <w:gridCol w:w="501"/>
        <w:gridCol w:w="1174"/>
        <w:gridCol w:w="1174"/>
        <w:gridCol w:w="1671"/>
      </w:tblGrid>
      <w:tr>
        <w:trPr/>
        <w:tc>
          <w:tcPr>
            <w:tcW w:w="10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AMKR</w:t>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441"/>
        <w:gridCol w:w="441"/>
        <w:gridCol w:w="443"/>
        <w:gridCol w:w="109"/>
        <w:gridCol w:w="109"/>
        <w:gridCol w:w="109"/>
        <w:gridCol w:w="571"/>
        <w:gridCol w:w="571"/>
        <w:gridCol w:w="573"/>
        <w:gridCol w:w="109"/>
        <w:gridCol w:w="109"/>
        <w:gridCol w:w="109"/>
        <w:gridCol w:w="637"/>
        <w:gridCol w:w="637"/>
        <w:gridCol w:w="639"/>
        <w:gridCol w:w="109"/>
        <w:gridCol w:w="109"/>
        <w:gridCol w:w="109"/>
        <w:gridCol w:w="637"/>
        <w:gridCol w:w="637"/>
        <w:gridCol w:w="639"/>
        <w:gridCol w:w="109"/>
        <w:gridCol w:w="109"/>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shares of the registrant’s Common Stock as of October 26, 2023 was 245,768,114.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0"/>
        <w:gridCol w:w="237"/>
        <w:gridCol w:w="237"/>
        <w:gridCol w:w="2797"/>
        <w:gridCol w:w="2754"/>
        <w:gridCol w:w="2764"/>
        <w:gridCol w:w="322"/>
        <w:gridCol w:w="322"/>
        <w:gridCol w:w="482"/>
      </w:tblGrid>
      <w:tr>
        <w:trPr/>
        <w:tc>
          <w:tcPr>
            <w:tcW w:w="2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2da02a6f51d4064b7ab591631df86ea_10">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3">
              <w:r>
                <w:rPr>
                  <w:rStyle w:val="InternetLink"/>
                  <w:rFonts w:ascii="Times New Roman;sans-serif" w:hAnsi="Times New Roman;sans-serif"/>
                  <w:b w:val="false"/>
                  <w:strike w:val="false"/>
                  <w:dstrike w:val="false"/>
                  <w:color w:val="000000"/>
                  <w:sz w:val="20"/>
                  <w:u w:val="none"/>
                  <w:effect w:val="none"/>
                </w:rPr>
                <w:t>Item 1.</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3">
              <w:r>
                <w:rPr>
                  <w:rStyle w:val="InternetLink"/>
                  <w:rFonts w:ascii="Times New Roman;sans-serif" w:hAnsi="Times New Roman;sans-serif"/>
                  <w:b w:val="false"/>
                  <w:strike w:val="false"/>
                  <w:dstrike w:val="false"/>
                  <w:color w:val="000000"/>
                  <w:sz w:val="20"/>
                  <w:u w:val="none"/>
                  <w:effect w:val="none"/>
                </w:rPr>
                <w:t>Financial Statements (unaudited)</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3">
              <w:r>
                <w:rPr>
                  <w:rStyle w:val="InternetLink"/>
                  <w:rFonts w:ascii="Times New Roman;sans-serif" w:hAnsi="Times New Roman;sans-serif"/>
                  <w:b w:val="false"/>
                  <w:strike w:val="false"/>
                  <w:dstrike w:val="false"/>
                  <w:color w:val="000000"/>
                  <w:sz w:val="20"/>
                  <w:u w:val="none"/>
                  <w:effect w:val="none"/>
                </w:rPr>
                <w:t>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6">
              <w:r>
                <w:rPr>
                  <w:rStyle w:val="InternetLink"/>
                  <w:rFonts w:ascii="Times New Roman;sans-serif" w:hAnsi="Times New Roman;sans-serif"/>
                  <w:b w:val="false"/>
                  <w:strike w:val="false"/>
                  <w:dstrike w:val="false"/>
                  <w:color w:val="000000"/>
                  <w:sz w:val="20"/>
                  <w:u w:val="none"/>
                  <w:effect w:val="none"/>
                </w:rPr>
                <w:t xml:space="preserve">Consolidated Statements of Income - </w:t>
              </w:r>
            </w:hyperlink>
            <w:r>
              <w:rPr>
                <w:rFonts w:ascii="Times New Roman;sans-serif" w:hAnsi="Times New Roman;sans-serif"/>
                <w:b w:val="false"/>
                <w:color w:val="000000"/>
                <w:sz w:val="20"/>
              </w:rPr>
              <w:t>Three and Nine Months Ended September 30, 2023</w:t>
            </w:r>
            <w:hyperlink w:anchor="i82da02a6f51d4064b7ab591631df86ea_16">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6">
              <w:r>
                <w:rPr>
                  <w:rStyle w:val="InternetLink"/>
                  <w:rFonts w:ascii="Times New Roman;sans-serif" w:hAnsi="Times New Roman;sans-serif"/>
                  <w:b w:val="false"/>
                  <w:strike w:val="false"/>
                  <w:dstrike w:val="false"/>
                  <w:color w:val="000000"/>
                  <w:sz w:val="20"/>
                  <w:u w:val="none"/>
                  <w:effect w:val="none"/>
                </w:rPr>
                <w:t>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2da02a6f51d4064b7ab591631df86ea_19">
              <w:r>
                <w:rPr>
                  <w:rStyle w:val="InternetLink"/>
                  <w:rFonts w:ascii="Times New Roman;sans-serif" w:hAnsi="Times New Roman;sans-serif"/>
                  <w:b w:val="false"/>
                  <w:strike w:val="false"/>
                  <w:dstrike w:val="false"/>
                  <w:color w:val="000000"/>
                  <w:sz w:val="20"/>
                  <w:u w:val="none"/>
                  <w:effect w:val="none"/>
                </w:rPr>
                <w:t xml:space="preserve">Consolidated Statements of Comprehensive Income - </w:t>
              </w:r>
            </w:hyperlink>
            <w:r>
              <w:rPr>
                <w:rFonts w:ascii="Times New Roman;sans-serif" w:hAnsi="Times New Roman;sans-serif"/>
                <w:b w:val="false"/>
                <w:color w:val="000000"/>
                <w:sz w:val="20"/>
              </w:rPr>
              <w:t>Three and Nine Months Ended September 30, 2023</w:t>
            </w:r>
            <w:hyperlink w:anchor="i82da02a6f51d4064b7ab591631df86ea_16">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9">
              <w:r>
                <w:rPr>
                  <w:rStyle w:val="InternetLink"/>
                  <w:rFonts w:ascii="Times New Roman;sans-serif" w:hAnsi="Times New Roman;sans-serif"/>
                  <w:b w:val="false"/>
                  <w:strike w:val="false"/>
                  <w:dstrike w:val="false"/>
                  <w:color w:val="000000"/>
                  <w:sz w:val="20"/>
                  <w:u w:val="none"/>
                  <w:effect w:val="none"/>
                </w:rPr>
                <w:t>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22">
              <w:r>
                <w:rPr>
                  <w:rStyle w:val="InternetLink"/>
                  <w:rFonts w:ascii="Times New Roman;sans-serif" w:hAnsi="Times New Roman;sans-serif"/>
                  <w:b w:val="false"/>
                  <w:strike w:val="false"/>
                  <w:dstrike w:val="false"/>
                  <w:color w:val="000000"/>
                  <w:sz w:val="20"/>
                  <w:u w:val="none"/>
                  <w:effect w:val="none"/>
                </w:rPr>
                <w:t xml:space="preserve">Consolidated Balance Sheets - </w:t>
              </w:r>
            </w:hyperlink>
            <w:r>
              <w:rPr>
                <w:rFonts w:ascii="Times New Roman;sans-serif" w:hAnsi="Times New Roman;sans-serif"/>
                <w:b w:val="false"/>
                <w:color w:val="000000"/>
                <w:sz w:val="20"/>
              </w:rPr>
              <w:t>September 30, 2023</w:t>
            </w:r>
            <w:hyperlink w:anchor="i82da02a6f51d4064b7ab591631df86ea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2022</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22">
              <w:r>
                <w:rPr>
                  <w:rStyle w:val="InternetLink"/>
                  <w:rFonts w:ascii="Times New Roman;sans-serif" w:hAnsi="Times New Roman;sans-serif"/>
                  <w:b w:val="false"/>
                  <w:strike w:val="false"/>
                  <w:dstrike w:val="false"/>
                  <w:color w:val="000000"/>
                  <w:sz w:val="20"/>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2da02a6f51d4064b7ab591631df86ea_25">
              <w:r>
                <w:rPr>
                  <w:rStyle w:val="InternetLink"/>
                  <w:rFonts w:ascii="Times New Roman;sans-serif" w:hAnsi="Times New Roman;sans-serif"/>
                  <w:b w:val="false"/>
                  <w:strike w:val="false"/>
                  <w:dstrike w:val="false"/>
                  <w:color w:val="000000"/>
                  <w:sz w:val="20"/>
                  <w:u w:val="none"/>
                  <w:effect w:val="none"/>
                </w:rPr>
                <w:t xml:space="preserve">Consolidated Statements of Stockholders’ Equity - </w:t>
              </w:r>
            </w:hyperlink>
            <w:r>
              <w:rPr>
                <w:rFonts w:ascii="Times New Roman;sans-serif" w:hAnsi="Times New Roman;sans-serif"/>
                <w:b w:val="false"/>
                <w:color w:val="000000"/>
                <w:sz w:val="20"/>
              </w:rPr>
              <w:t>Three and Nine Months Ended September 30, 2023</w:t>
            </w:r>
            <w:hyperlink w:anchor="i82da02a6f51d4064b7ab591631df86ea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25">
              <w:r>
                <w:rPr>
                  <w:rStyle w:val="InternetLink"/>
                  <w:rFonts w:ascii="Times New Roman;sans-serif" w:hAnsi="Times New Roman;sans-serif"/>
                  <w:b w:val="false"/>
                  <w:strike w:val="false"/>
                  <w:dstrike w:val="false"/>
                  <w:color w:val="000000"/>
                  <w:sz w:val="20"/>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2da02a6f51d4064b7ab591631df86ea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 </w:t>
              </w:r>
            </w:hyperlink>
            <w:r>
              <w:rPr>
                <w:rFonts w:ascii="Times New Roman;sans-serif" w:hAnsi="Times New Roman;sans-serif"/>
                <w:b w:val="false"/>
                <w:color w:val="000000"/>
                <w:sz w:val="20"/>
              </w:rPr>
              <w:t>Nine Months Ended September 30, 2023</w:t>
            </w:r>
            <w:hyperlink w:anchor="i82da02a6f51d4064b7ab591631df86ea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28">
              <w:r>
                <w:rPr>
                  <w:rStyle w:val="InternetLink"/>
                  <w:rFonts w:ascii="Times New Roman;sans-serif" w:hAnsi="Times New Roman;sans-serif"/>
                  <w:b w:val="false"/>
                  <w:strike w:val="false"/>
                  <w:dstrike w:val="false"/>
                  <w:color w:val="000000"/>
                  <w:sz w:val="20"/>
                  <w:u w:val="none"/>
                  <w:effect w:val="none"/>
                </w:rPr>
                <w:t>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31">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31">
              <w:r>
                <w:rPr>
                  <w:rStyle w:val="InternetLink"/>
                  <w:rFonts w:ascii="Times New Roman;sans-serif" w:hAnsi="Times New Roman;sans-serif"/>
                  <w:b w:val="false"/>
                  <w:strike w:val="false"/>
                  <w:dstrike w:val="false"/>
                  <w:color w:val="000000"/>
                  <w:sz w:val="20"/>
                  <w:u w:val="none"/>
                  <w:effect w:val="none"/>
                </w:rPr>
                <w:t>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82">
              <w:r>
                <w:rPr>
                  <w:rStyle w:val="InternetLink"/>
                  <w:rFonts w:ascii="Times New Roman;sans-serif" w:hAnsi="Times New Roman;sans-serif"/>
                  <w:b w:val="false"/>
                  <w:strike w:val="false"/>
                  <w:dstrike w:val="false"/>
                  <w:color w:val="000000"/>
                  <w:sz w:val="20"/>
                  <w:u w:val="none"/>
                  <w:effect w:val="none"/>
                </w:rPr>
                <w:t>Item 2.</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82">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82">
              <w:r>
                <w:rPr>
                  <w:rStyle w:val="InternetLink"/>
                  <w:rFonts w:ascii="Times New Roman;sans-serif" w:hAnsi="Times New Roman;sans-serif"/>
                  <w:b w:val="false"/>
                  <w:strike w:val="false"/>
                  <w:dstrike w:val="false"/>
                  <w:color w:val="000000"/>
                  <w:sz w:val="20"/>
                  <w:u w:val="none"/>
                  <w:effect w:val="none"/>
                </w:rPr>
                <w:t>21</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97">
              <w:r>
                <w:rPr>
                  <w:rStyle w:val="InternetLink"/>
                  <w:rFonts w:ascii="Times New Roman;sans-serif" w:hAnsi="Times New Roman;sans-serif"/>
                  <w:b w:val="false"/>
                  <w:strike w:val="false"/>
                  <w:dstrike w:val="false"/>
                  <w:color w:val="000000"/>
                  <w:sz w:val="20"/>
                  <w:u w:val="none"/>
                  <w:effect w:val="none"/>
                </w:rPr>
                <w:t>Item 3.</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97">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97">
              <w:r>
                <w:rPr>
                  <w:rStyle w:val="InternetLink"/>
                  <w:rFonts w:ascii="Times New Roman;sans-serif" w:hAnsi="Times New Roman;sans-serif"/>
                  <w:b w:val="false"/>
                  <w:strike w:val="false"/>
                  <w:dstrike w:val="false"/>
                  <w:color w:val="000000"/>
                  <w:sz w:val="20"/>
                  <w:u w:val="none"/>
                  <w:effect w:val="none"/>
                </w:rPr>
                <w:t>28</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00">
              <w:r>
                <w:rPr>
                  <w:rStyle w:val="InternetLink"/>
                  <w:rFonts w:ascii="Times New Roman;sans-serif" w:hAnsi="Times New Roman;sans-serif"/>
                  <w:b w:val="false"/>
                  <w:strike w:val="false"/>
                  <w:dstrike w:val="false"/>
                  <w:color w:val="000000"/>
                  <w:sz w:val="20"/>
                  <w:u w:val="none"/>
                  <w:effect w:val="none"/>
                </w:rPr>
                <w:t>Item 4.</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00">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00">
              <w:r>
                <w:rPr>
                  <w:rStyle w:val="InternetLink"/>
                  <w:rFonts w:ascii="Times New Roman;sans-serif" w:hAnsi="Times New Roman;sans-serif"/>
                  <w:b w:val="false"/>
                  <w:strike w:val="false"/>
                  <w:dstrike w:val="false"/>
                  <w:color w:val="000000"/>
                  <w:sz w:val="20"/>
                  <w:u w:val="none"/>
                  <w:effect w:val="none"/>
                </w:rPr>
                <w:t>29</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2da02a6f51d4064b7ab591631df86ea_103">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06">
              <w:r>
                <w:rPr>
                  <w:rStyle w:val="InternetLink"/>
                  <w:rFonts w:ascii="Times New Roman;sans-serif" w:hAnsi="Times New Roman;sans-serif"/>
                  <w:b w:val="false"/>
                  <w:strike w:val="false"/>
                  <w:dstrike w:val="false"/>
                  <w:color w:val="000000"/>
                  <w:sz w:val="20"/>
                  <w:u w:val="none"/>
                  <w:effect w:val="none"/>
                </w:rPr>
                <w:t>Item 1.</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06">
              <w:r>
                <w:rPr>
                  <w:rStyle w:val="InternetLink"/>
                  <w:rFonts w:ascii="Times New Roman;sans-serif" w:hAnsi="Times New Roman;sans-serif"/>
                  <w:b w:val="false"/>
                  <w:strike w:val="false"/>
                  <w:dstrike w:val="false"/>
                  <w:color w:val="000000"/>
                  <w:sz w:val="20"/>
                  <w:u w:val="none"/>
                  <w:effect w:val="none"/>
                </w:rPr>
                <w:t>Legal Proceedings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06">
              <w:r>
                <w:rPr>
                  <w:rStyle w:val="InternetLink"/>
                  <w:rFonts w:ascii="Times New Roman;sans-serif" w:hAnsi="Times New Roman;sans-serif"/>
                  <w:b w:val="false"/>
                  <w:strike w:val="false"/>
                  <w:dstrike w:val="false"/>
                  <w:color w:val="000000"/>
                  <w:sz w:val="20"/>
                  <w:u w:val="none"/>
                  <w:effect w:val="none"/>
                </w:rPr>
                <w:t>31</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09">
              <w:r>
                <w:rPr>
                  <w:rStyle w:val="InternetLink"/>
                  <w:rFonts w:ascii="Times New Roman;sans-serif" w:hAnsi="Times New Roman;sans-serif"/>
                  <w:b w:val="false"/>
                  <w:strike w:val="false"/>
                  <w:dstrike w:val="false"/>
                  <w:color w:val="000000"/>
                  <w:sz w:val="20"/>
                  <w:u w:val="none"/>
                  <w:effect w:val="none"/>
                </w:rPr>
                <w:t>Item 1A.</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09">
              <w:r>
                <w:rPr>
                  <w:rStyle w:val="InternetLink"/>
                  <w:rFonts w:ascii="Times New Roman;sans-serif" w:hAnsi="Times New Roman;sans-serif"/>
                  <w:b w:val="false"/>
                  <w:strike w:val="false"/>
                  <w:dstrike w:val="false"/>
                  <w:color w:val="000000"/>
                  <w:sz w:val="20"/>
                  <w:u w:val="none"/>
                  <w:effect w:val="none"/>
                </w:rPr>
                <w:t>Risk Factors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09">
              <w:r>
                <w:rPr>
                  <w:rStyle w:val="InternetLink"/>
                  <w:rFonts w:ascii="Times New Roman;sans-serif" w:hAnsi="Times New Roman;sans-serif"/>
                  <w:b w:val="false"/>
                  <w:strike w:val="false"/>
                  <w:dstrike w:val="false"/>
                  <w:color w:val="000000"/>
                  <w:sz w:val="20"/>
                  <w:u w:val="none"/>
                  <w:effect w:val="none"/>
                </w:rPr>
                <w:t>31</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12">
              <w:r>
                <w:rPr>
                  <w:rStyle w:val="InternetLink"/>
                  <w:rFonts w:ascii="Times New Roman;sans-serif" w:hAnsi="Times New Roman;sans-serif"/>
                  <w:b w:val="false"/>
                  <w:strike w:val="false"/>
                  <w:dstrike w:val="false"/>
                  <w:color w:val="000000"/>
                  <w:sz w:val="20"/>
                  <w:u w:val="none"/>
                  <w:effect w:val="none"/>
                </w:rPr>
                <w:t>Item 2.</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12">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12">
              <w:r>
                <w:rPr>
                  <w:rStyle w:val="InternetLink"/>
                  <w:rFonts w:ascii="Times New Roman;sans-serif" w:hAnsi="Times New Roman;sans-serif"/>
                  <w:b w:val="false"/>
                  <w:strike w:val="false"/>
                  <w:dstrike w:val="false"/>
                  <w:color w:val="000000"/>
                  <w:sz w:val="20"/>
                  <w:u w:val="none"/>
                  <w:effect w:val="none"/>
                </w:rPr>
                <w:t>49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15">
              <w:r>
                <w:rPr>
                  <w:rStyle w:val="InternetLink"/>
                  <w:rFonts w:ascii="Times New Roman;sans-serif" w:hAnsi="Times New Roman;sans-serif"/>
                  <w:b w:val="false"/>
                  <w:strike w:val="false"/>
                  <w:dstrike w:val="false"/>
                  <w:color w:val="000000"/>
                  <w:sz w:val="20"/>
                  <w:u w:val="none"/>
                  <w:effect w:val="none"/>
                </w:rPr>
                <w:t>Item 3.</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15">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15">
              <w:r>
                <w:rPr>
                  <w:rStyle w:val="InternetLink"/>
                  <w:rFonts w:ascii="Times New Roman;sans-serif" w:hAnsi="Times New Roman;sans-serif"/>
                  <w:b w:val="false"/>
                  <w:strike w:val="false"/>
                  <w:dstrike w:val="false"/>
                  <w:color w:val="000000"/>
                  <w:sz w:val="20"/>
                  <w:u w:val="none"/>
                  <w:effect w:val="none"/>
                </w:rPr>
                <w:t>49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18">
              <w:r>
                <w:rPr>
                  <w:rStyle w:val="InternetLink"/>
                  <w:rFonts w:ascii="Times New Roman;sans-serif" w:hAnsi="Times New Roman;sans-serif"/>
                  <w:b w:val="false"/>
                  <w:strike w:val="false"/>
                  <w:dstrike w:val="false"/>
                  <w:color w:val="000000"/>
                  <w:sz w:val="20"/>
                  <w:u w:val="none"/>
                  <w:effect w:val="none"/>
                </w:rPr>
                <w:t>Item 4.</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1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18">
              <w:r>
                <w:rPr>
                  <w:rStyle w:val="InternetLink"/>
                  <w:rFonts w:ascii="Times New Roman;sans-serif" w:hAnsi="Times New Roman;sans-serif"/>
                  <w:b w:val="false"/>
                  <w:strike w:val="false"/>
                  <w:dstrike w:val="false"/>
                  <w:color w:val="000000"/>
                  <w:sz w:val="20"/>
                  <w:u w:val="none"/>
                  <w:effect w:val="none"/>
                </w:rPr>
                <w:t>49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21">
              <w:r>
                <w:rPr>
                  <w:rStyle w:val="InternetLink"/>
                  <w:rFonts w:ascii="Times New Roman;sans-serif" w:hAnsi="Times New Roman;sans-serif"/>
                  <w:b w:val="false"/>
                  <w:strike w:val="false"/>
                  <w:dstrike w:val="false"/>
                  <w:color w:val="000000"/>
                  <w:sz w:val="20"/>
                  <w:u w:val="none"/>
                  <w:effect w:val="none"/>
                </w:rPr>
                <w:t>Item 5.</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21">
              <w:r>
                <w:rPr>
                  <w:rStyle w:val="InternetLink"/>
                  <w:rFonts w:ascii="Times New Roman;sans-serif" w:hAnsi="Times New Roman;sans-serif"/>
                  <w:b w:val="false"/>
                  <w:strike w:val="false"/>
                  <w:dstrike w:val="false"/>
                  <w:color w:val="000000"/>
                  <w:sz w:val="20"/>
                  <w:u w:val="none"/>
                  <w:effect w:val="none"/>
                </w:rPr>
                <w:t>Other Information</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21">
              <w:r>
                <w:rPr>
                  <w:rStyle w:val="InternetLink"/>
                  <w:rFonts w:ascii="Times New Roman;sans-serif" w:hAnsi="Times New Roman;sans-serif"/>
                  <w:b w:val="false"/>
                  <w:strike w:val="false"/>
                  <w:dstrike w:val="false"/>
                  <w:color w:val="000000"/>
                  <w:sz w:val="20"/>
                  <w:u w:val="none"/>
                  <w:effect w:val="none"/>
                </w:rPr>
                <w:t>49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24">
              <w:r>
                <w:rPr>
                  <w:rStyle w:val="InternetLink"/>
                  <w:rFonts w:ascii="Times New Roman;sans-serif" w:hAnsi="Times New Roman;sans-serif"/>
                  <w:b w:val="false"/>
                  <w:strike w:val="false"/>
                  <w:dstrike w:val="false"/>
                  <w:color w:val="000000"/>
                  <w:sz w:val="20"/>
                  <w:u w:val="none"/>
                  <w:effect w:val="none"/>
                </w:rPr>
                <w:t>Item 6.</w:t>
              </w:r>
            </w:hyperlink>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24">
              <w:r>
                <w:rPr>
                  <w:rStyle w:val="InternetLink"/>
                  <w:rFonts w:ascii="Times New Roman;sans-serif" w:hAnsi="Times New Roman;sans-serif"/>
                  <w:b w:val="false"/>
                  <w:strike w:val="false"/>
                  <w:dstrike w:val="false"/>
                  <w:color w:val="000000"/>
                  <w:sz w:val="20"/>
                  <w:u w:val="none"/>
                  <w:effect w:val="none"/>
                </w:rPr>
                <w:t>Exhibits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24">
              <w:r>
                <w:rPr>
                  <w:rStyle w:val="InternetLink"/>
                  <w:rFonts w:ascii="Times New Roman;sans-serif" w:hAnsi="Times New Roman;sans-serif"/>
                  <w:b w:val="false"/>
                  <w:strike w:val="false"/>
                  <w:dstrike w:val="false"/>
                  <w:color w:val="000000"/>
                  <w:sz w:val="20"/>
                  <w:u w:val="none"/>
                  <w:effect w:val="none"/>
                </w:rPr>
                <w:t>50</w:t>
              </w:r>
            </w:hyperlink>
          </w:p>
        </w:tc>
      </w:tr>
      <w:tr>
        <w:trPr/>
        <w:tc>
          <w:tcPr>
            <w:tcW w:w="90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da02a6f51d4064b7ab591631df86ea_127">
              <w:r>
                <w:rPr>
                  <w:rStyle w:val="InternetLink"/>
                  <w:rFonts w:ascii="Times New Roman;sans-serif" w:hAnsi="Times New Roman;sans-serif"/>
                  <w:b w:val="false"/>
                  <w:strike w:val="false"/>
                  <w:dstrike w:val="false"/>
                  <w:color w:val="000000"/>
                  <w:sz w:val="20"/>
                  <w:u w:val="none"/>
                  <w:effect w:val="none"/>
                </w:rPr>
                <w:t>Signatures</w:t>
              </w:r>
            </w:hyperlink>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da02a6f51d4064b7ab591631df86ea_127">
              <w:r>
                <w:rPr>
                  <w:rStyle w:val="InternetLink"/>
                  <w:rFonts w:ascii="Times New Roman;sans-serif" w:hAnsi="Times New Roman;sans-serif"/>
                  <w:b w:val="false"/>
                  <w:strike w:val="false"/>
                  <w:dstrike w:val="false"/>
                  <w:color w:val="000000"/>
                  <w:sz w:val="20"/>
                  <w:u w:val="none"/>
                  <w:effect w:val="none"/>
                </w:rPr>
                <w:t>51</w:t>
              </w:r>
            </w:hyperlink>
          </w:p>
        </w:tc>
      </w:tr>
    </w:tbl>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(this “Form 10-Q”) contains forward-looking statements within the meaning of the federal securities laws, including, but not limited to, statements regarding (1) the amount, timing and focus of our expected capital investments in 2023, (2) our ability to fund our operating activities and financial requirements for the next twelve months, (3) the effect of changes in revenue levels and capacity utilization on our gross margin, (4) the impact of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in Bac Ninh, Vietnam (the “Vietnam Facility”) and (22) other statements that are not historical facts. You are cautioned not to place undue reliance on forward-looking statements, which are often characterized by terminology such as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180"/>
        <w:jc w:val="both"/>
        <w:rPr>
          <w:color w:val="000000"/>
        </w:rPr>
      </w:pPr>
      <w:r>
        <w:rPr>
          <w:color w:val="000000"/>
        </w:rPr>
        <w:t>“</w:t>
      </w:r>
      <w:r>
        <w:rPr>
          <w:rFonts w:ascii="Times New Roman;sans-serif" w:hAnsi="Times New Roman;sans-serif"/>
          <w:b w:val="false"/>
          <w:color w:val="000000"/>
          <w:sz w:val="20"/>
        </w:rPr>
        <w:t xml:space="preserve">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2022 (the “2022 Form 10-K”) and from time to time in our other reports filed with or furnished to the Securities and Exchange Commission (“SEC”). You should carefully consider the trends, risks and uncertainties described in this Form 10-Q, the 2022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w:t>
      </w:r>
      <w:r>
        <w:rPr>
          <w:rFonts w:ascii="Times New Roman;sans-serif" w:hAnsi="Times New Roman;sans-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51"/>
        <w:gridCol w:w="1003"/>
        <w:gridCol w:w="1018"/>
        <w:gridCol w:w="228"/>
        <w:gridCol w:w="1057"/>
        <w:gridCol w:w="118"/>
        <w:gridCol w:w="118"/>
        <w:gridCol w:w="118"/>
        <w:gridCol w:w="118"/>
        <w:gridCol w:w="228"/>
        <w:gridCol w:w="1057"/>
        <w:gridCol w:w="118"/>
        <w:gridCol w:w="109"/>
        <w:gridCol w:w="109"/>
        <w:gridCol w:w="109"/>
        <w:gridCol w:w="223"/>
        <w:gridCol w:w="1035"/>
        <w:gridCol w:w="115"/>
        <w:gridCol w:w="115"/>
        <w:gridCol w:w="115"/>
        <w:gridCol w:w="115"/>
        <w:gridCol w:w="223"/>
        <w:gridCol w:w="1035"/>
        <w:gridCol w:w="170"/>
      </w:tblGrid>
      <w:tr>
        <w:trPr/>
        <w:tc>
          <w:tcPr>
            <w:tcW w:w="155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4,751,254 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5,185,375 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4,087,210 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4,189,662 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213,774 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323,609 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 per common share:</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per common share amounts:</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17"/>
        <w:gridCol w:w="1247"/>
        <w:gridCol w:w="1259"/>
        <w:gridCol w:w="235"/>
        <w:gridCol w:w="922"/>
        <w:gridCol w:w="121"/>
        <w:gridCol w:w="121"/>
        <w:gridCol w:w="121"/>
        <w:gridCol w:w="121"/>
        <w:gridCol w:w="235"/>
        <w:gridCol w:w="922"/>
        <w:gridCol w:w="121"/>
        <w:gridCol w:w="109"/>
        <w:gridCol w:w="109"/>
        <w:gridCol w:w="109"/>
        <w:gridCol w:w="231"/>
        <w:gridCol w:w="908"/>
        <w:gridCol w:w="119"/>
        <w:gridCol w:w="119"/>
        <w:gridCol w:w="119"/>
        <w:gridCol w:w="119"/>
        <w:gridCol w:w="231"/>
        <w:gridCol w:w="908"/>
        <w:gridCol w:w="182"/>
      </w:tblGrid>
      <w:tr>
        <w:trPr/>
        <w:tc>
          <w:tcPr>
            <w:tcW w:w="15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603,154 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net unrealized gains (losses) on available-for-sale debt 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unrealized components of defined benefit pension plans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(33,561)</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569,593 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Amkor</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227,391 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567,961 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31"/>
        <w:gridCol w:w="2183"/>
        <w:gridCol w:w="2128"/>
        <w:gridCol w:w="228"/>
        <w:gridCol w:w="1058"/>
        <w:gridCol w:w="118"/>
        <w:gridCol w:w="109"/>
        <w:gridCol w:w="109"/>
        <w:gridCol w:w="109"/>
        <w:gridCol w:w="224"/>
        <w:gridCol w:w="1041"/>
        <w:gridCol w:w="167"/>
      </w:tblGrid>
      <w:tr>
        <w:trPr/>
        <w:tc>
          <w:tcPr>
            <w:tcW w:w="273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735,733 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959,072 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investments (amortized cost of $440,417 and $283,641 in 2023 and 2022, respectively)</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439,002 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281,964 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 of allowances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1,411,393 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1,365,504 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477,935 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629,576 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61,579 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3,125,642 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3,301,239 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3,321,467 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3,135,614 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Operating lease right of use assets </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129,515 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171,163 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21,517 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188,890 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6,734,849 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6,821,757 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LIABILITIES AND EQUITY</w:t>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borrowings and current portion of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149,890 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143,813 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827,854 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899,164 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 payable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233,603 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146,602 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operating lease liability</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70,991 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346,913 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401,841 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1,602,090 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1,662,411 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947,227 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1,088,521 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Pension and severance obligations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93,540 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59,004 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75,745 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liabilities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160,103 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201,839 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2,856,750 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3,122,056 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$0.001 par value, 10,000 shares authorized, designated Series A, none issued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$0.001 par value, 500,000 shares authorized; 292,033 and 291,249 shares issued; and 245,764 and 245,091 shares outstanding in 2023 and 2022, respectively</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2,005,026 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1,996,344 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2,061,596 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1,874,644 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income (loss)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at cost, 46,269 and 46,158 shares in 2023 and 2022, respectively</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(222,065)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(219,226)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Amkor stockholders’ equity</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3,846,688 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3,668,752 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 in subsidiaries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equity</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3,878,099 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3,699,701 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6,734,849 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6,821,757 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2916" w:type="dxa"/>
        <w:jc w:val="left"/>
        <w:tblInd w:w="0" w:type="dxa"/>
        <w:tblLayout w:type="fixed"/>
        <w:tblCellMar>
          <w:top w:w="28" w:type="dxa"/>
          <w:left w:w="28" w:type="dxa"/>
          <w:bottom w:w="28" w:type="dxa"/>
          <w:right w:w="28" w:type="dxa"/>
        </w:tblCellMar>
      </w:tblPr>
      <w:tblGrid>
        <w:gridCol w:w="639"/>
        <w:gridCol w:w="219"/>
        <w:gridCol w:w="193"/>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291,958 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(46,269)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3,762,859 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133,451 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($0.075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292,033 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(46,269)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3,878,099 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291,249 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3,699,701 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243,119 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(14,860)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($0.225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292,033 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2,005,026 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(46,269)</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(222,065)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3,846,688 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31,411 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3,878,099 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2916" w:type="dxa"/>
        <w:jc w:val="center"/>
        <w:tblInd w:w="0" w:type="dxa"/>
        <w:tblLayout w:type="fixed"/>
        <w:tblCellMar>
          <w:top w:w="28" w:type="dxa"/>
          <w:left w:w="28" w:type="dxa"/>
          <w:bottom w:w="28" w:type="dxa"/>
          <w:right w:w="28" w:type="dxa"/>
        </w:tblCellMar>
      </w:tblPr>
      <w:tblGrid>
        <w:gridCol w:w="639"/>
        <w:gridCol w:w="219"/>
        <w:gridCol w:w="193"/>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5"/>
        <w:gridCol w:w="602"/>
        <w:gridCol w:w="119"/>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3,196,295 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3,227,550 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306,457 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($0.05 per common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290,966 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1,991,045 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(13,583)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(46,155)</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3,487,346 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3,518,843 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290,466 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2,972,546 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603,154 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through surrender of shares for tax withholding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($0.15 per common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290,966 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1,991,045 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(13,583)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(46,155)</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3,487,346 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31,497 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3,518,843 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9864" w:type="dxa"/>
        <w:jc w:val="left"/>
        <w:tblInd w:w="0" w:type="dxa"/>
        <w:tblLayout w:type="fixed"/>
        <w:tblCellMar>
          <w:top w:w="28" w:type="dxa"/>
          <w:left w:w="28" w:type="dxa"/>
          <w:bottom w:w="28" w:type="dxa"/>
          <w:right w:w="28" w:type="dxa"/>
        </w:tblCellMar>
      </w:tblPr>
      <w:tblGrid>
        <w:gridCol w:w="2404"/>
        <w:gridCol w:w="2117"/>
        <w:gridCol w:w="2123"/>
        <w:gridCol w:w="255"/>
        <w:gridCol w:w="1000"/>
        <w:gridCol w:w="131"/>
        <w:gridCol w:w="131"/>
        <w:gridCol w:w="131"/>
        <w:gridCol w:w="131"/>
        <w:gridCol w:w="255"/>
        <w:gridCol w:w="1000"/>
        <w:gridCol w:w="186"/>
      </w:tblGrid>
      <w:tr>
        <w:trPr/>
        <w:tc>
          <w:tcPr>
            <w:tcW w:w="240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603,154 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 and non-cash items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(20,396)</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(492,673)</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696,187 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545,764 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property, plant and equipment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(575,502)</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foreign exchange forward contracts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foreign exchange forward contracts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(95,789)</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short-term investments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(364,274)</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investments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26,202 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274,452 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(696,897)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(723,216)</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revolving credit facilities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debt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29,711 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short-term debt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(21,662)</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(183,493)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finance lease obligations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(36,725)</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fluctuations on cash, cash equivalents and restricted cash</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831,521 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included in capital expenditures payable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acquired through finance lease liabilities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52,815 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acquired through operating lease liabilities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    Interim Financial Statements </w:t>
      </w:r>
    </w:p>
    <w:p>
      <w:pPr>
        <w:pStyle w:val="TextBody"/>
        <w:bidi w:val="0"/>
        <w:spacing w:lineRule="auto" w:line="288" w:before="0" w:after="180"/>
        <w:jc w:val="both"/>
        <w:rPr/>
      </w:pPr>
      <w:r>
        <w:rPr>
          <w:rFonts w:ascii="Times New Roman;sans-serif" w:hAnsi="Times New Roman;sans-serif"/>
          <w:b w:val="false"/>
          <w:i/>
          <w:color w:val="000000"/>
          <w:sz w:val="20"/>
        </w:rPr>
        <w:t xml:space="preserve">Basis of Presentation. </w:t>
      </w:r>
      <w:r>
        <w:rPr>
          <w:rFonts w:ascii="Times New Roman;sans-serif" w:hAnsi="Times New Roman;sans-serif"/>
          <w:b w:val="false"/>
          <w:color w:val="000000"/>
          <w:sz w:val="20"/>
        </w:rPr>
        <w:t xml:space="preserve">The Consolidated Financial Statements and related disclosures as of September 30, 2023, and for the three and nine months ended September 30, 2023 and 2022, contained in this Form 10-Q (the “Consolidated Financial Statements”) are unaudited pursuant to the rules and regulations of the SEC. The December 31, 2022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2022 Form 10-K. The results of operations for the three and nine months ended September 30, 2023 are not necessarily indicative of the results to be expected for the full year ending December 31, 2023. Unless the context otherwise requires, all references to “Amkor,” “we,” “us” or “our” are to Amkor Technology, Inc. and its wholly and majority-owned subsidiaries. </w:t>
      </w:r>
    </w:p>
    <w:p>
      <w:pPr>
        <w:pStyle w:val="TextBody"/>
        <w:bidi w:val="0"/>
        <w:spacing w:lineRule="auto" w:line="288" w:before="0" w:after="180"/>
        <w:jc w:val="both"/>
        <w:rPr/>
      </w:pPr>
      <w:r>
        <w:rPr>
          <w:rFonts w:ascii="Times New Roman;sans-serif" w:hAnsi="Times New Roman;sans-serif"/>
          <w:b w:val="false"/>
          <w:i/>
          <w:color w:val="000000"/>
          <w:sz w:val="20"/>
        </w:rPr>
        <w:t xml:space="preserve">Use of Estimates. </w:t>
      </w:r>
      <w:r>
        <w:rPr>
          <w:rFonts w:ascii="Times New Roman;sans-serif" w:hAnsi="Times New Roman;sans-serif"/>
          <w:b w:val="false"/>
          <w:color w:val="000000"/>
          <w:sz w:val="20"/>
        </w:rPr>
        <w:t>The Consolidated Financial Statements have been prepared in conformity with U.S. GAAP, using management’s best estimates and 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pStyle w:val="TextBody"/>
        <w:bidi w:val="0"/>
        <w:spacing w:lineRule="auto" w:line="276" w:before="0" w:after="180"/>
        <w:jc w:val="both"/>
        <w:rPr/>
      </w:pP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Total long-term finance lease liabilities as of September 30, 2023 and December 31, 2022 were $40.5 million and $54.8 million, respectively.</w:t>
      </w:r>
    </w:p>
    <w:p>
      <w:pPr>
        <w:pStyle w:val="TextBody"/>
        <w:bidi w:val="0"/>
        <w:spacing w:lineRule="auto" w:line="276" w:before="0" w:after="180"/>
        <w:jc w:val="both"/>
        <w:rPr/>
      </w:pPr>
      <w:r>
        <w:rPr>
          <w:rFonts w:ascii="Times New Roman;sans-serif" w:hAnsi="Times New Roman;sans-serif"/>
          <w:b w:val="false"/>
          <w:i/>
          <w:color w:val="000000"/>
          <w:sz w:val="20"/>
        </w:rPr>
        <w:t xml:space="preserve">Goodwill. </w:t>
      </w:r>
      <w:r>
        <w:rPr>
          <w:rFonts w:ascii="Times New Roman;sans-serif" w:hAnsi="Times New Roman;sans-serif"/>
          <w:b w:val="false"/>
          <w:color w:val="000000"/>
          <w:sz w:val="20"/>
        </w:rPr>
        <w:t xml:space="preserve">The balance of goodwill in the Consolidated Balance Sheets contained in this Form 10-Q reflects adjustments for foreign currency translation. </w:t>
      </w:r>
    </w:p>
    <w:p>
      <w:pPr>
        <w:pStyle w:val="TextBody"/>
        <w:bidi w:val="0"/>
        <w:spacing w:lineRule="auto" w:line="288" w:before="0" w:after="180"/>
        <w:jc w:val="both"/>
        <w:rPr/>
      </w:pPr>
      <w:r>
        <w:rPr>
          <w:rFonts w:ascii="Times New Roman;sans-serif" w:hAnsi="Times New Roman;sans-serif"/>
          <w:b w:val="false"/>
          <w:i/>
          <w:color w:val="000000"/>
          <w:sz w:val="20"/>
        </w:rPr>
        <w:t>Unbilled Receivables</w:t>
      </w:r>
      <w:r>
        <w:rPr>
          <w:rFonts w:ascii="Times New Roman;sans-serif" w:hAnsi="Times New Roman;sans-serif"/>
          <w:b w:val="false"/>
          <w:color w:val="000000"/>
          <w:sz w:val="20"/>
        </w:rPr>
        <w:t>. Total unbilled receivables as of September 30, 2023 and December 31, 2022 were $296.0 million and $301.7 million, respectively.</w:t>
      </w:r>
    </w:p>
    <w:p>
      <w:pPr>
        <w:pStyle w:val="TextBody"/>
        <w:bidi w:val="0"/>
        <w:spacing w:lineRule="auto" w:line="276" w:before="0" w:after="0"/>
        <w:jc w:val="both"/>
        <w:rPr/>
      </w:pPr>
      <w:r>
        <w:rPr>
          <w:rFonts w:ascii="Times New Roman;sans-serif" w:hAnsi="Times New Roman;sans-serif"/>
          <w:b w:val="false"/>
          <w:i/>
          <w:color w:val="000000"/>
          <w:sz w:val="20"/>
        </w:rPr>
        <w:t>Contract Liabilities.</w:t>
      </w:r>
      <w:r>
        <w:rPr>
          <w:color w:val="000000"/>
        </w:rPr>
        <w:t xml:space="preserve"> </w:t>
      </w:r>
      <w:r>
        <w:rPr>
          <w:rFonts w:ascii="Times New Roman;sans-serif" w:hAnsi="Times New Roman;sans-serif"/>
          <w:b w:val="false"/>
          <w:color w:val="000000"/>
          <w:sz w:val="20"/>
        </w:rPr>
        <w:t>Contract liabilities were $148.8 million and $170.6 million as of September 30, 2023 and December 31, 2022, respectively. As of September 30, 2023 and December 31, 2022, the short-term portions of the liabilities were $81.8 million and $81.5 million, respectively. The remainder of the September 30, 2023 contract liability balance is expected to be recognized in revenue over the next 1-5 years. Revenue recognized during the nine months ended September 30, 2023 and 2022 that was included in the contract liabilities balance at the beginning of the period was $54.1 million and $81.3 million, respectively.</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color w:val="000000"/>
        </w:rPr>
        <w:t>    </w:t>
      </w:r>
      <w:r>
        <w:rPr>
          <w:rFonts w:ascii="Times New Roman;sans-serif" w:hAnsi="Times New Roman;sans-serif"/>
          <w:b/>
          <w:color w:val="000000"/>
          <w:sz w:val="20"/>
        </w:rPr>
        <w:t>Net Sales by Product Group and End Market</w:t>
      </w:r>
      <w:r>
        <w:rPr>
          <w:color w:val="00000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net sales by product group:</w:t>
      </w:r>
    </w:p>
    <w:tbl>
      <w:tblPr>
        <w:tblW w:w="8915" w:type="dxa"/>
        <w:jc w:val="center"/>
        <w:tblInd w:w="0" w:type="dxa"/>
        <w:tblLayout w:type="fixed"/>
        <w:tblCellMar>
          <w:top w:w="28" w:type="dxa"/>
          <w:left w:w="28" w:type="dxa"/>
          <w:bottom w:w="28" w:type="dxa"/>
          <w:right w:w="28" w:type="dxa"/>
        </w:tblCellMar>
      </w:tblPr>
      <w:tblGrid>
        <w:gridCol w:w="759"/>
        <w:gridCol w:w="668"/>
        <w:gridCol w:w="672"/>
        <w:gridCol w:w="236"/>
        <w:gridCol w:w="1093"/>
        <w:gridCol w:w="122"/>
        <w:gridCol w:w="122"/>
        <w:gridCol w:w="122"/>
        <w:gridCol w:w="122"/>
        <w:gridCol w:w="236"/>
        <w:gridCol w:w="1093"/>
        <w:gridCol w:w="122"/>
        <w:gridCol w:w="109"/>
        <w:gridCol w:w="109"/>
        <w:gridCol w:w="109"/>
        <w:gridCol w:w="229"/>
        <w:gridCol w:w="1062"/>
        <w:gridCol w:w="118"/>
        <w:gridCol w:w="118"/>
        <w:gridCol w:w="118"/>
        <w:gridCol w:w="118"/>
        <w:gridCol w:w="229"/>
        <w:gridCol w:w="1062"/>
        <w:gridCol w:w="16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products (1)</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1,639,409 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3,603,445 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3,879,638 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Mainstream products (2)</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1,821,793 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2,083,691 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4,751,254 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5,185,375 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Advanced products include flip chip, memory and wafer-level processing and related test services.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Mainstream products include all other wirebond packaging and related test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end market consist of the following:</w:t>
      </w:r>
    </w:p>
    <w:tbl>
      <w:tblPr>
        <w:tblW w:w="10205" w:type="dxa"/>
        <w:jc w:val="center"/>
        <w:tblInd w:w="0" w:type="dxa"/>
        <w:tblLayout w:type="fixed"/>
        <w:tblCellMar>
          <w:top w:w="28" w:type="dxa"/>
          <w:left w:w="28" w:type="dxa"/>
          <w:bottom w:w="28" w:type="dxa"/>
          <w:right w:w="28" w:type="dxa"/>
        </w:tblCellMar>
      </w:tblPr>
      <w:tblGrid>
        <w:gridCol w:w="1627"/>
        <w:gridCol w:w="1431"/>
        <w:gridCol w:w="1434"/>
        <w:gridCol w:w="273"/>
        <w:gridCol w:w="241"/>
        <w:gridCol w:w="520"/>
        <w:gridCol w:w="209"/>
        <w:gridCol w:w="209"/>
        <w:gridCol w:w="209"/>
        <w:gridCol w:w="273"/>
        <w:gridCol w:w="241"/>
        <w:gridCol w:w="520"/>
        <w:gridCol w:w="109"/>
        <w:gridCol w:w="109"/>
        <w:gridCol w:w="109"/>
        <w:gridCol w:w="260"/>
        <w:gridCol w:w="238"/>
        <w:gridCol w:w="500"/>
        <w:gridCol w:w="201"/>
        <w:gridCol w:w="201"/>
        <w:gridCol w:w="201"/>
        <w:gridCol w:w="260"/>
        <w:gridCol w:w="238"/>
        <w:gridCol w:w="592"/>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 (smartphones, tablets)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industrial and other (ADAS, electrification, infotainment, safety)</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Computing (data center, infrastructure, PC/laptop, storage)</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(AR &amp; gaming, connected home, home electronics, wearables)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3.</w:t>
      </w:r>
      <w:r>
        <w:rPr>
          <w:color w:val="000000"/>
        </w:rPr>
        <w:t>    </w:t>
      </w:r>
      <w:r>
        <w:rPr>
          <w:rFonts w:ascii="Times New Roman;sans-serif" w:hAnsi="Times New Roman;sans-serif"/>
          <w:b/>
          <w:color w:val="000000"/>
          <w:sz w:val="20"/>
        </w:rPr>
        <w:t>Other Income and Expense</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consist of the following:</w:t>
      </w:r>
    </w:p>
    <w:tbl>
      <w:tblPr>
        <w:tblW w:w="9654" w:type="dxa"/>
        <w:jc w:val="left"/>
        <w:tblInd w:w="0" w:type="dxa"/>
        <w:tblLayout w:type="fixed"/>
        <w:tblCellMar>
          <w:top w:w="28" w:type="dxa"/>
          <w:left w:w="28" w:type="dxa"/>
          <w:bottom w:w="28" w:type="dxa"/>
          <w:right w:w="28" w:type="dxa"/>
        </w:tblCellMar>
      </w:tblPr>
      <w:tblGrid>
        <w:gridCol w:w="1027"/>
        <w:gridCol w:w="899"/>
        <w:gridCol w:w="908"/>
        <w:gridCol w:w="281"/>
        <w:gridCol w:w="1061"/>
        <w:gridCol w:w="145"/>
        <w:gridCol w:w="145"/>
        <w:gridCol w:w="145"/>
        <w:gridCol w:w="145"/>
        <w:gridCol w:w="281"/>
        <w:gridCol w:w="921"/>
        <w:gridCol w:w="145"/>
        <w:gridCol w:w="109"/>
        <w:gridCol w:w="109"/>
        <w:gridCol w:w="109"/>
        <w:gridCol w:w="261"/>
        <w:gridCol w:w="986"/>
        <w:gridCol w:w="135"/>
        <w:gridCol w:w="135"/>
        <w:gridCol w:w="135"/>
        <w:gridCol w:w="135"/>
        <w:gridCol w:w="261"/>
        <w:gridCol w:w="986"/>
        <w:gridCol w:w="190"/>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net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retirement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4.    Income Taxes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of $49.2 million for the nine months ended September 30, 2023 reflects income taxes, foreign withholding taxes and minimum taxes. In July 2023, our subsidiary in Singapore was granted a renewal of a reduced tax rate through the end of 2028, subject to certain conditions and commitments.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tax benefits represent reserves for potential tax deficiencies or reductions in tax benefits that could result from federal, state or foreign tax audits. Gross unrecognized tax benefits decreased from $33.3 million as of December 31, 2022 to $30.3 million as of September 30, 2023.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tax returns that are open to examination in various jurisdictions for tax years 2013-2022.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5.    Earnings Per Share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EPS:</w:t>
      </w:r>
    </w:p>
    <w:tbl>
      <w:tblPr>
        <w:tblW w:w="10205" w:type="dxa"/>
        <w:jc w:val="left"/>
        <w:tblInd w:w="0" w:type="dxa"/>
        <w:tblLayout w:type="fixed"/>
        <w:tblCellMar>
          <w:top w:w="28" w:type="dxa"/>
          <w:left w:w="28" w:type="dxa"/>
          <w:bottom w:w="28" w:type="dxa"/>
          <w:right w:w="28" w:type="dxa"/>
        </w:tblCellMar>
      </w:tblPr>
      <w:tblGrid>
        <w:gridCol w:w="1605"/>
        <w:gridCol w:w="1153"/>
        <w:gridCol w:w="1155"/>
        <w:gridCol w:w="240"/>
        <w:gridCol w:w="941"/>
        <w:gridCol w:w="124"/>
        <w:gridCol w:w="124"/>
        <w:gridCol w:w="124"/>
        <w:gridCol w:w="124"/>
        <w:gridCol w:w="240"/>
        <w:gridCol w:w="941"/>
        <w:gridCol w:w="124"/>
        <w:gridCol w:w="109"/>
        <w:gridCol w:w="109"/>
        <w:gridCol w:w="109"/>
        <w:gridCol w:w="235"/>
        <w:gridCol w:w="924"/>
        <w:gridCol w:w="121"/>
        <w:gridCol w:w="121"/>
        <w:gridCol w:w="121"/>
        <w:gridCol w:w="121"/>
        <w:gridCol w:w="235"/>
        <w:gridCol w:w="924"/>
        <w:gridCol w:w="181"/>
      </w:tblGrid>
      <w:tr>
        <w:trPr/>
        <w:tc>
          <w:tcPr>
            <w:tcW w:w="160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br/>
              <w:t>except per share data)</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 common stockholders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1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basic</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244,581 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diluted</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247,080 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246,015 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 per common share:</w:t>
            </w:r>
          </w:p>
        </w:tc>
        <w:tc>
          <w:tcPr>
            <w:tcW w:w="13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potential shares of common stock that were excluded from diluted EPS because the effect of including these potential shares was anti-dilutive:</w:t>
      </w:r>
    </w:p>
    <w:tbl>
      <w:tblPr>
        <w:tblW w:w="8509" w:type="dxa"/>
        <w:jc w:val="left"/>
        <w:tblInd w:w="0" w:type="dxa"/>
        <w:tblLayout w:type="fixed"/>
        <w:tblCellMar>
          <w:top w:w="28" w:type="dxa"/>
          <w:left w:w="28" w:type="dxa"/>
          <w:bottom w:w="28" w:type="dxa"/>
          <w:right w:w="28" w:type="dxa"/>
        </w:tblCellMar>
      </w:tblPr>
      <w:tblGrid>
        <w:gridCol w:w="614"/>
        <w:gridCol w:w="540"/>
        <w:gridCol w:w="541"/>
        <w:gridCol w:w="363"/>
        <w:gridCol w:w="363"/>
        <w:gridCol w:w="363"/>
        <w:gridCol w:w="363"/>
        <w:gridCol w:w="363"/>
        <w:gridCol w:w="363"/>
        <w:gridCol w:w="363"/>
        <w:gridCol w:w="363"/>
        <w:gridCol w:w="363"/>
        <w:gridCol w:w="109"/>
        <w:gridCol w:w="109"/>
        <w:gridCol w:w="109"/>
        <w:gridCol w:w="342"/>
        <w:gridCol w:w="342"/>
        <w:gridCol w:w="342"/>
        <w:gridCol w:w="342"/>
        <w:gridCol w:w="342"/>
        <w:gridCol w:w="342"/>
        <w:gridCol w:w="342"/>
        <w:gridCol w:w="342"/>
        <w:gridCol w:w="48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6.    Accumulated Other Comprehensive Income (Loss)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income (loss), net of tax, consist of the following:</w:t>
      </w:r>
    </w:p>
    <w:tbl>
      <w:tblPr>
        <w:tblW w:w="10205" w:type="dxa"/>
        <w:jc w:val="center"/>
        <w:tblInd w:w="0" w:type="dxa"/>
        <w:tblLayout w:type="fixed"/>
        <w:tblCellMar>
          <w:top w:w="28" w:type="dxa"/>
          <w:left w:w="28" w:type="dxa"/>
          <w:bottom w:w="28" w:type="dxa"/>
          <w:right w:w="28" w:type="dxa"/>
        </w:tblCellMar>
      </w:tblPr>
      <w:tblGrid>
        <w:gridCol w:w="1060"/>
        <w:gridCol w:w="886"/>
        <w:gridCol w:w="890"/>
        <w:gridCol w:w="560"/>
        <w:gridCol w:w="1679"/>
        <w:gridCol w:w="291"/>
        <w:gridCol w:w="109"/>
        <w:gridCol w:w="109"/>
        <w:gridCol w:w="109"/>
        <w:gridCol w:w="272"/>
        <w:gridCol w:w="932"/>
        <w:gridCol w:w="140"/>
        <w:gridCol w:w="109"/>
        <w:gridCol w:w="109"/>
        <w:gridCol w:w="109"/>
        <w:gridCol w:w="277"/>
        <w:gridCol w:w="1003"/>
        <w:gridCol w:w="143"/>
        <w:gridCol w:w="109"/>
        <w:gridCol w:w="109"/>
        <w:gridCol w:w="109"/>
        <w:gridCol w:w="211"/>
        <w:gridCol w:w="721"/>
        <w:gridCol w:w="159"/>
      </w:tblGrid>
      <w:tr>
        <w:trPr/>
        <w:tc>
          <w:tcPr>
            <w:tcW w:w="10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on Available-for-Sale Debt Investments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at December 31, 2022</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at September 30, 2023</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6"/>
        <w:gridCol w:w="891"/>
        <w:gridCol w:w="896"/>
        <w:gridCol w:w="563"/>
        <w:gridCol w:w="1688"/>
        <w:gridCol w:w="293"/>
        <w:gridCol w:w="109"/>
        <w:gridCol w:w="109"/>
        <w:gridCol w:w="109"/>
        <w:gridCol w:w="287"/>
        <w:gridCol w:w="840"/>
        <w:gridCol w:w="148"/>
        <w:gridCol w:w="109"/>
        <w:gridCol w:w="109"/>
        <w:gridCol w:w="109"/>
        <w:gridCol w:w="278"/>
        <w:gridCol w:w="1006"/>
        <w:gridCol w:w="143"/>
        <w:gridCol w:w="109"/>
        <w:gridCol w:w="109"/>
        <w:gridCol w:w="109"/>
        <w:gridCol w:w="211"/>
        <w:gridCol w:w="754"/>
        <w:gridCol w:w="160"/>
      </w:tblGrid>
      <w:tr>
        <w:trPr/>
        <w:tc>
          <w:tcPr>
            <w:tcW w:w="106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on Available-for-Sale Debt Investments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at December 31, 2021</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2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2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at September 30, 2022</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(16,826)</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Amounts reclassified out of accumulated other comprehensive income (loss) are included as other (income) expense, net (Note 3).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Amounts reclassified out of accumulated other comprehensive income (loss) are included as a component of net periodic pension cost (Note 12) or other (income) expense, net (Note 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7.    Investments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available-for-sale debt investments as of September 30, 2023 are available to fund current operations and are recorded at fair value (Note 14).</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equivalents and available-for-sale debt investments:</w:t>
      </w:r>
    </w:p>
    <w:tbl>
      <w:tblPr>
        <w:tblW w:w="10205" w:type="dxa"/>
        <w:jc w:val="center"/>
        <w:tblInd w:w="0" w:type="dxa"/>
        <w:tblLayout w:type="fixed"/>
        <w:tblCellMar>
          <w:top w:w="28" w:type="dxa"/>
          <w:left w:w="28" w:type="dxa"/>
          <w:bottom w:w="28" w:type="dxa"/>
          <w:right w:w="28" w:type="dxa"/>
        </w:tblCellMar>
      </w:tblPr>
      <w:tblGrid>
        <w:gridCol w:w="624"/>
        <w:gridCol w:w="458"/>
        <w:gridCol w:w="460"/>
        <w:gridCol w:w="215"/>
        <w:gridCol w:w="843"/>
        <w:gridCol w:w="111"/>
        <w:gridCol w:w="109"/>
        <w:gridCol w:w="109"/>
        <w:gridCol w:w="109"/>
        <w:gridCol w:w="296"/>
        <w:gridCol w:w="656"/>
        <w:gridCol w:w="154"/>
        <w:gridCol w:w="109"/>
        <w:gridCol w:w="109"/>
        <w:gridCol w:w="109"/>
        <w:gridCol w:w="265"/>
        <w:gridCol w:w="822"/>
        <w:gridCol w:w="136"/>
        <w:gridCol w:w="109"/>
        <w:gridCol w:w="109"/>
        <w:gridCol w:w="109"/>
        <w:gridCol w:w="218"/>
        <w:gridCol w:w="856"/>
        <w:gridCol w:w="112"/>
        <w:gridCol w:w="109"/>
        <w:gridCol w:w="109"/>
        <w:gridCol w:w="109"/>
        <w:gridCol w:w="211"/>
        <w:gridCol w:w="826"/>
        <w:gridCol w:w="109"/>
        <w:gridCol w:w="109"/>
        <w:gridCol w:w="109"/>
        <w:gridCol w:w="109"/>
        <w:gridCol w:w="211"/>
        <w:gridCol w:w="826"/>
        <w:gridCol w:w="161"/>
      </w:tblGrid>
      <w:tr>
        <w:trPr/>
        <w:tc>
          <w:tcPr>
            <w:tcW w:w="62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6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(2)</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566,493 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92"/>
        <w:gridCol w:w="418"/>
        <w:gridCol w:w="420"/>
        <w:gridCol w:w="213"/>
        <w:gridCol w:w="837"/>
        <w:gridCol w:w="110"/>
        <w:gridCol w:w="109"/>
        <w:gridCol w:w="109"/>
        <w:gridCol w:w="109"/>
        <w:gridCol w:w="299"/>
        <w:gridCol w:w="577"/>
        <w:gridCol w:w="156"/>
        <w:gridCol w:w="109"/>
        <w:gridCol w:w="109"/>
        <w:gridCol w:w="109"/>
        <w:gridCol w:w="246"/>
        <w:gridCol w:w="758"/>
        <w:gridCol w:w="127"/>
        <w:gridCol w:w="109"/>
        <w:gridCol w:w="109"/>
        <w:gridCol w:w="109"/>
        <w:gridCol w:w="216"/>
        <w:gridCol w:w="845"/>
        <w:gridCol w:w="111"/>
        <w:gridCol w:w="109"/>
        <w:gridCol w:w="109"/>
        <w:gridCol w:w="109"/>
        <w:gridCol w:w="211"/>
        <w:gridCol w:w="826"/>
        <w:gridCol w:w="109"/>
        <w:gridCol w:w="109"/>
        <w:gridCol w:w="109"/>
        <w:gridCol w:w="109"/>
        <w:gridCol w:w="211"/>
        <w:gridCol w:w="826"/>
        <w:gridCol w:w="162"/>
      </w:tblGrid>
      <w:tr>
        <w:trPr/>
        <w:tc>
          <w:tcPr>
            <w:tcW w:w="89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7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474,794 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340,656 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(2)For nine months ended September 30, 2023 and 2022, we sold cash equivalent investments for proceeds of $41.5 million and $27.1 million, respectively, and realized no gain or loss on such sales.</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The following table summarizes the contractual maturities of our cash equivalents and available-for-sale debt investments 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w:t>
      </w:r>
    </w:p>
    <w:tbl>
      <w:tblPr>
        <w:tblW w:w="6332" w:type="dxa"/>
        <w:jc w:val="left"/>
        <w:tblInd w:w="0" w:type="dxa"/>
        <w:tblLayout w:type="fixed"/>
        <w:tblCellMar>
          <w:top w:w="28" w:type="dxa"/>
          <w:left w:w="28" w:type="dxa"/>
          <w:bottom w:w="28" w:type="dxa"/>
          <w:right w:w="28" w:type="dxa"/>
        </w:tblCellMar>
      </w:tblPr>
      <w:tblGrid>
        <w:gridCol w:w="858"/>
        <w:gridCol w:w="754"/>
        <w:gridCol w:w="758"/>
        <w:gridCol w:w="109"/>
        <w:gridCol w:w="109"/>
        <w:gridCol w:w="109"/>
        <w:gridCol w:w="229"/>
        <w:gridCol w:w="898"/>
        <w:gridCol w:w="118"/>
        <w:gridCol w:w="109"/>
        <w:gridCol w:w="109"/>
        <w:gridCol w:w="109"/>
        <w:gridCol w:w="211"/>
        <w:gridCol w:w="826"/>
        <w:gridCol w:w="109"/>
        <w:gridCol w:w="109"/>
        <w:gridCol w:w="109"/>
        <w:gridCol w:w="109"/>
        <w:gridCol w:w="109"/>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1 year through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566,493 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Actual maturities can differ from contractual maturities due to various factors including the issuers may have the right to call or prepay obligations without call or prepayment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amortized cost and the fair market value of our held-to-maturity government bond (Level 1) maturing within a year was $5.0 million. As of December 31, 2022, the amortized cost and the fair market value of our held-to-maturity government bond (Level 1) maturing within a year was $4.4 million and $4.3 million, respectively.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Factoring of Accounts Receivable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nine months ended September 30, 2023, we sold receivables totaling $22.3 million and $149.8 million, respectively, net of discounts and fees. Discounts and fees were insignificant for the three months ended September 30, 2023, and $0.3 million for the nine months ended September 30, 2023. For the three and nine months ended September 30, 2022, we sold receivables totaling $82.3 million and $247.8 million, net of discounts and fees of $0.2 million and $0.6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9.    Property, Plant and Equipment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 of the following:</w:t>
      </w:r>
    </w:p>
    <w:tbl>
      <w:tblPr>
        <w:tblW w:w="7107" w:type="dxa"/>
        <w:jc w:val="left"/>
        <w:tblInd w:w="0" w:type="dxa"/>
        <w:tblLayout w:type="fixed"/>
        <w:tblCellMar>
          <w:top w:w="28" w:type="dxa"/>
          <w:left w:w="28" w:type="dxa"/>
          <w:bottom w:w="28" w:type="dxa"/>
          <w:right w:w="28" w:type="dxa"/>
        </w:tblCellMar>
      </w:tblPr>
      <w:tblGrid>
        <w:gridCol w:w="1336"/>
        <w:gridCol w:w="1171"/>
        <w:gridCol w:w="1183"/>
        <w:gridCol w:w="251"/>
        <w:gridCol w:w="1164"/>
        <w:gridCol w:w="130"/>
        <w:gridCol w:w="109"/>
        <w:gridCol w:w="109"/>
        <w:gridCol w:w="109"/>
        <w:gridCol w:w="243"/>
        <w:gridCol w:w="1125"/>
        <w:gridCol w:w="177"/>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214,763 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1,830,185 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1,817,135 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6,944,817 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6,757,652 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computer equipment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240,610 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9,898,485 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9,371,331 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(6,577,018)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(6,235,717)</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3,321,467 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3,135,614 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depreciation expense:</w:t>
      </w:r>
    </w:p>
    <w:tbl>
      <w:tblPr>
        <w:tblW w:w="8690" w:type="dxa"/>
        <w:jc w:val="left"/>
        <w:tblInd w:w="0" w:type="dxa"/>
        <w:tblLayout w:type="fixed"/>
        <w:tblCellMar>
          <w:top w:w="28" w:type="dxa"/>
          <w:left w:w="28" w:type="dxa"/>
          <w:bottom w:w="28" w:type="dxa"/>
          <w:right w:w="28" w:type="dxa"/>
        </w:tblCellMar>
      </w:tblPr>
      <w:tblGrid>
        <w:gridCol w:w="679"/>
        <w:gridCol w:w="597"/>
        <w:gridCol w:w="599"/>
        <w:gridCol w:w="263"/>
        <w:gridCol w:w="1031"/>
        <w:gridCol w:w="136"/>
        <w:gridCol w:w="136"/>
        <w:gridCol w:w="136"/>
        <w:gridCol w:w="136"/>
        <w:gridCol w:w="263"/>
        <w:gridCol w:w="1031"/>
        <w:gridCol w:w="136"/>
        <w:gridCol w:w="109"/>
        <w:gridCol w:w="109"/>
        <w:gridCol w:w="109"/>
        <w:gridCol w:w="255"/>
        <w:gridCol w:w="1000"/>
        <w:gridCol w:w="131"/>
        <w:gridCol w:w="131"/>
        <w:gridCol w:w="131"/>
        <w:gridCol w:w="131"/>
        <w:gridCol w:w="255"/>
        <w:gridCol w:w="1000"/>
        <w:gridCol w:w="18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had $321.8 million and $79.6 million of costs, including capitalized interest of $5.5 million and $0.7 million, respectively, in construction in progress for the Vietnam Facility. In October 2023, we completed the initial phase of construction for our Vietnam Facility and will transfer approximately $240 million from construction in progress to buildings and improvements. </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10.    Accrued Expenses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w:t>
      </w:r>
    </w:p>
    <w:tbl>
      <w:tblPr>
        <w:tblW w:w="6835" w:type="dxa"/>
        <w:jc w:val="left"/>
        <w:tblInd w:w="0" w:type="dxa"/>
        <w:tblLayout w:type="fixed"/>
        <w:tblCellMar>
          <w:top w:w="28" w:type="dxa"/>
          <w:left w:w="28" w:type="dxa"/>
          <w:bottom w:w="28" w:type="dxa"/>
          <w:right w:w="28" w:type="dxa"/>
        </w:tblCellMar>
      </w:tblPr>
      <w:tblGrid>
        <w:gridCol w:w="1237"/>
        <w:gridCol w:w="1089"/>
        <w:gridCol w:w="1093"/>
        <w:gridCol w:w="284"/>
        <w:gridCol w:w="1114"/>
        <w:gridCol w:w="147"/>
        <w:gridCol w:w="109"/>
        <w:gridCol w:w="109"/>
        <w:gridCol w:w="109"/>
        <w:gridCol w:w="273"/>
        <w:gridCol w:w="1072"/>
        <w:gridCol w:w="199"/>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customer advances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81,459 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finance lease liabilities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56,570 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50,685 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 plan obligations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57,382 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346,913 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11.    Debt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short-term borrowings and long-term debt:</w:t>
      </w:r>
    </w:p>
    <w:tbl>
      <w:tblPr>
        <w:tblW w:w="10205" w:type="dxa"/>
        <w:jc w:val="left"/>
        <w:tblInd w:w="0" w:type="dxa"/>
        <w:tblLayout w:type="fixed"/>
        <w:tblCellMar>
          <w:top w:w="28" w:type="dxa"/>
          <w:left w:w="28" w:type="dxa"/>
          <w:bottom w:w="28" w:type="dxa"/>
          <w:right w:w="28" w:type="dxa"/>
        </w:tblCellMar>
      </w:tblPr>
      <w:tblGrid>
        <w:gridCol w:w="2511"/>
        <w:gridCol w:w="2205"/>
        <w:gridCol w:w="2211"/>
        <w:gridCol w:w="267"/>
        <w:gridCol w:w="1047"/>
        <w:gridCol w:w="138"/>
        <w:gridCol w:w="109"/>
        <w:gridCol w:w="109"/>
        <w:gridCol w:w="109"/>
        <w:gridCol w:w="235"/>
        <w:gridCol w:w="1090"/>
        <w:gridCol w:w="174"/>
      </w:tblGrid>
      <w:tr>
        <w:trPr/>
        <w:tc>
          <w:tcPr>
            <w:tcW w:w="251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of Amkor Technology, Inc.: </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notes: </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6.625% Senior notes, due September 2027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of subsidiaries: </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Amkor Technology Korea, Inc.: </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Term loan, fixed rate at 1.85%, due April 2024 (1)</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2.12%, due December 2028 </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Amkor Technology Japan, Inc.: </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term loans, variable rate (2)</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1.30%, due July 2023 </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1.35%, due December 2024 </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1.20%, due December 2025 </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1.23%, due December 2026 </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1.59%, due December 2027 </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Assembly &amp; Test (Shanghai) Co., Ltd.:</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March 2024 (3)</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June 2025 (3)</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2025 (3)</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TAIFX plus the applicable bank rate, due December 2024 (Taiwan) (4)</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applicable bank rate plus 1.75%, due March 2027 (Singapore) (5)</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1,239,772 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deferred debt costs, net</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borrowings and current portion of long-term debt</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(149,890)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(143,813)</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947,227 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1,088,521 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 April 2021, we entered into a ₩80 billion term loan agreement with the option to borrow and re-borrow the funds up to six times per year through April 2024. Principal is payable at maturity, and interest is payable monthly, at a fixed rate of 1.85%. As of September 30, 2023, ₩80.0 billion, or approximately $59 million, was available to be drawn.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(2)We entered into various short-term term loans which mature semiannually. Principal and interest are payable in monthly installments. Interest as of September 30, 2023 is at an annual base rate equal to the Tokyo Interbank Offered Rate plus 0.18% to 0.20% (weighted average of 0.25% as of September 30, 2023). As of September 30, 2023, $4.5 million was available to be drawn.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 June 2023, Amkor Assembly &amp; Test Co. Ltd. amended all term loans to replace London Interbank Offered Rate (“LIBOR”) with a Secured Overnight Financing Rate (“SOFR”) plus 0.75% annual base rate (weighted average of 6.05% as of September 30, 2023). This contractual amendment is treated as a modification with no recognized gain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(4)In March 2022, Amkor Technology Taiwan Ltd. (“ATT”) amended an existing revolving credit facility to reduce availability from $36.0 million to $15.0 million. As of September 30, 2023, $15.0 million was available for future borrowings under such credit facility.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(5)In March 2022, Amkor Technology Singapore Holdings Pte. Ltd. (“ATSH”) entered into a $600.0 million senior revolving credit facility (the “2022 Singapore Revolver”), which is guaranteed by Amkor Technology, Inc., ATT and Amkor Advanced Technology, Inc. (“AATT”). The maximum borrowing capacity under the 2022 Singapore Revolver is limited to a base amount equal to the lesser of: (1) $600.0 million; or (2) $250.0 million plus a variable amount equal to 37.5% of our consolidated accounts receivable balance. As of September 30, 2023, $600.0 million was available for future borrowings under the 2022 Singapore Revolver.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foreign debt is collateralized by the land, buildings, equipment and accounts receivable in the respective locations. As of September 30, 2023, the collateralized debt balance was $568.0 million, of which $336.0 million of assets were pledged as collateral.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debt covenants at September 30, 2023.</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Pension Plans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Defined Benefit Pension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W w:w="9546" w:type="dxa"/>
        <w:jc w:val="left"/>
        <w:tblInd w:w="0" w:type="dxa"/>
        <w:tblLayout w:type="fixed"/>
        <w:tblCellMar>
          <w:top w:w="28" w:type="dxa"/>
          <w:left w:w="28" w:type="dxa"/>
          <w:bottom w:w="28" w:type="dxa"/>
          <w:right w:w="28" w:type="dxa"/>
        </w:tblCellMar>
      </w:tblPr>
      <w:tblGrid>
        <w:gridCol w:w="987"/>
        <w:gridCol w:w="867"/>
        <w:gridCol w:w="875"/>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8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15,266 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(gain) loss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net periodic pension cost other than the service cost component are included in other (income) expense, net in our Consolidated Statements of Income.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Defined Contribution Pension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defined contribution pension plans in Korea, Malaysia, Taiwan and the U.S. The following table summarizes our defined contribution expense: </w:t>
      </w:r>
    </w:p>
    <w:tbl>
      <w:tblPr>
        <w:tblW w:w="9351" w:type="dxa"/>
        <w:jc w:val="center"/>
        <w:tblInd w:w="0" w:type="dxa"/>
        <w:tblLayout w:type="fixed"/>
        <w:tblCellMar>
          <w:top w:w="28" w:type="dxa"/>
          <w:left w:w="28" w:type="dxa"/>
          <w:bottom w:w="28" w:type="dxa"/>
          <w:right w:w="28" w:type="dxa"/>
        </w:tblCellMar>
      </w:tblPr>
      <w:tblGrid>
        <w:gridCol w:w="917"/>
        <w:gridCol w:w="806"/>
        <w:gridCol w:w="811"/>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expense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9"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13.    Derivatives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our foreign exchange forward contracts consisted of the following:</w:t>
      </w:r>
    </w:p>
    <w:tbl>
      <w:tblPr>
        <w:tblW w:w="10205" w:type="dxa"/>
        <w:jc w:val="center"/>
        <w:tblInd w:w="0" w:type="dxa"/>
        <w:tblLayout w:type="fixed"/>
        <w:tblCellMar>
          <w:top w:w="28" w:type="dxa"/>
          <w:left w:w="28" w:type="dxa"/>
          <w:bottom w:w="28" w:type="dxa"/>
          <w:right w:w="28" w:type="dxa"/>
        </w:tblCellMar>
      </w:tblPr>
      <w:tblGrid>
        <w:gridCol w:w="552"/>
        <w:gridCol w:w="429"/>
        <w:gridCol w:w="425"/>
        <w:gridCol w:w="215"/>
        <w:gridCol w:w="842"/>
        <w:gridCol w:w="111"/>
        <w:gridCol w:w="109"/>
        <w:gridCol w:w="109"/>
        <w:gridCol w:w="109"/>
        <w:gridCol w:w="285"/>
        <w:gridCol w:w="696"/>
        <w:gridCol w:w="147"/>
        <w:gridCol w:w="109"/>
        <w:gridCol w:w="109"/>
        <w:gridCol w:w="109"/>
        <w:gridCol w:w="449"/>
        <w:gridCol w:w="398"/>
        <w:gridCol w:w="399"/>
        <w:gridCol w:w="109"/>
        <w:gridCol w:w="109"/>
        <w:gridCol w:w="109"/>
        <w:gridCol w:w="215"/>
        <w:gridCol w:w="842"/>
        <w:gridCol w:w="111"/>
        <w:gridCol w:w="109"/>
        <w:gridCol w:w="109"/>
        <w:gridCol w:w="109"/>
        <w:gridCol w:w="272"/>
        <w:gridCol w:w="794"/>
        <w:gridCol w:w="140"/>
        <w:gridCol w:w="109"/>
        <w:gridCol w:w="109"/>
        <w:gridCol w:w="109"/>
        <w:gridCol w:w="363"/>
        <w:gridCol w:w="363"/>
        <w:gridCol w:w="522"/>
      </w:tblGrid>
      <w:tr>
        <w:trPr/>
        <w:tc>
          <w:tcPr>
            <w:tcW w:w="5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Japanese yen</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Korean won</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 peso</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dollar</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forward contracts</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derivatives resulted in a net loss of $13.8 million and $52.2 million, respectively, which were offset by the foreign currency gains associated with the underlying net liabilities. For the three and nine months ended September 30, 2022, the derivatives resulted in a net loss of $29.1 million and $94.2 million, respectively, which were offset by the foreign currency gains associated with the underlying net liabilities.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14.    Fair Value Measurements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derivative financial instruments are valued using quoted market prices for similar assets. Counterparties to these derivative contracts are highly rated financial institutions.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measure certain assets and liabilities, including property, plant and equipment and goodwill, at fair value on a nonrecurring basis. </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our debt for disclosure purposes. The following table presents the fair value of our debt:</w:t>
      </w:r>
    </w:p>
    <w:tbl>
      <w:tblPr>
        <w:tblW w:w="10205" w:type="dxa"/>
        <w:jc w:val="left"/>
        <w:tblInd w:w="0" w:type="dxa"/>
        <w:tblLayout w:type="fixed"/>
        <w:tblCellMar>
          <w:top w:w="28" w:type="dxa"/>
          <w:left w:w="28" w:type="dxa"/>
          <w:bottom w:w="28" w:type="dxa"/>
          <w:right w:w="28" w:type="dxa"/>
        </w:tblCellMar>
      </w:tblPr>
      <w:tblGrid>
        <w:gridCol w:w="1465"/>
        <w:gridCol w:w="1258"/>
        <w:gridCol w:w="127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6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 and term loans (Level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15.    Commitments and Contingencies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warrant that our services will be performed in a professional and workmanlike manner and in compliance with our customers’ specifications. We accrue costs for known warranty issues. Historically, our warranty costs have been immaterial.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claims and legal proceedings and may become involved in other legal matters arising in the ordinary course of our business. We evaluate these claims and legal matters on a case-by-case basis to determine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entered into additional lease agreements that have not yet commenced of approximately $11 million.</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high-performance computing (“HPC”) and Internet-of-Things (“IoT”), optimizing utilization of existing assets, and selectively growing our scale and scope through strategic investments.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With the continuing trend towards cloud-based computing, innovative advanced packaging solutions are needed to achieve the increased speed, performance and power consumption requirements for this market. In consumer devices, further miniaturization and the integration of new functionality within IoT devices also require advanced packaging. 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broad geographic footprint, including our manufacturing presence in Portugal and our headquarters in the United States, are key differentiators for us and position us to continue to support global supply chains and to participate in initiatives to regionalize supply chains. We are preparing to deliver advanced system-in-package (“SiP”) modules and other advanced packages from our Vietnam Facility, which we believe will provide customers with a cost-competitive high-volume manufacturing location that offers additional supply chain diversification.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National, regional and local governments have implemented, and may implement in the future,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For additional information regarding the potential impact of macroeconomic factors, the Covid-19 pandemic and other risks on our business, results of operations and financial condition, please refer to the “Risk Factors” section in Part II, Item 1A.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September 30, 2023, we had cash and cash equivalents and short-term investments of $735.7 million and $439.0 million, respectively.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expect macroeconomic conditions to be challenging in the remainder of the second half of 2023. To prepare for future growth, we will continue to make prudent investments, including investments in the Vietnam Facility, and we will closely manage other capacity expansion and control costs in response to changes in market conditions.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Financial Summary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sales decreased $261.9 million, or 12.6%, to $1,821.8 million for the three months ended September 30, 2023 compared to $2,083.7 million for the three months ended September 30, 2022. The decrease was primarily due to lower sales in our consumer and computing end markets, partially offset by growth in our communications end market. </w:t>
      </w:r>
    </w:p>
    <w:p>
      <w:pPr>
        <w:pStyle w:val="TextBody"/>
        <w:bidi w:val="0"/>
        <w:spacing w:lineRule="auto" w:line="288" w:before="0" w:after="180"/>
        <w:jc w:val="both"/>
        <w:rPr/>
      </w:pPr>
      <w:r>
        <w:rPr>
          <w:rFonts w:ascii="Times New Roman;sans-serif" w:hAnsi="Times New Roman;sans-serif"/>
          <w:b w:val="false"/>
          <w:color w:val="000000"/>
          <w:sz w:val="20"/>
        </w:rPr>
        <w:t>Gross margin for the three months ended September 30, 2023 decreased to 15.5% compared to 20.2% for the three months ended September 30, 2022. The decrease in</w:t>
      </w:r>
      <w:r>
        <w:rPr>
          <w:color w:val="000000"/>
          <w:shd w:fill="FFFFFF" w:val="clear"/>
        </w:rPr>
        <w:t xml:space="preserve"> </w:t>
      </w:r>
      <w:r>
        <w:rPr>
          <w:rFonts w:ascii="Times New Roman;sans-serif" w:hAnsi="Times New Roman;sans-serif"/>
          <w:b w:val="false"/>
          <w:color w:val="000000"/>
          <w:sz w:val="20"/>
          <w:shd w:fill="FFFFFF" w:val="clear"/>
        </w:rPr>
        <w:t xml:space="preserve">gross margin was primarily due to </w:t>
      </w:r>
      <w:r>
        <w:rPr>
          <w:rFonts w:ascii="Times New Roman;sans-serif" w:hAnsi="Times New Roman;sans-serif"/>
          <w:b w:val="false"/>
          <w:color w:val="000000"/>
          <w:sz w:val="20"/>
        </w:rPr>
        <w:t>an increase in the mix of products sold with higher material content, the decrease in net sales and resulting lower factory utilization.</w:t>
      </w:r>
    </w:p>
    <w:p>
      <w:pPr>
        <w:pStyle w:val="TextBody"/>
        <w:bidi w:val="0"/>
        <w:spacing w:lineRule="auto" w:line="288" w:before="0" w:after="180"/>
        <w:jc w:val="both"/>
        <w:rPr/>
      </w:pPr>
      <w:r>
        <w:rPr>
          <w:rFonts w:ascii="Times New Roman;sans-serif" w:hAnsi="Times New Roman;sans-serif"/>
          <w:b w:val="false"/>
          <w:color w:val="000000"/>
          <w:sz w:val="20"/>
          <w:shd w:fill="FFFFFF" w:val="clear"/>
        </w:rPr>
        <w:t>Operating income margin decreased</w:t>
      </w:r>
      <w:r>
        <w:rPr>
          <w:color w:val="000000"/>
        </w:rPr>
        <w:t xml:space="preserve"> </w:t>
      </w:r>
      <w:r>
        <w:rPr>
          <w:rFonts w:ascii="Times New Roman;sans-serif" w:hAnsi="Times New Roman;sans-serif"/>
          <w:b w:val="false"/>
          <w:color w:val="000000"/>
          <w:sz w:val="20"/>
        </w:rPr>
        <w:t>620 b</w:t>
      </w:r>
      <w:r>
        <w:rPr>
          <w:rFonts w:ascii="Times New Roman;sans-serif" w:hAnsi="Times New Roman;sans-serif"/>
          <w:b w:val="false"/>
          <w:color w:val="000000"/>
          <w:sz w:val="20"/>
          <w:shd w:fill="FFFFFF" w:val="clear"/>
        </w:rPr>
        <w:t>asis points to 9.1% for the three months ended September 30, 2023 from 15.3% for the three months ended September 30, 2022. The decrease in our operating income margin was due to the</w:t>
      </w:r>
      <w:r>
        <w:rPr>
          <w:color w:val="000000"/>
        </w:rPr>
        <w:t xml:space="preserve"> </w:t>
      </w:r>
      <w:r>
        <w:rPr>
          <w:rFonts w:ascii="Times New Roman;sans-serif" w:hAnsi="Times New Roman;sans-serif"/>
          <w:b w:val="false"/>
          <w:color w:val="000000"/>
          <w:sz w:val="20"/>
        </w:rPr>
        <w:t>decrease in our gross margin discussed above along with an increase in research and development expenses, primarily due to additional equipment and overhead costs to support development projects in advanced packaging technologies, partially offset by projects that moved into production. Operating income margin was also impacted by an increase in selling, general and administrative expenses, primarily due to increased bad debt expense and software maintenance costs, partially offset by a reduction in employee compensation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totaled $511.7 million for the nine months ended September 30, 2023 compared to $575.5 million for the nine months ended September 30, 2022. Our spending was primarily focused on investments in advanced packaging and test equipment and the Vietnam Facility.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$696.2 million for the nine months ended September 30, 2023 compared to $545.8 million for the nine months ended September 30, 2022. This increase was primarily due to changes in working capital, offset by lower net sales and operating profits.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operating data as a percentage of net sales for the periods indicated:</w:t>
      </w:r>
    </w:p>
    <w:tbl>
      <w:tblPr>
        <w:tblW w:w="9352" w:type="dxa"/>
        <w:jc w:val="left"/>
        <w:tblInd w:w="0" w:type="dxa"/>
        <w:tblLayout w:type="fixed"/>
        <w:tblCellMar>
          <w:top w:w="28" w:type="dxa"/>
          <w:left w:w="28" w:type="dxa"/>
          <w:bottom w:w="28" w:type="dxa"/>
          <w:right w:w="28" w:type="dxa"/>
        </w:tblCellMar>
      </w:tblPr>
      <w:tblGrid>
        <w:gridCol w:w="895"/>
        <w:gridCol w:w="790"/>
        <w:gridCol w:w="805"/>
        <w:gridCol w:w="279"/>
        <w:gridCol w:w="279"/>
        <w:gridCol w:w="656"/>
        <w:gridCol w:w="279"/>
        <w:gridCol w:w="279"/>
        <w:gridCol w:w="279"/>
        <w:gridCol w:w="279"/>
        <w:gridCol w:w="279"/>
        <w:gridCol w:w="656"/>
        <w:gridCol w:w="109"/>
        <w:gridCol w:w="109"/>
        <w:gridCol w:w="109"/>
        <w:gridCol w:w="278"/>
        <w:gridCol w:w="278"/>
        <w:gridCol w:w="625"/>
        <w:gridCol w:w="266"/>
        <w:gridCol w:w="266"/>
        <w:gridCol w:w="266"/>
        <w:gridCol w:w="278"/>
        <w:gridCol w:w="278"/>
        <w:gridCol w:w="735"/>
      </w:tblGrid>
      <w:tr>
        <w:trPr/>
        <w:tc>
          <w:tcPr>
            <w:tcW w:w="89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manufacturing costs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Amkor</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Net Sales</w:t>
      </w:r>
    </w:p>
    <w:tbl>
      <w:tblPr>
        <w:tblW w:w="11000" w:type="dxa"/>
        <w:jc w:val="left"/>
        <w:tblInd w:w="0" w:type="dxa"/>
        <w:tblLayout w:type="fixed"/>
        <w:tblCellMar>
          <w:top w:w="28" w:type="dxa"/>
          <w:left w:w="28" w:type="dxa"/>
          <w:bottom w:w="28" w:type="dxa"/>
          <w:right w:w="28" w:type="dxa"/>
        </w:tblCellMar>
      </w:tblPr>
      <w:tblGrid>
        <w:gridCol w:w="168"/>
        <w:gridCol w:w="148"/>
        <w:gridCol w:w="150"/>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240"/>
        <w:gridCol w:w="241"/>
        <w:gridCol w:w="256"/>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195"/>
        <w:gridCol w:w="196"/>
        <w:gridCol w:w="30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three and nine months ended September 30, 2023 compared to the three and nine months ended September 30, 2022 was primarily due to lower sales in our consumer and computing end markets, partially offset by growth in our communications end market. The consumer end market decreased 46% and 40% for the three and nine months ended September 30, 2023 compared to 2022. The computing end market decreased 19% and 11% for the three and nine months ended September 30, 2023 compared to 2022. These end markets were impacted by the cyclical correction of the semiconductor market, product lifecycle changeovers and weaker demand. Despite this cyclical correction, communications, our largest end market, grew 3% for three and nine months ended September 30, 2023 compared to 2022, due to market share gains and the increase in silicon content within premium tier smartphones.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10052" w:type="dxa"/>
        <w:jc w:val="left"/>
        <w:tblInd w:w="0" w:type="dxa"/>
        <w:tblLayout w:type="fixed"/>
        <w:tblCellMar>
          <w:top w:w="28" w:type="dxa"/>
          <w:left w:w="28" w:type="dxa"/>
          <w:bottom w:w="28" w:type="dxa"/>
          <w:right w:w="28" w:type="dxa"/>
        </w:tblCellMar>
      </w:tblPr>
      <w:tblGrid>
        <w:gridCol w:w="396"/>
        <w:gridCol w:w="348"/>
        <w:gridCol w:w="350"/>
        <w:gridCol w:w="196"/>
        <w:gridCol w:w="736"/>
        <w:gridCol w:w="256"/>
        <w:gridCol w:w="109"/>
        <w:gridCol w:w="109"/>
        <w:gridCol w:w="109"/>
        <w:gridCol w:w="196"/>
        <w:gridCol w:w="736"/>
        <w:gridCol w:w="256"/>
        <w:gridCol w:w="109"/>
        <w:gridCol w:w="109"/>
        <w:gridCol w:w="109"/>
        <w:gridCol w:w="196"/>
        <w:gridCol w:w="811"/>
        <w:gridCol w:w="256"/>
        <w:gridCol w:w="109"/>
        <w:gridCol w:w="109"/>
        <w:gridCol w:w="109"/>
        <w:gridCol w:w="196"/>
        <w:gridCol w:w="736"/>
        <w:gridCol w:w="256"/>
        <w:gridCol w:w="109"/>
        <w:gridCol w:w="109"/>
        <w:gridCol w:w="109"/>
        <w:gridCol w:w="196"/>
        <w:gridCol w:w="736"/>
        <w:gridCol w:w="256"/>
        <w:gridCol w:w="109"/>
        <w:gridCol w:w="109"/>
        <w:gridCol w:w="109"/>
        <w:gridCol w:w="196"/>
        <w:gridCol w:w="811"/>
        <w:gridCol w:w="30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(138,475)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(331,669)</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packages which tend to have higher material costs than our other products. As we continue to increase production of these higher material cost products, there could be an impact on our profitability, depending on overall utilization.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and gross margin decreased for the three and nine months ended September 30, 2023 compared to the three and nine months ended September 30, 2022, primarily due to an increase in the mix of products sold with higher material content, the decrease in net sales and resulting lower factory utilization.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10415" w:type="dxa"/>
        <w:jc w:val="left"/>
        <w:tblInd w:w="0" w:type="dxa"/>
        <w:tblLayout w:type="fixed"/>
        <w:tblCellMar>
          <w:top w:w="28" w:type="dxa"/>
          <w:left w:w="28" w:type="dxa"/>
          <w:bottom w:w="28" w:type="dxa"/>
          <w:right w:w="28" w:type="dxa"/>
        </w:tblCellMar>
      </w:tblPr>
      <w:tblGrid>
        <w:gridCol w:w="402"/>
        <w:gridCol w:w="354"/>
        <w:gridCol w:w="355"/>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88"/>
        <w:gridCol w:w="188"/>
        <w:gridCol w:w="256"/>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88"/>
        <w:gridCol w:w="188"/>
        <w:gridCol w:w="301"/>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both"/>
        <w:rPr/>
      </w:pPr>
      <w:r>
        <w:rPr>
          <w:rFonts w:ascii="Times New Roman;sans-serif" w:hAnsi="Times New Roman;sans-serif"/>
          <w:b w:val="false"/>
          <w:color w:val="000000"/>
          <w:sz w:val="20"/>
        </w:rPr>
        <w:t>Selling, general and administrative expenses increased for the three and nine months ended September 30, 2023</w:t>
      </w:r>
      <w:r>
        <w:rPr>
          <w:color w:val="000000"/>
          <w:shd w:fill="FFFFFF" w:val="clear"/>
        </w:rPr>
        <w:t xml:space="preserve"> </w:t>
      </w:r>
      <w:r>
        <w:rPr>
          <w:rFonts w:ascii="Times New Roman;sans-serif" w:hAnsi="Times New Roman;sans-serif"/>
          <w:b w:val="false"/>
          <w:color w:val="000000"/>
          <w:sz w:val="20"/>
          <w:shd w:fill="FFFFFF" w:val="clear"/>
        </w:rPr>
        <w:t>compared to the</w:t>
      </w:r>
      <w:r>
        <w:rPr>
          <w:color w:val="000000"/>
        </w:rPr>
        <w:t xml:space="preserve"> </w:t>
      </w:r>
      <w:r>
        <w:rPr>
          <w:rFonts w:ascii="Times New Roman;sans-serif" w:hAnsi="Times New Roman;sans-serif"/>
          <w:b w:val="false"/>
          <w:color w:val="000000"/>
          <w:sz w:val="20"/>
        </w:rPr>
        <w:t>three and nine months ended September 30, 2022, primarily due to increased bad debt expense and software maintenance costs, partially offset by a reduction in employee compensation costs.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10595" w:type="dxa"/>
        <w:jc w:val="left"/>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0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activities are focused on developing new packaging and test services and improving the efficiency and capabilities of our existing production processes. The costs related to our technology and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for the three and nine months ended September 30, 2023 compared to the three and nine months ended September 30, 2022, primarily due to additional equipment and overhead costs to support development projects in advanced packaging technologies, partially offset by projects that moved into production.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tbl>
      <w:tblPr>
        <w:tblW w:w="10280" w:type="dxa"/>
        <w:jc w:val="center"/>
        <w:tblInd w:w="0" w:type="dxa"/>
        <w:tblLayout w:type="fixed"/>
        <w:tblCellMar>
          <w:top w:w="28" w:type="dxa"/>
          <w:left w:w="28" w:type="dxa"/>
          <w:bottom w:w="28" w:type="dxa"/>
          <w:right w:w="28" w:type="dxa"/>
        </w:tblCellMar>
      </w:tblPr>
      <w:tblGrid>
        <w:gridCol w:w="545"/>
        <w:gridCol w:w="146"/>
        <w:gridCol w:w="135"/>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256"/>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84"/>
        <w:gridCol w:w="287"/>
        <w:gridCol w:w="301"/>
      </w:tblGrid>
      <w:tr>
        <w:trPr/>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loss (gain),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retirement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for the three months ended September 30, 2023 compared to the three months ended September 30, 2022, primarily due to an increase in capitalized interest for the Vietnam Facility, partially offset by higher interest rates in 2023 and additional borrowings during 2022.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for the three and nine months ended September 30, 2023 compared to the three and nine months ended September 30, 2022, primarily due to higher interest rates on our cash and cash equivalents and available-for-sale debt investment balances.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foreign currency loss (gain), net for the three and nine months ended September 30, 2023 compared to the three and nine months ended September 30, 2022 were primarily due to the strengthening of the U.S. dollar in the prior year compared to the foreign currencies of our subsidiaries, mainly the Japanese yen, and the associated impact on our net monetary exposure. In addition, the current year loss includes higher costs associated with our derivative instruments, which are used to reduce our exposure to foreign currency gains and losses.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8720" w:type="dxa"/>
        <w:jc w:val="left"/>
        <w:tblInd w:w="0" w:type="dxa"/>
        <w:tblLayout w:type="fixed"/>
        <w:tblCellMar>
          <w:top w:w="28" w:type="dxa"/>
          <w:left w:w="28" w:type="dxa"/>
          <w:bottom w:w="28" w:type="dxa"/>
          <w:right w:w="28" w:type="dxa"/>
        </w:tblCellMar>
      </w:tblPr>
      <w:tblGrid>
        <w:gridCol w:w="548"/>
        <w:gridCol w:w="482"/>
        <w:gridCol w:w="484"/>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and nine months ended September 30, 2023 compared to the three and nine months ended September 30, 2022. The prior year income tax expense was reduced by a $16.2 million income tax benefit from the recognition of deferred tax assets we expect to utilize in future years and foreign currency exchange rate movements.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our subsidiaries in Korea and Singapore operated under various conditional reduced tax rates. As these conditional reduced tax rates expire, income earned in these jurisdictions will be subject to higher statutory income tax rates, which may cause our effective tax rate to increase.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Form 10-Q.</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 </w:t>
      </w:r>
    </w:p>
    <w:p>
      <w:pPr>
        <w:pStyle w:val="TextBody"/>
        <w:bidi w:val="0"/>
        <w:spacing w:lineRule="auto" w:line="288" w:before="0" w:after="180"/>
        <w:jc w:val="both"/>
        <w:rPr/>
      </w:pPr>
      <w:r>
        <w:rPr>
          <w:rFonts w:ascii="Times New Roman;sans-serif" w:hAnsi="Times New Roman;sans-serif"/>
          <w:b w:val="false"/>
          <w:color w:val="000000"/>
          <w:sz w:val="20"/>
        </w:rPr>
        <w:t>As of September 30, 2023, we had cash and cash e</w:t>
      </w:r>
      <w:r>
        <w:rPr>
          <w:rFonts w:ascii="Times New Roman;sans-serif" w:hAnsi="Times New Roman;sans-serif"/>
          <w:b w:val="false"/>
          <w:color w:val="000000"/>
          <w:sz w:val="20"/>
          <w:shd w:fill="FFFFFF" w:val="clear"/>
        </w:rPr>
        <w:t xml:space="preserve">quivalents and short-term investments of $1,174.7 million. Included in our cash and short-term investments balances as of September 30, 2023 is </w:t>
      </w:r>
      <w:r>
        <w:rPr>
          <w:rFonts w:ascii="Times New Roman;sans-serif" w:hAnsi="Times New Roman;sans-serif"/>
          <w:b w:val="false"/>
          <w:color w:val="000000"/>
          <w:sz w:val="20"/>
        </w:rPr>
        <w:t xml:space="preserve">$1,032.0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 </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net liability associated with unrecognized tax benefits is $26.5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nine months ended September 30, 2023 and 2022, we sold accounts receivable totaling $149.8 million and $247.8 million, net of discounts and fees of $0.3 million and $0.6 million,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borrowing capacity under the 2022 Singapore Revolver is limited to a base amount equal to the lesser of: (1) $600.0 million; or (2) $250.0 million plus a variable amount equal to 37.5% of our consolidated accounts receivable balance. As of September 30, 2023, we had availability of $600.0 million. As of September 30, 2023, our foreign subsidiaries had $615.0 million available for future borrowings under revolving credit facilities, including the 2022 Singapore Revolver, and $63.8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debt of $1,097.1 million, with $149.9 million payable within 12 months. As of September 30, 2023, the interest payment obligations, based on stated coupon rates for fixed rate debt and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at September 30, 2023 for variable rate debt, were $173.9 million during the remaining term of the debt. Interest payment obligations payable within 12 months is $49.4 million. We were in compliance with all debt covenants as of September 30, 2023, and we expect to remain in compliance with these covenants for at least the next twelve months. For additional information regarding our debt arrangements, please refer to Note 11 to our Consolidated Financial Statements in Part 1, Item 1 of this Form 10-Q.</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of Amkor Technology, Inc. is structurally subordinated in right of payment to all existing and future debt and other liabilities of our subsidiaries. From time to time, Amkor Technology Inc., ATT, AATT and ATSH guarantee certain debt of our subsidiaries.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in Korea maintains an unfunded severance plan that covers certain employees who were employed prior to August 1, 2015. As of September 30, 2023, the severance liability was $51.8 million, with $6.9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September 30, 2023, we had foreign pension plan obligations of $43.4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2022 Form 10-K.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lease certain machinery and equipment, office space and manufacturing facilities. As of September 30, 2023, our total remaining operating lease obligations and finance lease obligations were $118.3 million and $109.9 million, respectively, with $47.0 million and $66.1 million payable within 12 months, respectively. The lease obligations represent our future minimum lease payments including interest payments.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had off-balance sheet purchase obligations for capital expenditures, long-term supply contracts and other contractual commitments. As of September 30, 2023, the purchase obligations were $360.4 million, with $339.0 million payable within 12 months.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Returns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paid total quarterly cash dividends of $55.3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August 2023, our Board of Directors terminated our stock repurchase program taking into consideration, among other things, our practice of paying quarterly cash dividends. </w:t>
      </w:r>
      <w:r>
        <w:rPr>
          <w:rFonts w:ascii="Times New Roman;sans-serif" w:hAnsi="Times New Roman;sans-serif"/>
          <w:b w:val="false"/>
          <w:color w:val="000000"/>
          <w:sz w:val="20"/>
        </w:rPr>
        <w:t xml:space="preserve">We had not purchased any stock under the stock repurchase program since 2012.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make significant capital expenditures in order to service the demand of our customers, which are primarily focused on investments in advanced packaging and test equipment and the Vietnam Facility. During the nine months ended September 30, 2023, our capital expenditures totaled $511.7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expect that our 2023 capital expenditures will be approximate</w:t>
      </w:r>
      <w:r>
        <w:rPr>
          <w:rFonts w:ascii="Times New Roman;sans-serif" w:hAnsi="Times New Roman;sans-serif"/>
          <w:b w:val="false"/>
          <w:color w:val="000000"/>
          <w:sz w:val="20"/>
          <w:shd w:fill="FFFFFF" w:val="clear"/>
        </w:rPr>
        <w:t>ly</w:t>
      </w:r>
      <w:r>
        <w:rPr>
          <w:color w:val="000000"/>
        </w:rPr>
        <w:t xml:space="preserve"> </w:t>
      </w:r>
      <w:r>
        <w:rPr>
          <w:rFonts w:ascii="Times New Roman;sans-serif" w:hAnsi="Times New Roman;sans-serif"/>
          <w:b w:val="false"/>
          <w:color w:val="000000"/>
          <w:sz w:val="20"/>
        </w:rPr>
        <w:t>$750 million. Ultimately, the amount of our 2023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investing and financing activities for the nine months ended September 30, 2023 and 2022, was as follows:</w:t>
      </w:r>
    </w:p>
    <w:tbl>
      <w:tblPr>
        <w:tblW w:w="4960" w:type="dxa"/>
        <w:jc w:val="left"/>
        <w:tblInd w:w="0" w:type="dxa"/>
        <w:tblLayout w:type="fixed"/>
        <w:tblCellMar>
          <w:top w:w="28" w:type="dxa"/>
          <w:left w:w="28" w:type="dxa"/>
          <w:bottom w:w="28" w:type="dxa"/>
          <w:right w:w="28" w:type="dxa"/>
        </w:tblCellMar>
      </w:tblPr>
      <w:tblGrid>
        <w:gridCol w:w="630"/>
        <w:gridCol w:w="553"/>
        <w:gridCol w:w="557"/>
        <w:gridCol w:w="255"/>
        <w:gridCol w:w="1000"/>
        <w:gridCol w:w="131"/>
        <w:gridCol w:w="131"/>
        <w:gridCol w:w="131"/>
        <w:gridCol w:w="131"/>
        <w:gridCol w:w="255"/>
        <w:gridCol w:w="1000"/>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545,764 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(723,216)</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i/>
          <w:color w:val="000000"/>
          <w:sz w:val="20"/>
        </w:rPr>
        <w:t xml:space="preserve">Operating activities: </w:t>
      </w:r>
      <w:r>
        <w:rPr>
          <w:color w:val="000000"/>
        </w:rPr>
        <w:t>  </w:t>
      </w:r>
      <w:r>
        <w:rPr>
          <w:rFonts w:ascii="Times New Roman;sans-serif" w:hAnsi="Times New Roman;sans-serif"/>
          <w:b w:val="false"/>
          <w:color w:val="000000"/>
          <w:sz w:val="20"/>
        </w:rPr>
        <w:t>Our cash flow provided by operating activities for the nine months ended September 30, 2023 increased by $150.4 million compared to the nine months ended September 30, 2022, primarily due to changes in working capital, offset by lower net sales and operating profits.</w:t>
      </w:r>
    </w:p>
    <w:p>
      <w:pPr>
        <w:pStyle w:val="TextBody"/>
        <w:bidi w:val="0"/>
        <w:spacing w:lineRule="auto" w:line="288" w:before="0" w:after="180"/>
        <w:jc w:val="both"/>
        <w:rPr/>
      </w:pPr>
      <w:r>
        <w:rPr>
          <w:rFonts w:ascii="Times New Roman;sans-serif" w:hAnsi="Times New Roman;sans-serif"/>
          <w:b w:val="false"/>
          <w:i/>
          <w:color w:val="000000"/>
          <w:sz w:val="20"/>
          <w:shd w:fill="FFFFFF" w:val="clear"/>
        </w:rPr>
        <w:t xml:space="preserve">Investing activities: </w:t>
      </w:r>
      <w:r>
        <w:rPr>
          <w:color w:val="000000"/>
          <w:shd w:fill="FFFFFF" w:val="clear"/>
        </w:rPr>
        <w:t>  </w:t>
      </w:r>
      <w:r>
        <w:rPr>
          <w:rFonts w:ascii="Times New Roman;sans-serif" w:hAnsi="Times New Roman;sans-serif"/>
          <w:b w:val="false"/>
          <w:color w:val="000000"/>
          <w:sz w:val="20"/>
          <w:shd w:fill="FFFFFF" w:val="clear"/>
        </w:rPr>
        <w:t xml:space="preserve">Our cash flow used in investing activities for the </w:t>
      </w:r>
      <w:r>
        <w:rPr>
          <w:rFonts w:ascii="Times New Roman;sans-serif" w:hAnsi="Times New Roman;sans-serif"/>
          <w:b w:val="false"/>
          <w:color w:val="000000"/>
          <w:sz w:val="20"/>
        </w:rPr>
        <w:t>nine months ended September 30, 2023 decreased by $26.3 million compared to the nine months ended September 30, 2022, primarily due to decreased payments related to property, plant and equipment and decreased net payments for foreign exchange forward contracts, offset by higher net payments for short-term investments</w:t>
      </w:r>
      <w:r>
        <w:rPr>
          <w:rFonts w:ascii="Times New Roman;sans-serif" w:hAnsi="Times New Roman;sans-serif"/>
          <w:b w:val="false"/>
          <w:color w:val="000000"/>
          <w:sz w:val="20"/>
          <w:shd w:fill="FFFFFF" w:val="clear"/>
        </w:rPr>
        <w:t xml:space="preserve">. Payments for property, plant and equipment can fluctuate based on the timing of purchase, receipt and acceptance of equipment. </w:t>
      </w:r>
    </w:p>
    <w:p>
      <w:pPr>
        <w:pStyle w:val="TextBody"/>
        <w:bidi w:val="0"/>
        <w:spacing w:lineRule="auto" w:line="288" w:before="0" w:after="180"/>
        <w:jc w:val="both"/>
        <w:rPr/>
      </w:pPr>
      <w:r>
        <w:rPr>
          <w:rFonts w:ascii="Times New Roman;sans-serif" w:hAnsi="Times New Roman;sans-serif"/>
          <w:b w:val="false"/>
          <w:i/>
          <w:color w:val="000000"/>
          <w:sz w:val="20"/>
        </w:rPr>
        <w:t xml:space="preserve">Financing activities: </w:t>
      </w:r>
      <w:r>
        <w:rPr>
          <w:color w:val="000000"/>
        </w:rPr>
        <w:t>  </w:t>
      </w:r>
      <w:r>
        <w:rPr>
          <w:rFonts w:ascii="Times New Roman;sans-serif" w:hAnsi="Times New Roman;sans-serif"/>
          <w:b w:val="false"/>
          <w:color w:val="000000"/>
          <w:sz w:val="20"/>
        </w:rPr>
        <w:t>The net cash used in financing activities for the nine months ended September 30, 2023 was primarily due to net debt repayments, the payments of our quarterly dividend and finance lease obligations. The net cash provided by financing activities for the nine months ended September 30, 2022 was primarily due to net debt borrowings, offset by the payments of our quarterly dividend.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tbl>
      <w:tblPr>
        <w:tblW w:w="8710" w:type="dxa"/>
        <w:jc w:val="left"/>
        <w:tblInd w:w="0" w:type="dxa"/>
        <w:tblLayout w:type="fixed"/>
        <w:tblCellMar>
          <w:top w:w="28" w:type="dxa"/>
          <w:left w:w="28" w:type="dxa"/>
          <w:bottom w:w="28" w:type="dxa"/>
          <w:right w:w="28" w:type="dxa"/>
        </w:tblCellMar>
      </w:tblPr>
      <w:tblGrid>
        <w:gridCol w:w="1987"/>
        <w:gridCol w:w="1749"/>
        <w:gridCol w:w="1754"/>
        <w:gridCol w:w="255"/>
        <w:gridCol w:w="1000"/>
        <w:gridCol w:w="131"/>
        <w:gridCol w:w="131"/>
        <w:gridCol w:w="131"/>
        <w:gridCol w:w="131"/>
        <w:gridCol w:w="255"/>
        <w:gridCol w:w="1000"/>
        <w:gridCol w:w="186"/>
      </w:tblGrid>
      <w:tr>
        <w:trPr/>
        <w:tc>
          <w:tcPr>
            <w:tcW w:w="198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545,764 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property, plant and equipment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(575,502)</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and grants for property, plant and equipment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Risk Sensitivity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primarily related to foreign currency and interest rate fluctuations. In the normal course of business, we employ established policies and procedures to manage the exposure to fluctuations in foreign currency values and changes in interest rates.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2023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nine months ended September 30, 2023 would have been approximately $14 million lower, due to the remeasurement of monetary assets and liabilities.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foreign currency exchange rate exposure on our results of operations. For the nine months ended September 30, 2023, approximately 90% of our net sales were denominated in U.S. dollars. Our remaining net sales were principally denominated in Japanese yen. For the nine months ended September 30, 2023,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2023 to assess the potential impact of fluctuations in exchange rates for all foreign denominated sales and operating expenses. Assuming that all foreign currencies appreciated 10% against the U.S. dollar, our operating income for the nine months ended September 30, 2023 would have been approximately $108 million lower.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impacted by changes in exchange rates at the entity where the local currency is the functional currency. The effect of foreign exchange rate translation for these entities was a loss of $14.8 million and $31.5 million for the nine months ended September 30, 2023 and 2022, respectively, and was recognized as an adjustment to equity through other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interest rates, maturities and fair value of our fixed and variable rate debt as of September 30, 2023:</w:t>
      </w:r>
    </w:p>
    <w:tbl>
      <w:tblPr>
        <w:tblW w:w="12382" w:type="dxa"/>
        <w:jc w:val="left"/>
        <w:tblInd w:w="0" w:type="dxa"/>
        <w:tblLayout w:type="fixed"/>
        <w:tblCellMar>
          <w:top w:w="28" w:type="dxa"/>
          <w:left w:w="28" w:type="dxa"/>
          <w:bottom w:w="28" w:type="dxa"/>
          <w:right w:w="28" w:type="dxa"/>
        </w:tblCellMar>
      </w:tblPr>
      <w:tblGrid>
        <w:gridCol w:w="470"/>
        <w:gridCol w:w="162"/>
        <w:gridCol w:w="164"/>
        <w:gridCol w:w="196"/>
        <w:gridCol w:w="64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196"/>
        <w:gridCol w:w="736"/>
        <w:gridCol w:w="241"/>
        <w:gridCol w:w="109"/>
        <w:gridCol w:w="109"/>
        <w:gridCol w:w="109"/>
        <w:gridCol w:w="196"/>
        <w:gridCol w:w="646"/>
        <w:gridCol w:w="241"/>
        <w:gridCol w:w="109"/>
        <w:gridCol w:w="109"/>
        <w:gridCol w:w="109"/>
        <w:gridCol w:w="196"/>
        <w:gridCol w:w="871"/>
        <w:gridCol w:w="241"/>
        <w:gridCol w:w="109"/>
        <w:gridCol w:w="109"/>
        <w:gridCol w:w="109"/>
        <w:gridCol w:w="196"/>
        <w:gridCol w:w="87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2023 - 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in thousands)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596,021 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951,886 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maturities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30,089 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144,131 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193,657 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88,562 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596,021 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1,102,460 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1,069,364 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the fair value of our long-term debt, see Note 14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2023 and concluded those disclosure controls and procedures were effective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September 30, 2023. There have been no changes in our internal control over financial reporting that occurred during the three months ended September 30, 2023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1.        </w:t>
      </w:r>
      <w:r>
        <w:rPr>
          <w:rFonts w:ascii="Times New Roman;sans-serif" w:hAnsi="Times New Roman;sans-serif"/>
          <w:b/>
          <w:i/>
          <w:color w:val="000000"/>
          <w:sz w:val="20"/>
        </w:rPr>
        <w:t>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legal proceedings is set forth in Note 15 to our Consolidated Financial Statements in Part I, Item 1 of this Form 10-Q and in Note 17 to the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color w:val="000000"/>
          <w:sz w:val="20"/>
        </w:rPr>
        <w:t xml:space="preserve">Item 1A. </w:t>
      </w:r>
      <w:r>
        <w:rPr>
          <w:color w:val="000000"/>
        </w:rPr>
        <w:t>    </w:t>
      </w:r>
      <w:r>
        <w:rPr>
          <w:rFonts w:ascii="Times New Roman;sans-serif" w:hAnsi="Times New Roman;sans-serif"/>
          <w:b/>
          <w:i/>
          <w:color w:val="000000"/>
          <w:sz w:val="20"/>
        </w:rPr>
        <w:t>Risk Factors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pStyle w:val="TextBody"/>
        <w:bidi w:val="0"/>
        <w:spacing w:lineRule="auto" w:line="247" w:before="0" w:after="18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Company-Specific Risk Factors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dependence on the cyclical and volatile semiconductor industry and vulnerability to industry downturns and declines in global economic and financial conditions;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costs, quality, availability and delivery times of raw materials, components and equipment;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operating results and cash flows;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dependence on international factories and operations, and risks relating to trade restrictions and regional conflict;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competition with established competitors in the packaging and test business, the internal capabilities of integrated device manufacturers (“IDMs”), and new competitors, including foundries;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substantial investments in equipment and facilities to support the demand of our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difficulty achieving the relatively high-capacity utilization rates necessary to realize satisfactory gross margins given our high percentage of fixed costs;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absence of backlog and the short-term nature of our customers’ commitments;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historical downward pressure on the prices of our packaging and test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develop new proprietary technology, protect our proprietary technology, operate without infringing the proprietary rights of others, and implement new technologies;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warranty claims, product return and liability risks, and the risk of negative publicity if our products fail, as well as the risk of litigation incident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restrictive covenants in the indentures and agreements governing our current and future indebtedness;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possibility that we may decrease or suspend our quarterly dividend;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significant severance plan obligations associated with our manufacturing operations in Korea;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ability of certain of our stockholders to effectively determine or substantially influence the outcome of matters requiring stockholder approval.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General Risk Factors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dependence on key customers or concentration of customers in certain end markets, such as mobile communications and automotive;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conditions or pandemics, such as the Covid-19 pandemic, impacting labor availability and operating capacity, capital availability, the supply chain and consumer demand for our customers’ products and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substantial indebtedness;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interest rates and changes in credit risk;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difficulty funding our liquidity needs;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difficulty attracting, retaining or replacing qualified personnel;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maintaining an effective system of internal controls;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continuing development and implementation of changes to, and maintenance and security of, our information technology systems;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challenges with integrating diverse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changes in tax laws, taxing authorities not agreeing with our interpretation of applicable tax laws, including whether we continue to qualify for conditional reduced tax rates, or any requirements to establish or adjust valuation allowances on deferred tax assets;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environmental, health and safety liabilities and expenditures;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natural disasters and other calamities, health conditions or pandemics, political instability, hostilities or other disruptions.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Company-Specific Risk Factors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Our packaging and test services are used in volatile industries, and industry downturns and declines in global economic and financial conditions could harm our performance.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impacted by market conditions in the semiconductor industry, which is cyclical by nature and impacted by broad economic factors, such as worldwide gross domestic product and consumer spending. We believe that the general semiconductor market is currently going through a cyclical correction.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computing,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declines in global economic and financial conditions have harmed our business in the past, and future global downturns could materially and adversely affect our business. New variants or the potential re-emergence of the Covid-19 pandemic or the occurrence of other epidemics or pandemics, and the imposition of related public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measures and travel and business restrictions, may materially and adversely impact our business, financial condition, operating results and cash flows. For example, as part of a broad effort to mitigate a rising number of Covid-19 cases in Shanghai, the Chinese government mandated a lockdown of our Shanghai factory from March 2022 to June 2022. Other national, regional, and local governments have implemented, and may implement in the future, public health measures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to predict the timing, strength or duration of any economic disruption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may suffer if the cost, quality or supply of materials or equipment changes adversely.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To the extent the impact of such disruptive events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new packaging and test equipment to maintain and expand our operations. From time to time, increased demand for new equipment may cause lead times to extend beyond those normally required by equipment vendors, and the Covid-19 pandemic and resulting supply chain disruptions and economic turbulence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pricing, currency risk and potential shortages in equipment in a strong market, any of which could have a material adverse effect on our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operating results and cash flows have varied and may vary significantly as a result of factors that we cannot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demand for semiconductors and conditions in the semiconductor industry generally, as well as by specific customers, such as inventory reductions by our customers impacting demand in key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cost, quality, availability and delivery times of raw materials, components, equipment and labor;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inflation, including wage inflation, and fluctuations in commodity prices, including gold, copper and other precious metals;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achieve our major growth objectives, including transitioning second-wave customers to advanced packages and increasing our share of the automotive and industrial end market;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capacity and capacity utilization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interest rates and currency exchange rates, including the current rising interest rate environment;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average selling prices which can occur quickly due to the absence of long-term agreements on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mix of the semiconductor packaging and test services that we sell;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of expenditures in anticipation of future orders;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effective tax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availability and cost of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leverage and debt covenants;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intellectual property transactions and disputes;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warranty and product liability claims and the impact of quality excursions and customer disputes and returns;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associated with legal claims, indemnification obligations, judgments and settlements;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instability, conflicts (such as the ongoing conflict in Ukraine) and government shutdowns, civil disturbances and international events;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environmental or natural disasters such as earthquakes, typhoons and volcanic eruptions;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pandemics or other widespread illnesses that may impact our labor force, operations, liquidity, supply chain and end-user demand for products which incorporate semiconductors, such as the Covid-19 pandemic;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of acquisitions and divestitures and difficulties integrating acquisitions;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qualified personnel to support our global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penetrate new end markets or expand our business in existing end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dependence on key customers or concentration of customers in certain end markets, such as mobile communications and automotive;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restructuring charges, asset write-offs and impairments.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2022, the U.S. Bureau of Industry and Security announced export control regulations applicable to U.S. semiconductor technology sold in China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factories and operations, and those of our customers and vendors, are located in various foreign jurisdictions, which exposes us to risks arising from international trade restrictions and regional conflict.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packaging and test services through our factories and other operations located in China, Japan, Korea, Malaysia, the Philippines, Portugal, Singapore and Taiwan and are preparing to offer packaging and test services from the Vietnam Facility. Substantially all of our property, plant and equipment is located outside of the United States, and many of our customers and the vendors in our supply chain are also located outside the U.S.  The following are some of the risks we face in doing business internationally: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laws, rules, regulations and policies within China and other countries that may favor domestic companies over non-domestic companies, including customer- or government-supported efforts to promote the development and growth of local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and safety concerns, including widespread outbreak of infectious diseases, such as Covid-19, and governmental responses thereto;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consumer demand resulting from current or expected inflation or other variations in local economies;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laws, rules, regulations and policies imposed by U.S. or foreign governments in areas such as data privacy, cybersecurity, antitrust and competition, tax, currency and banking, labor, environmental, and health and safety;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payment of dividends and other payments by non-U.S. subsidiaries may be subject to prohibitions, limitations or taxes in local jurisdictions;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currency exchange rates, particularly the U.S. dollar to Japanese yen exchange rate for our operations in Japan;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and social conditions, and the potential for civil unrest, terrorism or other hostilities (such as the ongoing conflict in Ukraine);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disruptions or delays in shipments caused by customs brokers or government agencies;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 attracting and retaining qualified personnel and managing foreign operations, including foreign labor disruptions;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difficulty in enforcing contractual rights and protecting our intellectual property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potentially adverse tax consequences resulting from tax laws in the U.S. and in other jurisdictions;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local business and cultural factors that differ from our normal standards and practices, including business practices that we are prohibited from engaging in by the U.S. Foreign Corrupt Practices Act and other anti-corruption laws and regulations.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BIS Regulations place limitations on the ability of companies to export certain advanced computing semiconductor chips, as well as chipmaking equipment, by requiring companies to obtain licenses to export such products and equipment into China. Certain of the Company’s competitors may be exempt from the BIS Regulations by virtue of being non-U.S. manufacturers. To the extent required, Amkor would pursue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impacted, and may impact in the future, our operations and the operations of our customers and suppliers as a result of illness, quarantines, facility closures and travel and logistics restrictions in connection with the outbreak. National, regional, and local governments have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compete against established competitors in the packaging and test business as well as internal capabilities of IDMs and face competition from new competitors, including foundries.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make substantial investments in equipment and facilities to support the demand of our customers, which may materially and adversely affect our business if the demand of our customers does not develop as we expect or is adversely affected.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initial phase of construction for our Vietnam Facility. There can be no assurance, however, that high-volume manufacturing will begin on schedule or that the actual scope, costs or benefits of the project will be consistent with our current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Due to our high percentage of fixed costs, we may be unable to maintain satisfactory gross margins if we are unable to achieve relatively high-capacity utilization rates.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lack of contractually committed customer demand may materially and adversely affect our sales.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Historically, there has been downward pressure on the prices of our packaging and test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Packaging and test processes are complex, and our production yields and customer relationships may suffer from defects in the services we provide or if we do not successfully implement new technologies.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contaminants in the manufacturing environment;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human error;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equipment malfunction;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changing processes to address environmental requirements;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defective raw materials;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defective plating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will suffer if we are not able to develop new proprietary technology, protect our proprietary technology and operate without infringing the proprietary rights of others.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and may be challenged, invalidated or circumvented. As a result, such patents may not offer us meaningful protection or provide the commercial advantage for which they were designed.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discontinue the use of certain processes or cease to provide the services at issue, which could curtail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pay substantial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 non-infringing technologies, which may not be feasible;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licenses to such technology, which may not be available on commercially reasonable terms or at 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pStyle w:val="TextBody"/>
        <w:bidi w:val="0"/>
        <w:spacing w:lineRule="auto" w:line="288" w:before="0" w:after="180"/>
        <w:jc w:val="both"/>
        <w:rPr/>
      </w:pPr>
      <w:r>
        <w:rPr>
          <w:rFonts w:ascii="Times New Roman;sans-serif" w:hAnsi="Times New Roman;sans-serif"/>
          <w:b/>
          <w:i/>
          <w:color w:val="000000"/>
          <w:sz w:val="20"/>
        </w:rPr>
        <w:t>We may face warranty claims, product return and liability risks, economic damage claims and negative publicity if our packages fail</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packages are incorporated into a number of end products. If our packages fail, our business may be exposed to warranty claims, product return and liability risks, economic damage claims and negative publicity.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Covenants in the indentures and agreements governing our current and future indebtedness could restrict our operating flexibility.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decrease or suspend our quarterly dividend, and any decrease in or suspension of the dividend could cause our stock price to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significant severance plan obligations associated with our manufacturing operations in Korea which could reduce our cash flow and negatively impact our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in Korea maintains an unfunded severance plan, under which we have an accrued liability of $51.8 million as of September 30, 2023.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James J. Kim and members of his family can effectively determine or substantially influence the outcome of all matters requiring stockholder approval.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James J. Kim, the Executive Chairman of our Board of Directors, Susan Y. Kim, the Executive Vice Chairman of our Board of Directors, and members of the Kim family and affiliates owned approximately 132.0 million shares, or approximately 54%, of our outstanding common stock. The Kim family also has options to acquire approximately 0.6 million shares. If the options are exercised, the Kim family’s total ownership would be an aggregate of approximately 132.6 million shares, or approximately 54% of our outstanding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2013, the Kim family exchanged convertible notes issued by Amkor in 2009 for approximately 49.6 million shares of common stock (the “Convert Shares”). As of September 30, 2023,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Risk Factors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loss of certain customers or reduced orders or pricing from existing customers may have a material adverse effect on our operations and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65% of our net sales for the year ended December 31, 2022.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Covid-19 pandemic has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impacts of the Covid-19 pandemic have varied, and may continue to vary, by location, by industry and by end market. We, our suppliers and our customers have been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in order to contain the spread of Covid-19 have caused, and may cause in the future, disruptions to our supply chain in connection with the sourcing of equipment, supplies and other materials, and similar restrictions in the future could limit our capacity to meet customer demand and have a material adverse effect on our business, results of operations and financial condition.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implement in the future, restrictions to mitigate the spread of Covid-19, the emergence of new variants, or the re-emergence of Covid-19 in jurisdictions in which we, our customers and our suppliers operate (such as the government-mandated lockdown of our Shanghai factory during the second quarter of 2022),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spread of Covid-19 caused us to modify our business practices (including corporate hygiene protocols at factories, restricting employee travel and employee work locations and cancelling physical participation in meetings, events and conferences) and, while the long-term impact of the Covid-19 pandemic remains uncertain, we have retained many of those enhanced measures as part of our commitment to protect the health and safety of our employees. We may also take further actions in the future as may be required by government authorities or that we determine to be in the best interests of our employees, customers and suppliers. There is no certainty that such measures will be sufficient to mitigate the future impact of the Covid-19 pandemic, and our ability to perform critical functions could be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substantial indebtedness could have a material adverse effect on our financial condition and prevent us from fulfilling our obligations.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substantial amount of debt, and the terms of the agreements governing our indebtedness allow us and our subsidiaries to incur more debt, subject to certain limitations. As of September 30, 2023, our total debt balance was $1,097.1 million, of which $149.9 million was classified as a current liability and $568.0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could: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it more difficult for us to satisfy our obligations with respect to our indebtedness, including our obligations under our indentures to purchase notes tendered as a result of a change in control of Amkor;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 our ability to fund future working capital, capital expenditures, research and development and other business opportunities, including joint ventures and acquisitions;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the volatility of the price of our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 our flexibility to react to changes in our business and the industry in which we operate;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place us at a competitive disadvantage to any of our competitors that have less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 along with the financial and other covenants in our indebtedness, our ability to borrow additional funds;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 our ability to refinance our existing indebtedness, particularly during periods of adverse credit market conditions when refinancing indebtedness may not be available under interest rates and other terms acceptable to us or at all;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our cost of borrowing.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are exposed to fluctuations in interest rates and changes in credit risk, which could have a material adverse impact on our earnings as it relates to the market value of our investment portfolio.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have difficulty funding liquidity needs.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our current and future customers requires that we incur significant operating expenses and continue to make significant capital expenditures and other investments, and the amount of our capital expenditures for 2023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of the worldwide banking system and capital markets also affects our liquidity. If financial institutions that have extended credit commitments to us are adversely affected by the conditions of the U.S., foreign or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banking system and capital markets (including as a result of rising interest rates, economic downturns or other developments), they may refuse or be unable to fund borrowings under their credit commitments to us. The U.S. Federal Reserve has raised interest rates several times during 2022 and 2023 and has signaled the possibility of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risks trying to attract, retain or replace qualified employees to support our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we may not be able to accurately report financial results or prevent fraud.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risks in connection with the continuing development and implementation of changes to, and maintenance and security of, our information technology systems.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breaches could result in unauthorized disclosure of confidential information or disruptions to our operations. While we have not experienced a material information security breach,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delays in the design and implementation of the system;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may exceed our plans and expectations;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face challenges as we integrate diverse operations.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increasing the scope, geographic diversity and complexity of our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conforming an acquired company’s standards, practices, systems and controls with our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increasing complexity from combining recent acquisitions of an acquired business;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unexpected losses of key employees or customers of an acquired business;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difficulties in the assimilation of acquired operations, technologies or products;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diversion of management and other resources from other parts of our operations and adverse effects on existing business relationships with customers.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these activities, we may: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incur costs associated with personnel reductions and voluntary retirement programs;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record restructuring charges to cover costs associated with facility consolidations and related cost reduction initiatives;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use a significant portion of our available cash;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incur substantial debt;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issue equity securities, which may dilute the ownership of current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incur or assume known or unknown contingent liabilities;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incur large, immediate accounting write offs and face antitrust or other regulatory inquiries or actions.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have already started to implement laws based on the Pillar Two Model Rules. Changes in U.S. or foreign tax laws, including new or modified guidance with respect to existing tax laws, could have a material adverse impact on our liquidity, results of operations, financial condition and cash flows.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Environmental, health and safety liabilities and expenditures could have a material adverse effect on our business, results of operation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 Substances in Electrical and Electronic Equipment directive and similar laws in other jurisdictions, including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and financial condition has been adversely affected, and could be adversely affected in the future, by natural disasters and other calamities, health conditions or pandemics, political instability, hostilities or other disruptions.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packaging and test services and other operations in China, Japan, Korea, Malaysia, the Philippines, Portugal, Singapore and Taiwan, and a new factory in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or the operations of our customers or suppliers, could have a material adverse effect on our business, financial condition, results of operations and 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processes that we utilize in our operations place us at risk of fire and other damage. For example, highly flammable gases are used in the preparation of wafers holding semiconductor devices for flip chip packaging.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color w:val="000000"/>
          <w:sz w:val="20"/>
        </w:rPr>
        <w:t>Item 2.         </w:t>
      </w:r>
      <w:r>
        <w:rPr>
          <w:rFonts w:ascii="Times New Roman;sans-serif" w:hAnsi="Times New Roman;sans-serif"/>
          <w:b/>
          <w:i/>
          <w:color w:val="000000"/>
          <w:sz w:val="20"/>
        </w:rPr>
        <w:t xml:space="preserve">Unregistered Sales of Equity Securities and Use of Proceeds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Issuer Repurchase of Equity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repurchases of our common stock during the three months ended September 30, 2023.</w:t>
      </w:r>
    </w:p>
    <w:tbl>
      <w:tblPr>
        <w:tblW w:w="10205" w:type="dxa"/>
        <w:jc w:val="center"/>
        <w:tblInd w:w="0" w:type="dxa"/>
        <w:tblLayout w:type="fixed"/>
        <w:tblCellMar>
          <w:top w:w="28" w:type="dxa"/>
          <w:left w:w="28" w:type="dxa"/>
          <w:bottom w:w="28" w:type="dxa"/>
          <w:right w:w="28" w:type="dxa"/>
        </w:tblCellMar>
      </w:tblPr>
      <w:tblGrid>
        <w:gridCol w:w="711"/>
        <w:gridCol w:w="347"/>
        <w:gridCol w:w="327"/>
        <w:gridCol w:w="109"/>
        <w:gridCol w:w="109"/>
        <w:gridCol w:w="109"/>
        <w:gridCol w:w="443"/>
        <w:gridCol w:w="443"/>
        <w:gridCol w:w="445"/>
        <w:gridCol w:w="109"/>
        <w:gridCol w:w="109"/>
        <w:gridCol w:w="109"/>
        <w:gridCol w:w="241"/>
        <w:gridCol w:w="705"/>
        <w:gridCol w:w="124"/>
        <w:gridCol w:w="109"/>
        <w:gridCol w:w="109"/>
        <w:gridCol w:w="109"/>
        <w:gridCol w:w="744"/>
        <w:gridCol w:w="744"/>
        <w:gridCol w:w="747"/>
        <w:gridCol w:w="109"/>
        <w:gridCol w:w="109"/>
        <w:gridCol w:w="109"/>
        <w:gridCol w:w="418"/>
        <w:gridCol w:w="2145"/>
        <w:gridCol w:w="313"/>
      </w:tblGrid>
      <w:tr>
        <w:trPr/>
        <w:tc>
          <w:tcPr>
            <w:tcW w:w="7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 (b)</w:t>
            </w:r>
          </w:p>
        </w:tc>
      </w:tr>
      <w:tr>
        <w:trPr/>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91,586,032 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shares of common stock surrendered to us to satisfy tax withholding obligations associated with the shares issued to employees in connection with share-based compensation.</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(b)On August 30, 2011, we announced that our Board of Directors had authorized the repurchase of up to $150.0 million of our common stock, exclusive of any fees, commissions or other expenses, under the Stock Repurchase Program. On February 1, 2012, we announced that our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September 30, 2023. In August 2023, our Board of Directors terminated the Stock Repurchase Program. No amounts were outstanding under this Stock Repurchase Program as of August 2023 and thereafter.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3.        </w:t>
      </w:r>
      <w:r>
        <w:rPr>
          <w:rFonts w:ascii="Times New Roman;sans-serif" w:hAnsi="Times New Roman;sans-serif"/>
          <w:b/>
          <w:i/>
          <w:color w:val="000000"/>
          <w:sz w:val="20"/>
        </w:rPr>
        <w:t>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4.        </w:t>
      </w:r>
      <w:r>
        <w:rPr>
          <w:rFonts w:ascii="Times New Roman;sans-serif" w:hAnsi="Times New Roman;sans-serif"/>
          <w:b/>
          <w:i/>
          <w:color w:val="000000"/>
          <w:sz w:val="20"/>
        </w:rPr>
        <w:t>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5.        </w:t>
      </w:r>
      <w:r>
        <w:rPr>
          <w:rFonts w:ascii="Times New Roman;sans-serif" w:hAnsi="Times New Roman;sans-serif"/>
          <w:b/>
          <w:i/>
          <w:color w:val="000000"/>
          <w:sz w:val="20"/>
        </w:rPr>
        <w:t>Other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31"/>
        <w:gridCol w:w="259"/>
        <w:gridCol w:w="261"/>
        <w:gridCol w:w="109"/>
        <w:gridCol w:w="109"/>
        <w:gridCol w:w="109"/>
        <w:gridCol w:w="1549"/>
        <w:gridCol w:w="1220"/>
        <w:gridCol w:w="1207"/>
        <w:gridCol w:w="109"/>
        <w:gridCol w:w="109"/>
        <w:gridCol w:w="109"/>
        <w:gridCol w:w="170"/>
        <w:gridCol w:w="170"/>
        <w:gridCol w:w="171"/>
        <w:gridCol w:w="109"/>
        <w:gridCol w:w="109"/>
        <w:gridCol w:w="109"/>
        <w:gridCol w:w="238"/>
        <w:gridCol w:w="238"/>
        <w:gridCol w:w="239"/>
        <w:gridCol w:w="109"/>
        <w:gridCol w:w="109"/>
        <w:gridCol w:w="109"/>
        <w:gridCol w:w="210"/>
        <w:gridCol w:w="210"/>
        <w:gridCol w:w="211"/>
        <w:gridCol w:w="109"/>
        <w:gridCol w:w="109"/>
        <w:gridCol w:w="109"/>
        <w:gridCol w:w="199"/>
        <w:gridCol w:w="199"/>
        <w:gridCol w:w="201"/>
        <w:gridCol w:w="109"/>
        <w:gridCol w:w="109"/>
        <w:gridCol w:w="109"/>
        <w:gridCol w:w="279"/>
        <w:gridCol w:w="279"/>
        <w:gridCol w:w="402"/>
      </w:tblGrid>
      <w:tr>
        <w:trPr/>
        <w:tc>
          <w:tcPr>
            <w:tcW w:w="3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Included Herewith</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mkr9302023ex311.htm">
              <w:r>
                <w:rPr>
                  <w:rStyle w:val="InternetLink"/>
                  <w:rFonts w:ascii="Times New Roman;sans-serif" w:hAnsi="Times New Roman;sans-serif"/>
                  <w:b w:val="false"/>
                  <w:color w:val="0000FF"/>
                  <w:sz w:val="20"/>
                  <w:u w:val="single"/>
                </w:rPr>
                <w:t>Certification of Guillaume Marie Jean Rutten, Chief Executive Officer of Amkor Technology, Inc., pursuant to Rule 13a-14(a) under the Securities Exchange Act of 1934, as amended</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9302023ex312.htm">
              <w:r>
                <w:rPr>
                  <w:rStyle w:val="InternetLink"/>
                  <w:rFonts w:ascii="Times New Roman;sans-serif" w:hAnsi="Times New Roman;sans-serif"/>
                  <w:b w:val="false"/>
                  <w:color w:val="0000FF"/>
                  <w:sz w:val="20"/>
                  <w:u w:val="single"/>
                </w:rPr>
                <w:t>Certification of Megan Faust, Chief Financial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9302023ex32.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jc w:val="left"/>
        <w:rPr/>
      </w:pPr>
      <w:r>
        <w:rPr/>
      </w:r>
    </w:p>
    <w:p>
      <w:pPr>
        <w:pStyle w:val="TextBody"/>
        <w:bidi w:val="0"/>
        <w:spacing w:lineRule="auto" w:line="247"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2da02a6f51d4064b7ab591631df86ea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INC.</w:t>
      </w:r>
    </w:p>
    <w:tbl>
      <w:tblPr>
        <w:tblW w:w="589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03"/>
        <w:gridCol w:w="1503"/>
        <w:gridCol w:w="21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before="40" w:after="283"/>
        <w:jc w:val="left"/>
        <w:rPr/>
      </w:pPr>
      <w:r>
        <w:rPr/>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CERTIFICATION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Guillaume Marie Jean Rutten, certify that: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6"/>
        <w:gridCol w:w="936"/>
        <w:gridCol w:w="13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Guillaume Marie Jean Rutten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Guillaume Marie Jean Rutten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1, 2023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Megan Faust, certify that: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3492" w:type="dxa"/>
        <w:jc w:val="center"/>
        <w:tblInd w:w="0" w:type="dxa"/>
        <w:tblLayout w:type="fixed"/>
        <w:tblCellMar>
          <w:top w:w="28" w:type="dxa"/>
          <w:left w:w="28" w:type="dxa"/>
          <w:bottom w:w="28" w:type="dxa"/>
          <w:right w:w="28" w:type="dxa"/>
        </w:tblCellMar>
      </w:tblPr>
      <w:tblGrid>
        <w:gridCol w:w="124"/>
        <w:gridCol w:w="109"/>
        <w:gridCol w:w="109"/>
        <w:gridCol w:w="919"/>
        <w:gridCol w:w="919"/>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1, 2023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56"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bidi w:val="0"/>
        <w:spacing w:lineRule="auto" w:line="288" w:before="0" w:after="0"/>
        <w:jc w:val="center"/>
        <w:rPr/>
      </w:pPr>
      <w:r>
        <w:rPr>
          <w:rFonts w:ascii="Times New Roman;sans-serif" w:hAnsi="Times New Roman;sans-serif"/>
          <w:b/>
          <w:color w:val="000000"/>
          <w:sz w:val="20"/>
        </w:rPr>
        <w:t>PURSUANT TO 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September 30, 2023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564" w:type="dxa"/>
        <w:jc w:val="right"/>
        <w:tblInd w:w="0" w:type="dxa"/>
        <w:tblLayout w:type="fixed"/>
        <w:tblCellMar>
          <w:top w:w="28" w:type="dxa"/>
          <w:left w:w="28" w:type="dxa"/>
          <w:bottom w:w="28" w:type="dxa"/>
          <w:right w:w="28" w:type="dxa"/>
        </w:tblCellMar>
      </w:tblPr>
      <w:tblGrid>
        <w:gridCol w:w="490"/>
        <w:gridCol w:w="432"/>
        <w:gridCol w:w="432"/>
        <w:gridCol w:w="937"/>
        <w:gridCol w:w="937"/>
        <w:gridCol w:w="1336"/>
      </w:tblGrid>
      <w:tr>
        <w:trPr/>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Guillaume Marie Jean Rutten</w:t>
            </w:r>
          </w:p>
        </w:tc>
      </w:tr>
      <w:tr>
        <w:trPr/>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Guillaume Marie Jean Rutten</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w:t>
            </w:r>
          </w:p>
        </w:tc>
      </w:tr>
    </w:tbl>
    <w:p>
      <w:pPr>
        <w:pStyle w:val="TextBody"/>
        <w:bidi w:val="0"/>
        <w:spacing w:lineRule="auto" w:line="288" w:before="0" w:after="0"/>
        <w:jc w:val="left"/>
        <w:rPr>
          <w:color w:val="000000"/>
        </w:rPr>
      </w:pPr>
      <w:r>
        <w:rPr>
          <w:color w:val="000000"/>
        </w:rPr>
        <w:t> </w:t>
      </w:r>
    </w:p>
    <w:tbl>
      <w:tblPr>
        <w:tblW w:w="3846" w:type="dxa"/>
        <w:jc w:val="right"/>
        <w:tblInd w:w="0" w:type="dxa"/>
        <w:tblLayout w:type="fixed"/>
        <w:tblCellMar>
          <w:top w:w="28" w:type="dxa"/>
          <w:left w:w="28" w:type="dxa"/>
          <w:bottom w:w="28" w:type="dxa"/>
          <w:right w:w="28" w:type="dxa"/>
        </w:tblCellMar>
      </w:tblPr>
      <w:tblGrid>
        <w:gridCol w:w="252"/>
        <w:gridCol w:w="222"/>
        <w:gridCol w:w="222"/>
        <w:gridCol w:w="922"/>
        <w:gridCol w:w="922"/>
        <w:gridCol w:w="130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46"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Faust</w:t>
            </w:r>
          </w:p>
        </w:tc>
      </w:tr>
      <w:tr>
        <w:trPr/>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Faust</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27016</Words>
  <Characters>152261</Characters>
  <CharactersWithSpaces>178021</CharactersWithSpaces>
  <Paragraphs>2981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