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474980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5" w:lineRule="exact"/>
        <w:rPr>
          <w:sz w:val="24"/>
          <w:szCs w:val="24"/>
          <w:color w:val="auto"/>
        </w:rPr>
      </w:pPr>
    </w:p>
    <w:p>
      <w:pPr>
        <w:ind w:left="1820" w:right="1280" w:hanging="705"/>
        <w:spacing w:after="0" w:line="256" w:lineRule="auto"/>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right"/>
        <w:ind w:right="558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63" w:lineRule="exact"/>
        <w:rPr>
          <w:sz w:val="24"/>
          <w:szCs w:val="24"/>
          <w:color w:val="auto"/>
        </w:rPr>
      </w:pPr>
    </w:p>
    <w:p>
      <w:pPr>
        <w:jc w:val="right"/>
        <w:ind w:right="5620"/>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20" w:right="1260" w:hanging="705"/>
        <w:spacing w:after="0" w:line="256" w:lineRule="auto"/>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1820"/>
        <w:spacing w:after="0"/>
        <w:tabs>
          <w:tab w:leader="none" w:pos="4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6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Commission File Number 000-29472</w:t>
            </w:r>
          </w:p>
        </w:tc>
        <w:tc>
          <w:tcPr>
            <w:tcW w:w="0" w:type="dxa"/>
            <w:vAlign w:val="bottom"/>
          </w:tcPr>
          <w:p>
            <w:pPr>
              <w:spacing w:after="0"/>
              <w:rPr>
                <w:sz w:val="1"/>
                <w:szCs w:val="1"/>
                <w:color w:val="auto"/>
              </w:rPr>
            </w:pPr>
          </w:p>
        </w:tc>
      </w:tr>
      <w:tr>
        <w:trPr>
          <w:trHeight w:val="576"/>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43"/>
                <w:szCs w:val="43"/>
                <w:b w:val="1"/>
                <w:bCs w:val="1"/>
                <w:color w:val="auto"/>
              </w:rPr>
              <w:t>AMKOR TECHNOLOGY, INC.</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58"/>
        </w:trPr>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7720" w:type="dxa"/>
            <w:vAlign w:val="bottom"/>
          </w:tcPr>
          <w:p>
            <w:pPr>
              <w:jc w:val="center"/>
              <w:ind w:left="6307"/>
              <w:spacing w:after="0"/>
              <w:rPr>
                <w:sz w:val="20"/>
                <w:szCs w:val="20"/>
                <w:color w:val="auto"/>
              </w:rPr>
            </w:pPr>
            <w:r>
              <w:rPr>
                <w:rFonts w:ascii="Arial" w:cs="Arial" w:eastAsia="Arial" w:hAnsi="Arial"/>
                <w:sz w:val="18"/>
                <w:szCs w:val="18"/>
                <w:b w:val="1"/>
                <w:bCs w:val="1"/>
                <w:color w:val="auto"/>
                <w:w w:val="91"/>
              </w:rPr>
              <w:t>23-1722724</w:t>
            </w:r>
          </w:p>
        </w:tc>
        <w:tc>
          <w:tcPr>
            <w:tcW w:w="0" w:type="dxa"/>
            <w:vAlign w:val="bottom"/>
          </w:tcPr>
          <w:p>
            <w:pPr>
              <w:spacing w:after="0"/>
              <w:rPr>
                <w:sz w:val="1"/>
                <w:szCs w:val="1"/>
                <w:color w:val="auto"/>
              </w:rPr>
            </w:pPr>
          </w:p>
        </w:tc>
      </w:tr>
      <w:tr>
        <w:trPr>
          <w:trHeight w:val="149"/>
        </w:trPr>
        <w:tc>
          <w:tcPr>
            <w:tcW w:w="1440" w:type="dxa"/>
            <w:vAlign w:val="bottom"/>
            <w:vMerge w:val="continue"/>
          </w:tcPr>
          <w:p>
            <w:pPr>
              <w:spacing w:after="0"/>
              <w:rPr>
                <w:sz w:val="12"/>
                <w:szCs w:val="12"/>
                <w:color w:val="auto"/>
              </w:rPr>
            </w:pPr>
          </w:p>
        </w:tc>
        <w:tc>
          <w:tcPr>
            <w:tcW w:w="7720" w:type="dxa"/>
            <w:vAlign w:val="bottom"/>
          </w:tcPr>
          <w:p>
            <w:pPr>
              <w:jc w:val="center"/>
              <w:ind w:left="6307"/>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76"/>
        </w:trPr>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5"/>
              </w:rPr>
              <w:t>(State of incorporation)</w:t>
            </w:r>
          </w:p>
        </w:tc>
        <w:tc>
          <w:tcPr>
            <w:tcW w:w="7720" w:type="dxa"/>
            <w:vAlign w:val="bottom"/>
          </w:tcPr>
          <w:p>
            <w:pPr>
              <w:jc w:val="center"/>
              <w:ind w:left="6307"/>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2045 East Innovation Circle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720" w:type="dxa"/>
            <w:vAlign w:val="bottom"/>
          </w:tcPr>
          <w:p>
            <w:pPr>
              <w:jc w:val="center"/>
              <w:ind w:right="1407"/>
              <w:spacing w:after="0"/>
              <w:rPr>
                <w:sz w:val="20"/>
                <w:szCs w:val="20"/>
                <w:color w:val="auto"/>
              </w:rPr>
            </w:pPr>
            <w:r>
              <w:rPr>
                <w:rFonts w:ascii="Arial" w:cs="Arial" w:eastAsia="Arial" w:hAnsi="Arial"/>
                <w:sz w:val="18"/>
                <w:szCs w:val="18"/>
                <w:b w:val="1"/>
                <w:bCs w:val="1"/>
                <w:color w:val="auto"/>
                <w:w w:val="91"/>
              </w:rPr>
              <w:t>Tempe, AZ 85284</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3"/>
              </w:rPr>
              <w:t>(Address of principal executive offices and zip code)</w:t>
            </w:r>
          </w:p>
        </w:tc>
        <w:tc>
          <w:tcPr>
            <w:tcW w:w="0" w:type="dxa"/>
            <w:vAlign w:val="bottom"/>
          </w:tcPr>
          <w:p>
            <w:pPr>
              <w:spacing w:after="0"/>
              <w:rPr>
                <w:sz w:val="1"/>
                <w:szCs w:val="1"/>
                <w:color w:val="auto"/>
              </w:rPr>
            </w:pPr>
          </w:p>
        </w:tc>
      </w:tr>
      <w:tr>
        <w:trPr>
          <w:trHeight w:val="304"/>
        </w:trPr>
        <w:tc>
          <w:tcPr>
            <w:tcW w:w="1440" w:type="dxa"/>
            <w:vAlign w:val="bottom"/>
          </w:tcPr>
          <w:p>
            <w:pPr>
              <w:spacing w:after="0"/>
              <w:rPr>
                <w:sz w:val="24"/>
                <w:szCs w:val="24"/>
                <w:color w:val="auto"/>
              </w:rPr>
            </w:pPr>
          </w:p>
        </w:tc>
        <w:tc>
          <w:tcPr>
            <w:tcW w:w="7720" w:type="dxa"/>
            <w:vAlign w:val="bottom"/>
          </w:tcPr>
          <w:p>
            <w:pPr>
              <w:jc w:val="center"/>
              <w:ind w:right="1387"/>
              <w:spacing w:after="0"/>
              <w:rPr>
                <w:sz w:val="20"/>
                <w:szCs w:val="20"/>
                <w:color w:val="auto"/>
              </w:rPr>
            </w:pPr>
            <w:r>
              <w:rPr>
                <w:rFonts w:ascii="Arial" w:cs="Arial" w:eastAsia="Arial" w:hAnsi="Arial"/>
                <w:sz w:val="18"/>
                <w:szCs w:val="18"/>
                <w:b w:val="1"/>
                <w:bCs w:val="1"/>
                <w:color w:val="auto"/>
                <w:w w:val="90"/>
              </w:rPr>
              <w:t>(480) 821-5000</w:t>
            </w:r>
          </w:p>
        </w:tc>
        <w:tc>
          <w:tcPr>
            <w:tcW w:w="0" w:type="dxa"/>
            <w:vAlign w:val="bottom"/>
          </w:tcPr>
          <w:p>
            <w:pPr>
              <w:spacing w:after="0"/>
              <w:rPr>
                <w:sz w:val="1"/>
                <w:szCs w:val="1"/>
                <w:color w:val="auto"/>
              </w:rPr>
            </w:pPr>
          </w:p>
        </w:tc>
      </w:tr>
      <w:tr>
        <w:trPr>
          <w:trHeight w:val="182"/>
        </w:trPr>
        <w:tc>
          <w:tcPr>
            <w:tcW w:w="1440" w:type="dxa"/>
            <w:vAlign w:val="bottom"/>
          </w:tcPr>
          <w:p>
            <w:pPr>
              <w:spacing w:after="0"/>
              <w:rPr>
                <w:sz w:val="15"/>
                <w:szCs w:val="15"/>
                <w:color w:val="auto"/>
              </w:rPr>
            </w:pPr>
          </w:p>
        </w:tc>
        <w:tc>
          <w:tcPr>
            <w:tcW w:w="7720" w:type="dxa"/>
            <w:vAlign w:val="bottom"/>
          </w:tcPr>
          <w:p>
            <w:pPr>
              <w:jc w:val="center"/>
              <w:ind w:right="1407"/>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bl>
    <w:p>
      <w:pPr>
        <w:spacing w:after="0" w:line="10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ind w:left="240"/>
        <w:spacing w:after="0" w:line="207" w:lineRule="exact"/>
        <w:tabs>
          <w:tab w:leader="none" w:pos="2740" w:val="left"/>
          <w:tab w:leader="none" w:pos="4860" w:val="left"/>
          <w:tab w:leader="none" w:pos="6920" w:val="left"/>
          <w:tab w:leader="none" w:pos="92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8"/>
          <w:szCs w:val="18"/>
          <w:color w:val="auto"/>
        </w:rPr>
        <w:t>Smaller reporting company o</w:t>
      </w:r>
      <w:r>
        <w:rPr>
          <w:sz w:val="20"/>
          <w:szCs w:val="20"/>
          <w:color w:val="auto"/>
        </w:rPr>
        <w:tab/>
      </w:r>
      <w:r>
        <w:rPr>
          <w:rFonts w:ascii="Arial" w:cs="Arial" w:eastAsia="Arial" w:hAnsi="Arial"/>
          <w:sz w:val="16"/>
          <w:szCs w:val="16"/>
          <w:color w:val="auto"/>
        </w:rPr>
        <w:t>Emerging growth company o</w:t>
      </w:r>
    </w:p>
    <w:p>
      <w:pPr>
        <w:spacing w:after="0" w:line="9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(Do not check if a smaller reporting company)</w:t>
      </w:r>
    </w:p>
    <w:p>
      <w:pPr>
        <w:spacing w:after="0" w:line="30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43" w:lineRule="exact"/>
        <w:rPr>
          <w:sz w:val="24"/>
          <w:szCs w:val="24"/>
          <w:color w:val="auto"/>
        </w:rPr>
      </w:pPr>
    </w:p>
    <w:p>
      <w:pPr>
        <w:ind w:right="22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October 27, 2017 was 239,279,604.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172085</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86360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 w:name="page2"/>
    <w:bookmarkEnd w:id="1"/>
    <w:p>
      <w:pPr>
        <w:ind w:left="4080"/>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r>
      <w:tr>
        <w:trPr>
          <w:trHeight w:val="189"/>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80" w:type="dxa"/>
            <w:vAlign w:val="bottom"/>
            <w:gridSpan w:val="11"/>
          </w:tcPr>
          <w:p>
            <w:pPr>
              <w:jc w:val="center"/>
              <w:ind w:right="2800"/>
              <w:spacing w:after="0" w:line="189"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240" w:type="dxa"/>
            <w:vAlign w:val="bottom"/>
            <w:gridSpan w:val="2"/>
          </w:tcPr>
          <w:p>
            <w:pPr>
              <w:spacing w:after="0"/>
              <w:rPr>
                <w:sz w:val="21"/>
                <w:szCs w:val="21"/>
                <w:color w:val="auto"/>
              </w:rPr>
            </w:pPr>
          </w:p>
        </w:tc>
        <w:tc>
          <w:tcPr>
            <w:tcW w:w="2400" w:type="dxa"/>
            <w:vAlign w:val="bottom"/>
            <w:gridSpan w:val="8"/>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Financial Statements (unaudited)</w:t>
              </w:r>
            </w:hyperlink>
          </w:p>
        </w:tc>
        <w:tc>
          <w:tcPr>
            <w:tcW w:w="2380" w:type="dxa"/>
            <w:vAlign w:val="bottom"/>
            <w:tcBorders>
              <w:top w:val="single" w:sz="8" w:color="0000FF"/>
            </w:tcBorders>
            <w:gridSpan w:val="5"/>
          </w:tcPr>
          <w:p>
            <w:pPr>
              <w:spacing w:after="0"/>
              <w:rPr>
                <w:sz w:val="21"/>
                <w:szCs w:val="21"/>
                <w:color w:val="auto"/>
              </w:rPr>
            </w:pPr>
          </w:p>
        </w:tc>
        <w:tc>
          <w:tcPr>
            <w:tcW w:w="2800" w:type="dxa"/>
            <w:vAlign w:val="bottom"/>
            <w:gridSpan w:val="6"/>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140" w:type="dxa"/>
            <w:vAlign w:val="bottom"/>
            <w:gridSpan w:val="16"/>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Income - Three and Nine Months Ended September 30, 2017 and 2016</w:t>
              </w:r>
            </w:hyperlink>
          </w:p>
        </w:tc>
        <w:tc>
          <w:tcPr>
            <w:tcW w:w="440" w:type="dxa"/>
            <w:vAlign w:val="bottom"/>
            <w:gridSpan w:val="3"/>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Consolidated Statements of Comprehensive Income - Three and Nine Months Ended September 30,</w:t>
              </w:r>
            </w:hyperlink>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gridSpan w:val="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2017 and 2016</w:t>
              </w:r>
            </w:hyperlink>
          </w:p>
        </w:tc>
        <w:tc>
          <w:tcPr>
            <w:tcW w:w="5880" w:type="dxa"/>
            <w:vAlign w:val="bottom"/>
            <w:tcBorders>
              <w:top w:val="single" w:sz="8" w:color="0000EE"/>
            </w:tcBorders>
            <w:gridSpan w:val="12"/>
          </w:tcPr>
          <w:p>
            <w:pPr>
              <w:spacing w:after="0"/>
              <w:rPr>
                <w:sz w:val="17"/>
                <w:szCs w:val="17"/>
                <w:color w:val="auto"/>
              </w:rPr>
            </w:pPr>
          </w:p>
        </w:tc>
        <w:tc>
          <w:tcPr>
            <w:tcW w:w="380" w:type="dxa"/>
            <w:vAlign w:val="bottom"/>
            <w:gridSpan w:val="2"/>
          </w:tcPr>
          <w:p>
            <w:pPr>
              <w:spacing w:after="0"/>
              <w:rPr>
                <w:sz w:val="17"/>
                <w:szCs w:val="17"/>
                <w:color w:val="auto"/>
              </w:rPr>
            </w:pPr>
          </w:p>
        </w:tc>
        <w:tc>
          <w:tcPr>
            <w:tcW w:w="400" w:type="dxa"/>
            <w:vAlign w:val="bottom"/>
            <w:gridSpan w:val="4"/>
          </w:tcPr>
          <w:p>
            <w:pPr>
              <w:jc w:val="right"/>
              <w:ind w:right="4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60" w:type="dxa"/>
            <w:vAlign w:val="bottom"/>
            <w:gridSpan w:val="14"/>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Consolidated Balance Sheets - September 30, 2017 and December 31, 2016</w:t>
              </w:r>
            </w:hyperlink>
          </w:p>
        </w:tc>
        <w:tc>
          <w:tcPr>
            <w:tcW w:w="2120" w:type="dxa"/>
            <w:vAlign w:val="bottom"/>
            <w:gridSpan w:val="5"/>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20" w:type="dxa"/>
            <w:vAlign w:val="bottom"/>
            <w:gridSpan w:val="1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 Nine Months Ended September 30, 2017 and 2016</w:t>
              </w:r>
            </w:hyperlink>
          </w:p>
        </w:tc>
        <w:tc>
          <w:tcPr>
            <w:tcW w:w="60" w:type="dxa"/>
            <w:vAlign w:val="bottom"/>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10"/>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4360" w:type="dxa"/>
            <w:vAlign w:val="bottom"/>
            <w:gridSpan w:val="8"/>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Item 2.</w:t>
              </w:r>
            </w:hyperlink>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36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3.</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36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90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36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c>
          <w:tcPr>
            <w:tcW w:w="40" w:type="dxa"/>
            <w:vAlign w:val="bottom"/>
          </w:tcPr>
          <w:p>
            <w:pPr>
              <w:spacing w:after="0"/>
              <w:rPr>
                <w:sz w:val="21"/>
                <w:szCs w:val="21"/>
                <w:color w:val="auto"/>
              </w:rPr>
            </w:pPr>
          </w:p>
        </w:tc>
      </w:tr>
      <w:tr>
        <w:trPr>
          <w:trHeight w:val="574"/>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0"/>
          </w:tcPr>
          <w:p>
            <w:pPr>
              <w:jc w:val="center"/>
              <w:ind w:right="2900"/>
              <w:spacing w:after="0"/>
              <w:rPr>
                <w:rFonts w:ascii="Arial" w:cs="Arial" w:eastAsia="Arial" w:hAnsi="Arial"/>
                <w:sz w:val="18"/>
                <w:szCs w:val="18"/>
                <w:b w:val="1"/>
                <w:bCs w:val="1"/>
                <w:color w:val="0000FF"/>
                <w:w w:val="96"/>
              </w:rPr>
            </w:pPr>
            <w:hyperlink w:anchor="page28">
              <w:r>
                <w:rPr>
                  <w:rFonts w:ascii="Arial" w:cs="Arial" w:eastAsia="Arial" w:hAnsi="Arial"/>
                  <w:sz w:val="18"/>
                  <w:szCs w:val="18"/>
                  <w:b w:val="1"/>
                  <w:bCs w:val="1"/>
                  <w:color w:val="0000FF"/>
                  <w:w w:val="96"/>
                </w:rPr>
                <w:t>PART II. Other Information</w:t>
              </w:r>
            </w:hyperlink>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w:t>
              </w:r>
            </w:hyperlink>
          </w:p>
        </w:tc>
        <w:tc>
          <w:tcPr>
            <w:tcW w:w="120" w:type="dxa"/>
            <w:vAlign w:val="bottom"/>
          </w:tcPr>
          <w:p>
            <w:pPr>
              <w:spacing w:after="0"/>
              <w:rPr>
                <w:sz w:val="21"/>
                <w:szCs w:val="21"/>
                <w:color w:val="auto"/>
              </w:rPr>
            </w:pPr>
          </w:p>
        </w:tc>
        <w:tc>
          <w:tcPr>
            <w:tcW w:w="2500" w:type="dxa"/>
            <w:vAlign w:val="bottom"/>
            <w:gridSpan w:val="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2180" w:type="dxa"/>
            <w:vAlign w:val="bottom"/>
            <w:tcBorders>
              <w:top w:val="single" w:sz="8" w:color="0000FF"/>
            </w:tcBorders>
            <w:gridSpan w:val="3"/>
          </w:tcPr>
          <w:p>
            <w:pPr>
              <w:spacing w:after="0"/>
              <w:rPr>
                <w:sz w:val="21"/>
                <w:szCs w:val="21"/>
                <w:color w:val="auto"/>
              </w:rPr>
            </w:pPr>
          </w:p>
        </w:tc>
        <w:tc>
          <w:tcPr>
            <w:tcW w:w="2900" w:type="dxa"/>
            <w:vAlign w:val="bottom"/>
            <w:gridSpan w:val="7"/>
          </w:tcPr>
          <w:p>
            <w:pPr>
              <w:spacing w:after="0"/>
              <w:rPr>
                <w:sz w:val="21"/>
                <w:szCs w:val="21"/>
                <w:color w:val="auto"/>
              </w:rPr>
            </w:pPr>
          </w:p>
        </w:tc>
        <w:tc>
          <w:tcPr>
            <w:tcW w:w="3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7580" w:type="dxa"/>
            <w:vAlign w:val="bottom"/>
            <w:gridSpan w:val="19"/>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36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Item 2.</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Unregistered Sales of Equity Securities and Use of Proceeds</w:t>
              </w:r>
            </w:hyperlink>
          </w:p>
        </w:tc>
        <w:tc>
          <w:tcPr>
            <w:tcW w:w="3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322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Item 3.</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Defaults Upon Senior Securities</w:t>
              </w:r>
            </w:hyperlink>
          </w:p>
        </w:tc>
        <w:tc>
          <w:tcPr>
            <w:tcW w:w="3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260" w:type="dxa"/>
            <w:vAlign w:val="bottom"/>
            <w:gridSpan w:val="1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Mine Safety Disclosures</w:t>
              </w:r>
            </w:hyperlink>
          </w:p>
        </w:tc>
        <w:tc>
          <w:tcPr>
            <w:tcW w:w="3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40" w:type="dxa"/>
            <w:vAlign w:val="bottom"/>
          </w:tcPr>
          <w:p>
            <w:pPr>
              <w:spacing w:after="0"/>
              <w:rPr>
                <w:sz w:val="21"/>
                <w:szCs w:val="2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800" w:type="dxa"/>
            <w:vAlign w:val="bottom"/>
            <w:gridSpan w:val="1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3">
              <w:r>
                <w:rPr>
                  <w:rFonts w:ascii="Arial" w:cs="Arial" w:eastAsia="Arial" w:hAnsi="Arial"/>
                  <w:sz w:val="18"/>
                  <w:szCs w:val="18"/>
                  <w:color w:val="0000FF"/>
                  <w:w w:val="90"/>
                </w:rPr>
                <w:t>Item 5.</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Other Information</w:t>
              </w:r>
            </w:hyperlink>
          </w:p>
        </w:tc>
        <w:tc>
          <w:tcPr>
            <w:tcW w:w="360" w:type="dxa"/>
            <w:vAlign w:val="bottom"/>
            <w:gridSpan w:val="3"/>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60" w:type="dxa"/>
            <w:vAlign w:val="bottom"/>
            <w:gridSpan w:val="1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6.</w:t>
              </w:r>
            </w:hyperlink>
          </w:p>
        </w:tc>
        <w:tc>
          <w:tcPr>
            <w:tcW w:w="240" w:type="dxa"/>
            <w:vAlign w:val="bottom"/>
            <w:gridSpan w:val="2"/>
          </w:tcPr>
          <w:p>
            <w:pPr>
              <w:spacing w:after="0"/>
              <w:rPr>
                <w:sz w:val="21"/>
                <w:szCs w:val="21"/>
                <w:color w:val="auto"/>
              </w:rPr>
            </w:pPr>
          </w:p>
        </w:tc>
        <w:tc>
          <w:tcPr>
            <w:tcW w:w="7580" w:type="dxa"/>
            <w:vAlign w:val="bottom"/>
            <w:gridSpan w:val="19"/>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36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980" w:type="dxa"/>
            <w:vAlign w:val="bottom"/>
            <w:gridSpan w:val="1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5">
              <w:r>
                <w:rPr>
                  <w:rFonts w:ascii="Arial" w:cs="Arial" w:eastAsia="Arial" w:hAnsi="Arial"/>
                  <w:sz w:val="18"/>
                  <w:szCs w:val="18"/>
                  <w:color w:val="0000FF"/>
                  <w:w w:val="88"/>
                </w:rPr>
                <w:t>Signatures</w:t>
              </w:r>
            </w:hyperlink>
          </w:p>
        </w:tc>
        <w:tc>
          <w:tcPr>
            <w:tcW w:w="7540" w:type="dxa"/>
            <w:vAlign w:val="bottom"/>
            <w:gridSpan w:val="18"/>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5">
              <w:r>
                <w:rPr>
                  <w:rFonts w:ascii="Arial" w:cs="Arial" w:eastAsia="Arial" w:hAnsi="Arial"/>
                  <w:sz w:val="18"/>
                  <w:szCs w:val="18"/>
                  <w:color w:val="0000FF"/>
                  <w:w w:val="79"/>
                </w:rPr>
                <w:t>44</w:t>
              </w:r>
            </w:hyperlink>
          </w:p>
        </w:tc>
        <w:tc>
          <w:tcPr>
            <w:tcW w:w="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contains forward-looking statements within the meaning of the federal securities laws, including but not limited to statements regarding: (1) the amount, timing and focus of our expected capital investments in 2017 including expenditures in support of advanced packaging and test equipment, (2) our ability to fund our operating activities and financial requirements for the next twelve months, (3) the effect of changes in capacity utilization on our gross margin, (4) the focus of our research and development activities, (5) the expiration of tax holidays in jurisdictions in which we operate and expectations regarding our effective tax rate and the availability of tax incentives, (6) the creation or release of valuation allowances related to taxes in the future, (7) our repurchase or repayment of outstanding debt or the conversion of debt in the future, (8) payment of dividends, (9) compliance with our covenants, (10) expected contributions to foreign pension plans, (11) liability for unrecognized tax benefits and the potential impact of our unrecognized tax benefits on our effective tax rate, (12) the effect of foreign currency exchange rate exposure on our financial results, (13) the volatility of the trading price of our common stock, (14) changes to our internal controls related to integration of acquired operations and implementation of an enterprise resource planning system, (15) our efforts to enlarge our customer base in certain geographic areas and markets, (16) demand for advanced packages in mobile devices and our technology leadership and potential growth in this market, (17) our expected rate of return for pension plan assets, and (18)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80" w:type="dxa"/>
            <w:vAlign w:val="bottom"/>
            <w:gridSpan w:val="7"/>
          </w:tcPr>
          <w:p>
            <w:pPr>
              <w:jc w:val="center"/>
              <w:ind w:right="1020"/>
              <w:spacing w:after="0"/>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75"/>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3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08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rPr>
              <w:t>AMKOR TECHNOLOGY, INC.</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7480" w:type="dxa"/>
            <w:vAlign w:val="bottom"/>
            <w:gridSpan w:val="8"/>
          </w:tcPr>
          <w:p>
            <w:pPr>
              <w:jc w:val="center"/>
              <w:ind w:left="2110"/>
              <w:spacing w:after="0"/>
              <w:rPr>
                <w:sz w:val="20"/>
                <w:szCs w:val="20"/>
                <w:color w:val="auto"/>
              </w:rPr>
            </w:pPr>
            <w:r>
              <w:rPr>
                <w:rFonts w:ascii="Arial" w:cs="Arial" w:eastAsia="Arial" w:hAnsi="Arial"/>
                <w:sz w:val="18"/>
                <w:szCs w:val="18"/>
                <w:b w:val="1"/>
                <w:bCs w:val="1"/>
                <w:color w:val="auto"/>
              </w:rPr>
              <w:t>CONSOLIDATED STATEMENTS OF INCOME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8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93"/>
              </w:rPr>
              <w:t>(Unaudited)</w:t>
            </w: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8"/>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24"/>
                <w:szCs w:val="24"/>
                <w:color w:val="auto"/>
              </w:rPr>
            </w:pPr>
          </w:p>
        </w:tc>
        <w:tc>
          <w:tcPr>
            <w:tcW w:w="27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For the Nine Months Ended</w:t>
            </w:r>
          </w:p>
        </w:tc>
      </w:tr>
      <w:tr>
        <w:trPr>
          <w:trHeight w:val="192"/>
        </w:trPr>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8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80" w:type="dxa"/>
            <w:vAlign w:val="bottom"/>
            <w:gridSpan w:val="5"/>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1,135,027</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1,086,014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3,038,074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2,872,022</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918,389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872,214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2,506,295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2,403,732</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216,638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213,800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531,779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468,290</w:t>
            </w:r>
          </w:p>
        </w:tc>
      </w:tr>
      <w:tr>
        <w:trPr>
          <w:trHeight w:val="237"/>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75,567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72,363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220,045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216,894</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42,834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128,658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84,145</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Gain on sale of real estate</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(108,109)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118,401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99,185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240,594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301,039</w:t>
            </w:r>
          </w:p>
        </w:tc>
      </w:tr>
      <w:tr>
        <w:trPr>
          <w:trHeight w:val="237"/>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Operating income</w:t>
            </w:r>
          </w:p>
        </w:tc>
        <w:tc>
          <w:tcPr>
            <w:tcW w:w="1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98,237</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114,615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291,185</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167,251</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63,733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58,496</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Interest expense, related party</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3,727</w:t>
            </w:r>
          </w:p>
        </w:tc>
      </w:tr>
      <w:tr>
        <w:trPr>
          <w:trHeight w:val="27"/>
        </w:trPr>
        <w:tc>
          <w:tcPr>
            <w:tcW w:w="408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3,354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9,607</w:t>
            </w:r>
          </w:p>
        </w:tc>
      </w:tr>
      <w:tr>
        <w:trPr>
          <w:trHeight w:val="237"/>
        </w:trPr>
        <w:tc>
          <w:tcPr>
            <w:tcW w:w="4080" w:type="dxa"/>
            <w:vAlign w:val="bottom"/>
            <w:gridSpan w:val="2"/>
          </w:tcPr>
          <w:p>
            <w:pPr>
              <w:ind w:left="280"/>
              <w:spacing w:after="0"/>
              <w:rPr>
                <w:sz w:val="20"/>
                <w:szCs w:val="20"/>
                <w:color w:val="auto"/>
              </w:rPr>
            </w:pPr>
            <w:r>
              <w:rPr>
                <w:rFonts w:ascii="Arial" w:cs="Arial" w:eastAsia="Arial" w:hAnsi="Arial"/>
                <w:sz w:val="18"/>
                <w:szCs w:val="18"/>
                <w:color w:val="auto"/>
              </w:rPr>
              <w:t>Total other expense, net</w:t>
            </w:r>
          </w:p>
        </w:tc>
        <w:tc>
          <w:tcPr>
            <w:tcW w:w="10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23,855</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29,388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76,476</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71,830</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before taxes</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74,382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214,709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95,421</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18,752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24,086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51,764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29,319</w:t>
            </w:r>
          </w:p>
        </w:tc>
      </w:tr>
      <w:tr>
        <w:trPr>
          <w:trHeight w:val="27"/>
        </w:trPr>
        <w:tc>
          <w:tcPr>
            <w:tcW w:w="8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Net income</w:t>
            </w:r>
          </w:p>
        </w:tc>
        <w:tc>
          <w:tcPr>
            <w:tcW w:w="3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55,630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162,945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66,102</w:t>
            </w:r>
          </w:p>
        </w:tc>
      </w:tr>
      <w:tr>
        <w:trPr>
          <w:trHeight w:val="243"/>
        </w:trPr>
        <w:tc>
          <w:tcPr>
            <w:tcW w:w="408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(2,175)</w:t>
            </w:r>
          </w:p>
        </w:tc>
      </w:tr>
      <w:tr>
        <w:trPr>
          <w:trHeight w:val="27"/>
        </w:trPr>
        <w:tc>
          <w:tcPr>
            <w:tcW w:w="4080" w:type="dxa"/>
            <w:vAlign w:val="bottom"/>
            <w:tcBorders>
              <w:bottom w:val="single" w:sz="8" w:color="CCEEFF"/>
            </w:tcBorders>
            <w:gridSpan w:val="2"/>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w:t>
            </w: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54,435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60,089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159,936</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63,927</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5"/>
              </w:rPr>
              <w:t>Net income attributable to Amkor per common share:</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304"/>
        </w:trPr>
        <w:tc>
          <w:tcPr>
            <w:tcW w:w="8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32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r>
      <w:tr>
        <w:trPr>
          <w:trHeight w:val="251"/>
        </w:trPr>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0.27</w:t>
            </w:r>
          </w:p>
        </w:tc>
      </w:tr>
      <w:tr>
        <w:trPr>
          <w:trHeight w:val="20"/>
        </w:trPr>
        <w:tc>
          <w:tcPr>
            <w:tcW w:w="4080" w:type="dxa"/>
            <w:vAlign w:val="bottom"/>
            <w:tcBorders>
              <w:top w:val="single" w:sz="8" w:color="CCEEFF"/>
            </w:tcBorders>
            <w:gridSpan w:val="2"/>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0"/>
              </w:rPr>
              <w:t>Shares used in computing per common share amounts:</w:t>
            </w:r>
          </w:p>
        </w:tc>
        <w:tc>
          <w:tcPr>
            <w:tcW w:w="10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 w:type="dxa"/>
            <w:vAlign w:val="bottom"/>
          </w:tcPr>
          <w:p>
            <w:pPr>
              <w:ind w:left="280"/>
              <w:spacing w:after="0"/>
              <w:rPr>
                <w:sz w:val="20"/>
                <w:szCs w:val="20"/>
                <w:color w:val="auto"/>
              </w:rPr>
            </w:pPr>
            <w:r>
              <w:rPr>
                <w:rFonts w:ascii="Arial" w:cs="Arial" w:eastAsia="Arial" w:hAnsi="Arial"/>
                <w:sz w:val="18"/>
                <w:szCs w:val="18"/>
                <w:color w:val="auto"/>
              </w:rPr>
              <w:t>Basic</w:t>
            </w:r>
          </w:p>
        </w:tc>
        <w:tc>
          <w:tcPr>
            <w:tcW w:w="3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239,068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237,353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238,873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237,157</w:t>
            </w:r>
          </w:p>
        </w:tc>
      </w:tr>
      <w:tr>
        <w:trPr>
          <w:trHeight w:val="27"/>
        </w:trPr>
        <w:tc>
          <w:tcPr>
            <w:tcW w:w="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239,640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238,192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239,610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237,586</w:t>
            </w:r>
          </w:p>
        </w:tc>
      </w:tr>
      <w:tr>
        <w:trPr>
          <w:trHeight w:val="27"/>
        </w:trPr>
        <w:tc>
          <w:tcPr>
            <w:tcW w:w="8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25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For the Nine Months Ended</w:t>
            </w: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55,630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61,141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162,945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66,102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Adjustments to unrealized components of defined benefit pension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plans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5,883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11,784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52,161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5,907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12,047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52,232</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54,676</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67,048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174,992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118,334</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 attributable to Amkor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53,481</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65,996</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171,983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116,159</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9"/>
              </w:rPr>
              <w:t>(In thousands, except per share data)</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549,518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691,700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563,107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314,207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267,990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27,081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1,566,472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1,409,696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2,706,715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2,564,648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25,076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109,782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89,643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4,412,269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4,092,086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56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117,970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35,192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562,330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487,430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Capital expenditures payable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289,780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144,370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385,659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338,669</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1,355,739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1,005,661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1,364,638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related party</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severance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50,871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76,682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2,829,419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2,688,682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9"/>
              </w:rPr>
              <w:t>Common stock, $0.001 par value, 500,000 shares authorized; 285,019 and 284,479 shares issued; and 239,079</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and 238,665 shares outstanding, in 2017 and 2016,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1,901,381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1,895,089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(303,557)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18,309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6,262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45,940 and 45,814 shares, in 2017 and 2016,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(215,917)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(214,490)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Amkor stockholders’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1,560,437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1,383,588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19,816</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equity</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1,582,850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1,403,404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4,412,269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4,092,086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162,945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66,102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435,667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416,517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(108,109)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activities and non-cash items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(66,829)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13,379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413,911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491,616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(481,670)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133,320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investing activities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(326,025)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(468,126)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revolving credit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revolving credit facilities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short-term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50,333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short-term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(52,068)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(398,755)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 related party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 of deferred consideration for purchase of facility</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(126,939)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9,231</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21,885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555,495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527,348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525,673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556,045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290,738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179,768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Equipment acquired through capital lease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4,908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Consolidated Financial Statements and related disclosures as of September 30, 2017, and for the three and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2017 and 2016, are unaudited, pursuant to the rules and regulations of the United States Securities and Exchange Commission (“SEC”). The December 31, 2016,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2016, filed on Form 10-K with the SEC on February 24, 2017. The results of operations for the three and nine months ended September 30, 2017, are not necessarily indicative of the results to be expected for the full year. Unless the context otherwise requires, all references to “Amkor,” “we,” “us,” “our” or the “company” are to Amkor Technology, Inc. and our subsidiaries.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22, 2017, we completed the purchase of Nanium, S.A. ("Nanium"). Nanium's financial results have been included in our Consolidated Financial Statements from the date of acquisition (Note 3).</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Financial Accounting Standards Board ("FASB") issued Accounting Standards Update ("ASU") 2015-11, </w:t>
      </w:r>
      <w:r>
        <w:rPr>
          <w:rFonts w:ascii="Arial" w:cs="Arial" w:eastAsia="Arial" w:hAnsi="Arial"/>
          <w:sz w:val="18"/>
          <w:szCs w:val="18"/>
          <w:i w:val="1"/>
          <w:iCs w:val="1"/>
          <w:color w:val="auto"/>
        </w:rPr>
        <w:t>Inventory -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Inventory (Topic 330)</w:t>
      </w:r>
      <w:r>
        <w:rPr>
          <w:rFonts w:ascii="Arial" w:cs="Arial" w:eastAsia="Arial" w:hAnsi="Arial"/>
          <w:sz w:val="18"/>
          <w:szCs w:val="18"/>
          <w:color w:val="auto"/>
        </w:rPr>
        <w:t>. ASU 2015-11 requires inventory to be subsequently measured using the lower of cost and net realizable value, thereby</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eliminating the market value approach. Net realizable value is defined as the “estimated selling prices in the ordinary course of business, less reasonably predictable costs of completion, disposal and transportation.” ASU 2015-11 is effective for reporting periods beginning after December 15, 2016 and is applied prospectively. We adopted ASU 2015-11 at January 1, 2017. The adoption of ASU 2015-11 did not have a significant impact on our financial statements or disclosure.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 - Goodwill and Other (Topic 350) - Simplifying the Test for Goodwill Impairment</w:t>
      </w:r>
      <w:r>
        <w:rPr>
          <w:rFonts w:ascii="Arial" w:cs="Arial" w:eastAsia="Arial" w:hAnsi="Arial"/>
          <w:sz w:val="18"/>
          <w:szCs w:val="18"/>
          <w:color w:val="auto"/>
        </w:rPr>
        <w:t>. ASU 2017-04 simplifies the goodwill impairment test by eliminating the second step of the current two-step impairment test. ASU 2017-04 is effective for interim and annual goodwill impairment tests in fiscal years beginning after December 15, 2019 and is applied prospectively. Early adoption is permitted for interim or annual goodwill impairment tests performed on testing dates after January 1, 2017. We adopted ASU 2017-04 at January 1, 2017. The adoption of ASU 2017-04 did not have a significant impact on our financial statements or disclosure.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Standards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is based on the principle that revenue is recognized to depict the transfer of promised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contracts with customers, including significant judgments and changes in judgments. ASU 2014-09 permits the use of either full retrospective or modified retrospective methods of adoption. In August 2015, the FASB issued ASU 2015-14, </w:t>
      </w:r>
      <w:r>
        <w:rPr>
          <w:rFonts w:ascii="Arial" w:cs="Arial" w:eastAsia="Arial" w:hAnsi="Arial"/>
          <w:sz w:val="16"/>
          <w:szCs w:val="16"/>
          <w:i w:val="1"/>
          <w:iCs w:val="1"/>
          <w:color w:val="auto"/>
        </w:rPr>
        <w:t>Revenue from Contracts with Customers (Topic</w:t>
      </w:r>
      <w:r>
        <w:rPr>
          <w:rFonts w:ascii="Arial" w:cs="Arial" w:eastAsia="Arial" w:hAnsi="Arial"/>
          <w:sz w:val="16"/>
          <w:szCs w:val="16"/>
          <w:color w:val="auto"/>
        </w:rPr>
        <w:t xml:space="preserve"> </w:t>
      </w:r>
      <w:r>
        <w:rPr>
          <w:rFonts w:ascii="Arial" w:cs="Arial" w:eastAsia="Arial" w:hAnsi="Arial"/>
          <w:sz w:val="16"/>
          <w:szCs w:val="16"/>
          <w:i w:val="1"/>
          <w:iCs w:val="1"/>
          <w:color w:val="auto"/>
        </w:rPr>
        <w:t>606): Deferral of the Effective Date</w:t>
      </w:r>
      <w:r>
        <w:rPr>
          <w:rFonts w:ascii="Arial" w:cs="Arial" w:eastAsia="Arial" w:hAnsi="Arial"/>
          <w:sz w:val="16"/>
          <w:szCs w:val="16"/>
          <w:color w:val="auto"/>
        </w:rPr>
        <w:t>, which defers the effective date by one year to December 15, 2017,</w:t>
      </w:r>
      <w:r>
        <w:rPr>
          <w:rFonts w:ascii="Arial" w:cs="Arial" w:eastAsia="Arial" w:hAnsi="Arial"/>
          <w:sz w:val="16"/>
          <w:szCs w:val="16"/>
          <w:i w:val="1"/>
          <w:iCs w:val="1"/>
          <w:color w:val="auto"/>
        </w:rPr>
        <w:t xml:space="preserve"> </w:t>
      </w:r>
      <w:r>
        <w:rPr>
          <w:rFonts w:ascii="Arial" w:cs="Arial" w:eastAsia="Arial" w:hAnsi="Arial"/>
          <w:sz w:val="16"/>
          <w:szCs w:val="16"/>
          <w:color w:val="252525"/>
        </w:rPr>
        <w:t>for interim and annual reporting periods beginning</w:t>
      </w:r>
      <w:r>
        <w:rPr>
          <w:rFonts w:ascii="Arial" w:cs="Arial" w:eastAsia="Arial" w:hAnsi="Arial"/>
          <w:sz w:val="16"/>
          <w:szCs w:val="16"/>
          <w:i w:val="1"/>
          <w:iCs w:val="1"/>
          <w:color w:val="auto"/>
        </w:rPr>
        <w:t xml:space="preserve"> </w:t>
      </w:r>
      <w:r>
        <w:rPr>
          <w:rFonts w:ascii="Arial" w:cs="Arial" w:eastAsia="Arial" w:hAnsi="Arial"/>
          <w:sz w:val="16"/>
          <w:szCs w:val="16"/>
          <w:color w:val="252525"/>
        </w:rPr>
        <w:t>after that date</w:t>
      </w:r>
      <w:r>
        <w:rPr>
          <w:rFonts w:ascii="Arial" w:cs="Arial" w:eastAsia="Arial" w:hAnsi="Arial"/>
          <w:sz w:val="16"/>
          <w:szCs w:val="16"/>
          <w:color w:val="000000"/>
        </w:rPr>
        <w:t>. In March, April, May and December 2016, the FASB issued ASU 2016-08, ASU 2016-10, ASU 2016-12 and ASU 2016-20, respectively,</w:t>
      </w:r>
      <w:r>
        <w:rPr>
          <w:rFonts w:ascii="Arial" w:cs="Arial" w:eastAsia="Arial" w:hAnsi="Arial"/>
          <w:sz w:val="16"/>
          <w:szCs w:val="16"/>
          <w:color w:val="252525"/>
        </w:rPr>
        <w:t xml:space="preserve"> </w:t>
      </w:r>
      <w:r>
        <w:rPr>
          <w:rFonts w:ascii="Arial" w:cs="Arial" w:eastAsia="Arial" w:hAnsi="Arial"/>
          <w:sz w:val="16"/>
          <w:szCs w:val="16"/>
          <w:color w:val="000000"/>
        </w:rPr>
        <w:t>which provide supplemental guidance and clarification to ASU 2014-09. In September 2017, the FASB issued ASU 2017-13, which provides supplemental guidance and clarification to ASU 2014-09. The new standard will result in a change to the timing of revenue recognition, whereby revenue will be recognized "over time" as services are performed rather than at a "point in time", generally upon shipment. We are continuing to evaluate the impact that this new standard will have on our financial statements and disclosure, and expect to use the full retrospective transition method.</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ASU 2016-02 requires a dual approach for lessee accounting under which a lessee would account for leases as finance leases or operating leases. Both finance leases and operating leases will result in the lessee recognizing a right-of-use asset and a corresponding lease liability. For finance leases the lessee would recognize interest expense and amortization of the right-of-use asset, and for operating leases the lessee would recognize a straight-line lease expense. ASU 2016-02 is effective for reporting periods beginning after December 15, 2018 using a modified retrospective approach. Early adoption is permitted. In September 2017, the FASB issued ASU 2017-13, which provides supplemental guidance and clarification to ASU 2016-02. We are currently evaluating the impact that this guidance may have on our financial statements and disclosure.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2017, the FASB issued ASU 2017-07, </w:t>
      </w:r>
      <w:r>
        <w:rPr>
          <w:rFonts w:ascii="Arial" w:cs="Arial" w:eastAsia="Arial" w:hAnsi="Arial"/>
          <w:sz w:val="18"/>
          <w:szCs w:val="18"/>
          <w:i w:val="1"/>
          <w:iCs w:val="1"/>
          <w:color w:val="auto"/>
        </w:rPr>
        <w:t>Compensation – Retirement Benefits (Topic 715): Improving the Presentation of Net Periodic Pension Cost</w:t>
      </w:r>
      <w:r>
        <w:rPr>
          <w:rFonts w:ascii="Arial" w:cs="Arial" w:eastAsia="Arial" w:hAnsi="Arial"/>
          <w:sz w:val="18"/>
          <w:szCs w:val="18"/>
          <w:color w:val="auto"/>
        </w:rPr>
        <w:t xml:space="preserve"> </w:t>
      </w:r>
      <w:r>
        <w:rPr>
          <w:rFonts w:ascii="Arial" w:cs="Arial" w:eastAsia="Arial" w:hAnsi="Arial"/>
          <w:sz w:val="18"/>
          <w:szCs w:val="18"/>
          <w:i w:val="1"/>
          <w:iCs w:val="1"/>
          <w:color w:val="auto"/>
        </w:rPr>
        <w:t>and Net Periodic Postretirement Benefit Cost</w:t>
      </w:r>
      <w:r>
        <w:rPr>
          <w:rFonts w:ascii="Arial" w:cs="Arial" w:eastAsia="Arial" w:hAnsi="Arial"/>
          <w:sz w:val="18"/>
          <w:szCs w:val="18"/>
          <w:color w:val="auto"/>
        </w:rPr>
        <w:t>. ASU 2017-07 requires that the service cost component of net periodic pension costs be presented in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line item as other compensation costs and all other components of net periodic pension costs to be presented in the statement of income as nonoperating expenses. ASU 2017-07 is effective for annual periods beginning after December 15, 2017, including interim periods within those annual periods. Early adoption is permitted and should be applied retrospectively. We are currently evaluating the impact that this guidance may have on our financial statements and disclosure.</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Acquisition</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On May 22, 2017, we completed the purchase of 100% of the shares of Nanium, a provider of wafer-level fan-out semiconductor packaging solutions. We allocated the purchase price to the assets acquired and liabilities assumed based on their estimated fair values on the date of acquisition. We did not record goodwill as a result of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Other Income and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and expense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340" w:type="dxa"/>
            <w:vAlign w:val="bottom"/>
            <w:gridSpan w:val="4"/>
          </w:tcPr>
          <w:p>
            <w:pPr>
              <w:ind w:left="540"/>
              <w:spacing w:after="0"/>
              <w:rPr>
                <w:sz w:val="20"/>
                <w:szCs w:val="20"/>
                <w:color w:val="auto"/>
              </w:rPr>
            </w:pPr>
            <w:r>
              <w:rPr>
                <w:rFonts w:ascii="Arial" w:cs="Arial" w:eastAsia="Arial" w:hAnsi="Arial"/>
                <w:sz w:val="14"/>
                <w:szCs w:val="14"/>
                <w:b w:val="1"/>
                <w:bCs w:val="1"/>
                <w:color w:val="auto"/>
                <w:w w:val="93"/>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8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8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w w:val="96"/>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196"/>
        </w:trPr>
        <w:tc>
          <w:tcPr>
            <w:tcW w:w="5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(gain) loss, net</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3"/>
              <w:spacing w:after="0"/>
              <w:rPr>
                <w:sz w:val="20"/>
                <w:szCs w:val="20"/>
                <w:color w:val="auto"/>
              </w:rPr>
            </w:pPr>
            <w:r>
              <w:rPr>
                <w:rFonts w:ascii="Arial" w:cs="Arial" w:eastAsia="Arial" w:hAnsi="Arial"/>
                <w:sz w:val="18"/>
                <w:szCs w:val="18"/>
                <w:color w:val="auto"/>
                <w:w w:val="84"/>
              </w:rPr>
              <w:t>7,124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8,678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11,506</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retirement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4,424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20" w:type="dxa"/>
            <w:vAlign w:val="bottom"/>
          </w:tcPr>
          <w:p>
            <w:pPr>
              <w:jc w:val="right"/>
              <w:ind w:right="13"/>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8"/>
              </w:rPr>
              <w:t>3,354</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84"/>
              </w:rPr>
              <w:t>6,657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11,028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9,607</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income tax expense of $51.8 million for the nine months ended September 30, 2017 primarily reflects income taxes at certain of our foreign operations and foreign withholding taxes. Our income tax expense also reflects income taxed in foreign jurisdictions where we benefit from tax holidays.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For most of our foreign deferred tax assets, we consider it more likely than not that we will have sufficient taxable income to allow us to realize these deferred tax assets.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a valuation allowance on all our U.S. net deferred tax assets, including our net operating loss carryforwards. Such valuation allowances are released as the related tax benefits are realized or when sufficient evidence exists to conclude that it is more likely than not that the deferred tax assets will be realized.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Our gross unrecognized tax benefits increased from $23.1 million at December 31, 2016, to $25.2 million as of September 30, 2017. Most of our unrecognized tax benefits would reduce our effective tax rate, if recognized. Our unrecognized tax benefits are subject to change for effective settlement of examinations, changes in the recognition threshold of tax positions, the expiration of statues of limitations and other factors. Tax return examinations involve uncertainties, and there can be no assurance that the outcome of examinations will be favorable.</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4"/>
                <w:szCs w:val="14"/>
                <w:color w:val="auto"/>
              </w:rPr>
            </w:pPr>
          </w:p>
        </w:tc>
        <w:tc>
          <w:tcPr>
            <w:tcW w:w="25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0" w:type="dxa"/>
            <w:vAlign w:val="bottom"/>
            <w:gridSpan w:val="3"/>
          </w:tcPr>
          <w:p>
            <w:pPr>
              <w:jc w:val="center"/>
              <w:ind w:left="396"/>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8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except per share data)</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Amkor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54,435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60,089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159,936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63,927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Weighted-average number of common shares outstanding — basic</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239,068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237,353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238,873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237,157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572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3"/>
              </w:rPr>
              <w:t>Weighted-average number of common shares outstanding — diluted</w:t>
            </w:r>
          </w:p>
        </w:tc>
        <w:tc>
          <w:tcPr>
            <w:tcW w:w="3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239,640</w:t>
            </w:r>
          </w:p>
        </w:tc>
        <w:tc>
          <w:tcPr>
            <w:tcW w:w="12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238,192</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239,610</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237,586</w:t>
            </w: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Amkor per common share: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0.27</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0.27</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200" w:type="dxa"/>
            <w:vAlign w:val="bottom"/>
            <w:gridSpan w:val="5"/>
          </w:tcPr>
          <w:p>
            <w:pPr>
              <w:ind w:left="6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8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016"/>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gridSpan w:val="2"/>
          </w:tcPr>
          <w:p>
            <w:pPr>
              <w:ind w:left="5760"/>
              <w:spacing w:after="0"/>
              <w:rPr>
                <w:sz w:val="20"/>
                <w:szCs w:val="20"/>
                <w:color w:val="auto"/>
              </w:rPr>
            </w:pPr>
            <w:r>
              <w:rPr>
                <w:rFonts w:ascii="Arial" w:cs="Arial" w:eastAsia="Arial" w:hAnsi="Arial"/>
                <w:sz w:val="14"/>
                <w:szCs w:val="14"/>
                <w:b w:val="1"/>
                <w:bCs w:val="1"/>
                <w:color w:val="auto"/>
                <w:w w:val="96"/>
              </w:rPr>
              <w:t>2017</w:t>
            </w:r>
          </w:p>
        </w:tc>
        <w:tc>
          <w:tcPr>
            <w:tcW w:w="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60" w:type="dxa"/>
            <w:vAlign w:val="bottom"/>
          </w:tcPr>
          <w:p>
            <w:pPr>
              <w:jc w:val="center"/>
              <w:ind w:right="13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 options and restricted share awards</w:t>
            </w:r>
          </w:p>
        </w:tc>
        <w:tc>
          <w:tcPr>
            <w:tcW w:w="6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7"/>
              </w:rPr>
              <w:t>3,483</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3,463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7.  Equity and Accumulated Other Comprehensive Income (Loss)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spacing w:after="0"/>
              <w:rPr>
                <w:sz w:val="20"/>
                <w:szCs w:val="20"/>
                <w:color w:val="auto"/>
              </w:rPr>
            </w:pPr>
            <w:r>
              <w:rPr>
                <w:rFonts w:ascii="Arial" w:cs="Arial" w:eastAsia="Arial" w:hAnsi="Arial"/>
                <w:sz w:val="18"/>
                <w:szCs w:val="18"/>
                <w:color w:val="auto"/>
              </w:rPr>
              <w:t>Changes in equity consist of the following:</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Attributable</w:t>
            </w:r>
          </w:p>
        </w:tc>
        <w:tc>
          <w:tcPr>
            <w:tcW w:w="20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Attributable to</w:t>
            </w: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500" w:type="dxa"/>
            <w:vAlign w:val="bottom"/>
          </w:tcPr>
          <w:p>
            <w:pPr>
              <w:spacing w:after="0"/>
              <w:rPr>
                <w:sz w:val="12"/>
                <w:szCs w:val="12"/>
                <w:color w:val="auto"/>
              </w:rPr>
            </w:pPr>
          </w:p>
        </w:tc>
        <w:tc>
          <w:tcPr>
            <w:tcW w:w="9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7"/>
              </w:rPr>
              <w:t>to Amkor</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Interests</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at December 31, 2016</w:t>
            </w:r>
          </w:p>
        </w:tc>
        <w:tc>
          <w:tcPr>
            <w:tcW w:w="9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1,383,588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19,816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1,403,404</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159,936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3,009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162,945</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12,047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Issuance of stock through employee share-based compensation plans</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2,421</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Share-based compensation</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7"/>
        </w:trPr>
        <w:tc>
          <w:tcPr>
            <w:tcW w:w="60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Subsidiary dividends paid to non-controlling interests</w:t>
            </w:r>
          </w:p>
        </w:tc>
        <w:tc>
          <w:tcPr>
            <w:tcW w:w="6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57"/>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Equity at September 30, 2017</w:t>
            </w:r>
          </w:p>
        </w:tc>
        <w:tc>
          <w:tcPr>
            <w:tcW w:w="6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1,560,437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22,413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1,582,850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ind w:left="5580"/>
              <w:spacing w:after="0"/>
              <w:rPr>
                <w:sz w:val="20"/>
                <w:szCs w:val="20"/>
                <w:color w:val="auto"/>
              </w:rPr>
            </w:pPr>
            <w:r>
              <w:rPr>
                <w:rFonts w:ascii="Arial" w:cs="Arial" w:eastAsia="Arial" w:hAnsi="Arial"/>
                <w:sz w:val="18"/>
                <w:szCs w:val="18"/>
                <w:color w:val="auto"/>
              </w:rPr>
              <w:t>- 9-</w:t>
            </w: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0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6"/>
              </w:rPr>
              <w:t>Attributable</w:t>
            </w:r>
          </w:p>
        </w:tc>
        <w:tc>
          <w:tcPr>
            <w:tcW w:w="160" w:type="dxa"/>
            <w:vAlign w:val="bottom"/>
          </w:tcPr>
          <w:p>
            <w:pPr>
              <w:spacing w:after="0"/>
              <w:rPr>
                <w:sz w:val="14"/>
                <w:szCs w:val="1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Attributable to</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340" w:type="dxa"/>
            <w:vAlign w:val="bottom"/>
          </w:tcPr>
          <w:p>
            <w:pPr>
              <w:spacing w:after="0"/>
              <w:rPr>
                <w:sz w:val="12"/>
                <w:szCs w:val="12"/>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7"/>
              </w:rPr>
              <w:t>to Amkor</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1,200,286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17,250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1,217,536</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63,927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66,102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52,232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Issuance of stock through employee share-based compensation plans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acquired through surrender of shares for tax withholding</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2,449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Subsidiary dividends paid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Pr>
          <w:p>
            <w:pPr>
              <w:ind w:left="20"/>
              <w:spacing w:after="0"/>
              <w:rPr>
                <w:sz w:val="20"/>
                <w:szCs w:val="20"/>
                <w:color w:val="auto"/>
              </w:rPr>
            </w:pPr>
            <w:r>
              <w:rPr>
                <w:rFonts w:ascii="Arial" w:cs="Arial" w:eastAsia="Arial" w:hAnsi="Arial"/>
                <w:sz w:val="18"/>
                <w:szCs w:val="18"/>
                <w:color w:val="auto"/>
              </w:rPr>
              <w:t>Equity at September 30, 2016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1,321,048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1,340,060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980" w:type="dxa"/>
            <w:vAlign w:val="bottom"/>
            <w:gridSpan w:val="3"/>
          </w:tcPr>
          <w:p>
            <w:pPr>
              <w:jc w:val="right"/>
              <w:spacing w:after="0"/>
              <w:rPr>
                <w:sz w:val="20"/>
                <w:szCs w:val="20"/>
                <w:color w:val="auto"/>
              </w:rPr>
            </w:pPr>
            <w:r>
              <w:rPr>
                <w:rFonts w:ascii="Arial" w:cs="Arial" w:eastAsia="Arial" w:hAnsi="Arial"/>
                <w:sz w:val="18"/>
                <w:szCs w:val="18"/>
                <w:color w:val="auto"/>
                <w:w w:val="90"/>
              </w:rPr>
              <w:t>Changes in accumulated other comprehensive income (loss), net of tax, consist of the following:</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4"/>
                <w:szCs w:val="24"/>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4"/>
                <w:szCs w:val="2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263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11,784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12,047</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September 30, 2017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1,401</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16,908</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18,309</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3"/>
                <w:szCs w:val="23"/>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3"/>
                <w:szCs w:val="2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6"/>
                <w:szCs w:val="16"/>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40" w:type="dxa"/>
            <w:vAlign w:val="bottom"/>
          </w:tcPr>
          <w:p>
            <w:pPr>
              <w:spacing w:after="0"/>
              <w:rPr>
                <w:sz w:val="21"/>
                <w:szCs w:val="21"/>
                <w:color w:val="auto"/>
              </w:rPr>
            </w:pP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52,161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52,161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52,161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52,232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September 30, 2016</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51,502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50,148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Amounts reclassified out of accumulated other comprehensive income (loss) are included as a component of net periodic pension cost (Note 13).</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Factoring of Accounts Receivable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certain foreign locations,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and nine months ended September 30, 2017, we sold accounts receivable totaling $135.1 million and $400.4 million, net of discounts and fees of $1.3 million and $2.9 million, respectively. For the three and nine months ended September 30, 2016, we sold accounts receivable totaling $161.6 million and $431.8 million, net of discounts and fees of $0.8 million and $1.7 million, respectively.</w:t>
      </w:r>
    </w:p>
    <w:p>
      <w:pPr>
        <w:spacing w:after="0" w:line="18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purchased components</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204,613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173,035</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109,594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94,955</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inventories</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314,207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267,990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Property, Plant and Equipment</w:t>
            </w:r>
          </w:p>
        </w:tc>
        <w:tc>
          <w:tcPr>
            <w:tcW w:w="3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60" w:type="dxa"/>
            <w:vAlign w:val="bottom"/>
            <w:vMerge w:val="continue"/>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60" w:type="dxa"/>
            <w:vAlign w:val="bottom"/>
          </w:tcPr>
          <w:p>
            <w:pPr>
              <w:spacing w:after="0"/>
              <w:rPr>
                <w:sz w:val="20"/>
                <w:szCs w:val="20"/>
                <w:color w:val="auto"/>
              </w:rPr>
            </w:pPr>
            <w:r>
              <w:rPr>
                <w:rFonts w:ascii="Arial" w:cs="Arial" w:eastAsia="Arial" w:hAnsi="Arial"/>
                <w:sz w:val="18"/>
                <w:szCs w:val="18"/>
                <w:color w:val="auto"/>
              </w:rPr>
              <w:t>Property, plant and equipment consist of the following:</w:t>
            </w: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7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24"/>
                <w:szCs w:val="24"/>
                <w:color w:val="auto"/>
              </w:rPr>
            </w:pPr>
          </w:p>
        </w:tc>
        <w:tc>
          <w:tcPr>
            <w:tcW w:w="13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224,932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240,719</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Land use rights</w:t>
            </w: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3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1,379,559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1,362,007</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4,875,904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4,483,523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and computer equipment</w:t>
            </w:r>
          </w:p>
        </w:tc>
        <w:tc>
          <w:tcPr>
            <w:tcW w:w="3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198,723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205,969</w:t>
            </w:r>
          </w:p>
        </w:tc>
        <w:tc>
          <w:tcPr>
            <w:tcW w:w="0" w:type="dxa"/>
            <w:vAlign w:val="bottom"/>
          </w:tcPr>
          <w:p>
            <w:pPr>
              <w:spacing w:after="0"/>
              <w:rPr>
                <w:sz w:val="1"/>
                <w:szCs w:val="1"/>
                <w:color w:val="auto"/>
              </w:rPr>
            </w:pP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Furniture, fixtures and other equipment</w:t>
            </w:r>
          </w:p>
        </w:tc>
        <w:tc>
          <w:tcPr>
            <w:tcW w:w="3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15,654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21,313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90,972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87,037</w:t>
            </w:r>
          </w:p>
        </w:tc>
        <w:tc>
          <w:tcPr>
            <w:tcW w:w="0" w:type="dxa"/>
            <w:vAlign w:val="bottom"/>
          </w:tcPr>
          <w:p>
            <w:pPr>
              <w:spacing w:after="0"/>
              <w:rPr>
                <w:sz w:val="1"/>
                <w:szCs w:val="1"/>
                <w:color w:val="auto"/>
              </w:rPr>
            </w:pPr>
          </w:p>
        </w:tc>
      </w:tr>
      <w:tr>
        <w:trPr>
          <w:trHeight w:val="237"/>
        </w:trPr>
        <w:tc>
          <w:tcPr>
            <w:tcW w:w="4760" w:type="dxa"/>
            <w:vAlign w:val="bottom"/>
          </w:tcPr>
          <w:p>
            <w:pPr>
              <w:ind w:left="280"/>
              <w:spacing w:after="0"/>
              <w:rPr>
                <w:sz w:val="20"/>
                <w:szCs w:val="20"/>
                <w:color w:val="auto"/>
              </w:rPr>
            </w:pPr>
            <w:r>
              <w:rPr>
                <w:rFonts w:ascii="Arial" w:cs="Arial" w:eastAsia="Arial" w:hAnsi="Arial"/>
                <w:sz w:val="18"/>
                <w:szCs w:val="18"/>
                <w:color w:val="auto"/>
              </w:rPr>
              <w:t>Total property, plant and equipment</w:t>
            </w:r>
          </w:p>
        </w:tc>
        <w:tc>
          <w:tcPr>
            <w:tcW w:w="35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6,812,589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6,427,413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5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(4,105,874)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(3,862,765)</w:t>
            </w:r>
          </w:p>
        </w:tc>
        <w:tc>
          <w:tcPr>
            <w:tcW w:w="0" w:type="dxa"/>
            <w:vAlign w:val="bottom"/>
          </w:tcPr>
          <w:p>
            <w:pPr>
              <w:spacing w:after="0"/>
              <w:rPr>
                <w:sz w:val="1"/>
                <w:szCs w:val="1"/>
                <w:color w:val="auto"/>
              </w:rPr>
            </w:pPr>
          </w:p>
        </w:tc>
      </w:tr>
      <w:tr>
        <w:trPr>
          <w:trHeight w:val="257"/>
        </w:trPr>
        <w:tc>
          <w:tcPr>
            <w:tcW w:w="476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35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2,706,715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2,564,648</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580" w:type="dxa"/>
            <w:vAlign w:val="bottom"/>
            <w:vMerge w:val="restart"/>
          </w:tcPr>
          <w:p>
            <w:pPr>
              <w:jc w:val="right"/>
              <w:ind w:right="2370"/>
              <w:spacing w:after="0"/>
              <w:rPr>
                <w:sz w:val="20"/>
                <w:szCs w:val="20"/>
                <w:color w:val="auto"/>
              </w:rPr>
            </w:pPr>
            <w:r>
              <w:rPr>
                <w:rFonts w:ascii="Arial" w:cs="Arial" w:eastAsia="Arial" w:hAnsi="Arial"/>
                <w:sz w:val="18"/>
                <w:szCs w:val="18"/>
                <w:color w:val="auto"/>
              </w:rPr>
              <w:t>- 11-</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6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38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w w:val="99"/>
              </w:rPr>
              <w:t>For the 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8"/>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r>
      <w:tr>
        <w:trPr>
          <w:trHeight w:val="196"/>
        </w:trPr>
        <w:tc>
          <w:tcPr>
            <w:tcW w:w="5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expense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148,099</w:t>
            </w:r>
          </w:p>
        </w:tc>
        <w:tc>
          <w:tcPr>
            <w:tcW w:w="5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140,728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434,394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414,687</w:t>
            </w:r>
          </w:p>
        </w:tc>
      </w:tr>
      <w:tr>
        <w:trPr>
          <w:trHeight w:val="27"/>
        </w:trPr>
        <w:tc>
          <w:tcPr>
            <w:tcW w:w="5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$42.4 million and $44.8 million of costs for our factory and research and development facility in Korea ("K5") in construction in progress as of September 30, 2017 and December 31, 2016, respectively.</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part of our plan to consolidate factory operations in Korea, we sold the land and buildings comprising our K1 factory in May 2017 for $142.4 million. We received 10% of the sale price at signing in November 2016 and the balance at closing, at which time we recognized a pre-tax gain of $108.1 million.</w:t>
      </w:r>
    </w:p>
    <w:p>
      <w:pPr>
        <w:spacing w:after="0" w:line="1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144,922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117,636</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Deferred revenue and customer advances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70,665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65,653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37,961</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settlement costs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37,147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35,304</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4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severance plan obligations</w:t>
            </w:r>
          </w:p>
        </w:tc>
        <w:tc>
          <w:tcPr>
            <w:tcW w:w="4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14,053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49,039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55,016</w:t>
            </w:r>
          </w:p>
        </w:tc>
        <w:tc>
          <w:tcPr>
            <w:tcW w:w="0" w:type="dxa"/>
            <w:vAlign w:val="bottom"/>
          </w:tcPr>
          <w:p>
            <w:pPr>
              <w:spacing w:after="0"/>
              <w:rPr>
                <w:sz w:val="1"/>
                <w:szCs w:val="1"/>
                <w:color w:val="auto"/>
              </w:rPr>
            </w:pPr>
          </w:p>
        </w:tc>
      </w:tr>
      <w:tr>
        <w:trPr>
          <w:trHeight w:val="257"/>
        </w:trPr>
        <w:tc>
          <w:tcPr>
            <w:tcW w:w="428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406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385,659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338,669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60" w:type="dxa"/>
            <w:vAlign w:val="bottom"/>
            <w:vMerge w:val="restart"/>
          </w:tcPr>
          <w:p>
            <w:pPr>
              <w:jc w:val="right"/>
              <w:ind w:right="2370"/>
              <w:spacing w:after="0"/>
              <w:rPr>
                <w:sz w:val="20"/>
                <w:szCs w:val="20"/>
                <w:color w:val="auto"/>
              </w:rPr>
            </w:pPr>
            <w:r>
              <w:rPr>
                <w:rFonts w:ascii="Arial" w:cs="Arial" w:eastAsia="Arial" w:hAnsi="Arial"/>
                <w:sz w:val="18"/>
                <w:szCs w:val="18"/>
                <w:color w:val="auto"/>
              </w:rPr>
              <w:t>- 12-</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secured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$200 million revolving credit facility, LIBOR plus 1.25%-1.75%, due</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December 2019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6.625% Senior notes, due June 2021 (2)</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6.375% Senior notes, due October 2022</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524,971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524,971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4"/>
              </w:rPr>
              <w:t>$75 million revolving credit facility, foreign currency funding-linked base rate plus 1.60%, due June 2018</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2.70%, due December 2019</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55,000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foreign currency funding-linked base rate plus 1.32%, due May 2020</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3.70%, due May 2020 (4)</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2.60%, due May 2018 (4)</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120,000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foreign currency funding-linked base rate plus 1.33%, due May 2020 (3)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J-Devices Corporation:</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term loans, variable rate (6)</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21,180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22,230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loans, fixed rate at 0.53%, due April 2018</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10,124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19,460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0.86%, due June 2022 (7)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0.60%, due July 2022 (8)</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8,888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29"/>
        </w:trPr>
        <w:tc>
          <w:tcPr>
            <w:tcW w:w="8340" w:type="dxa"/>
            <w:vAlign w:val="bottom"/>
          </w:tcPr>
          <w:p>
            <w:pPr>
              <w:ind w:left="500"/>
              <w:spacing w:after="0"/>
              <w:rPr>
                <w:sz w:val="20"/>
                <w:szCs w:val="20"/>
                <w:color w:val="auto"/>
              </w:rPr>
            </w:pPr>
            <w:r>
              <w:rPr>
                <w:rFonts w:ascii="Arial" w:cs="Arial" w:eastAsia="Arial" w:hAnsi="Arial"/>
                <w:sz w:val="18"/>
                <w:szCs w:val="18"/>
                <w:color w:val="auto"/>
              </w:rPr>
              <w:t>Revolving credit facility, TAIFX plus a bank-determined spread, due</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740"/>
              <w:spacing w:after="0"/>
              <w:rPr>
                <w:sz w:val="20"/>
                <w:szCs w:val="20"/>
                <w:color w:val="auto"/>
              </w:rPr>
            </w:pPr>
            <w:r>
              <w:rPr>
                <w:rFonts w:ascii="Arial" w:cs="Arial" w:eastAsia="Arial" w:hAnsi="Arial"/>
                <w:sz w:val="18"/>
                <w:szCs w:val="18"/>
                <w:color w:val="auto"/>
              </w:rPr>
              <w:t>November 2020 (Taiwan) (9)</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1.80%, due December 2019 (China) (10)</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1,362,881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1,477,661</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premium and deferred debt costs,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(117,970)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(35,192)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related party)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1,243,697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1,439,638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$200.0 million senior secured revolving credit facility has a letter of credit sub-limit facility of $25.0 million. Principal is payable at maturity. The availability for the revolving credit facility is based on the amount of our eligible accounts receivable. As of September 30, 2017, we had availability of $199.5 million under this facility, after reduction of $0.5 million of outstanding standby letters of credit.</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July 2017, we redeemed $200.0 million aggregate principal amount of the outstanding $400.0 million of our 6.625% Senior Notes due 2021 ("Notes"), which included $17.5 million held by a related party. In accordance with the terms of the indenture governing the Notes, the redemption price was 101.656% of the principal amount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- 13-</w:t>
      </w:r>
    </w:p>
    <w:p>
      <w:pPr>
        <w:sectPr>
          <w:pgSz w:w="11900" w:h="16838" w:orient="portrait"/>
          <w:cols w:equalWidth="0" w:num="1">
            <w:col w:w="11420"/>
          </w:cols>
          <w:pgMar w:left="240" w:top="121"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left="660"/>
        <w:spacing w:after="0" w:line="306" w:lineRule="auto"/>
        <w:rPr>
          <w:sz w:val="20"/>
          <w:szCs w:val="20"/>
          <w:color w:val="auto"/>
        </w:rPr>
      </w:pPr>
      <w:r>
        <w:rPr>
          <w:rFonts w:ascii="Arial" w:cs="Arial" w:eastAsia="Arial" w:hAnsi="Arial"/>
          <w:sz w:val="18"/>
          <w:szCs w:val="18"/>
          <w:color w:val="auto"/>
        </w:rPr>
        <w:t>of the Notes, plus accrued and unpaid interest. We recorded a $3.3 million loss on extinguishment related to the premium paid on the call of the Notes and a $1.1 million charge for the write-off of the associated unamortized debt issuance costs. The redemption of the Notes was funded with cash on hand. In addition, during the nine months ended September 30, 2017, our related party sold all of its remaining Notes in the open market reducing the long-term debt, related party balance to zero.</w:t>
      </w:r>
    </w:p>
    <w:p>
      <w:pPr>
        <w:spacing w:after="0" w:line="119"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2017, we decreased the revolving credit facility from $100.0 million to $75.0 million. Principal is payable at maturity, which was extended in June 2017 for one year to June 2018. Interest is payable monthly in arrears, at a foreign currency funding-linked base rate plus 1.60% (3.75% as of September 30, 2017). In April 2017, we borrowed $75.0 million on this facility and repaid the outstanding balance of $80.0 million on our term loan due May 2020.</w:t>
      </w:r>
    </w:p>
    <w:p>
      <w:pPr>
        <w:spacing w:after="0" w:line="14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2017, we entered into a $120.0 million term loan agreement to repay the $120.0 million term loan due in 2018. The new term loan agreement extended the maturity date to 2020 and changed the interest rate to a fixed rate. Principal is payable at maturity. Interest is payable quarterly in arrears at a fixed rate of 3.7%.</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May 2015, we entered into a term loan agreement pursuant to which we may borrow up to $150.0 million for capital expenditures. Principal is payable at maturity. Interest is payable quarterly in arrears, at a fund floating rate plus 1.60% (3.20% as of September 30, 2017). As of September 30, 2017, $64.0 million was available to be borrowed.</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is payable in monthly installments. Interest is payable monthly, at TIBOR plus 0.15% to 0.38% (weighted-average of 0.24% as of September 30, 2017). As of September 30, 2017, $11.6 million was available to be drawn.</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June 2017, we entered into a ¥5.0 billion term loan agreement for capital expenditures. Principal is payable in quarterly installments of ¥250.0 million. Interest is payable quarterly in arrears, at a fixed rate of 0.86%. In June 2017, we borrowed ¥5.0 billion.</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July 2017, we entered into a ¥1.0 billion term loan agreement for capital expenditures. Principal is payable in quarterly installments of ¥50.0 million. Interest is payable in arrears, at a fixed rate of 0.60%. In July 2017, we borrowed ¥1.0 billion.</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November 2015, we entered into a $39.0 million revolving credit facility. Principal is payable at maturity. Interest is payable monthly, at TAIFX plus a bank determined spread (2.64% as of September 30, 2017). As of September 30, 2017, $19.0 million was available to be drawn.</w:t>
      </w:r>
    </w:p>
    <w:p>
      <w:pPr>
        <w:spacing w:after="0" w:line="10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December 2016, we entered into a $50.0 million term loan agreement. Principal is payable in semiannual installments of $0.5 million, with the remaining balance due at maturity. Interest is payable quarterly, at LIBOR plus 1.80% (3.11% as of September 30, 2017). In January 2017, we borrowed $50.0 million.</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debt is generally collateralized by the land, buildings and equipment in the respective locations. The carrying value of the collateral exceeds the carrying amount of the debt.</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debt of Amkor Technology, Inc. is structurally subordinated in right of payment to all existing and future debt and other liabilities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September 30, 2017.</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4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60" w:type="dxa"/>
            <w:vAlign w:val="bottom"/>
            <w:gridSpan w:val="4"/>
          </w:tcPr>
          <w:p>
            <w:pPr>
              <w:jc w:val="right"/>
              <w:ind w:right="573"/>
              <w:spacing w:after="0"/>
              <w:rPr>
                <w:sz w:val="20"/>
                <w:szCs w:val="20"/>
                <w:color w:val="auto"/>
              </w:rPr>
            </w:pPr>
            <w:r>
              <w:rPr>
                <w:rFonts w:ascii="Arial" w:cs="Arial" w:eastAsia="Arial" w:hAnsi="Arial"/>
                <w:sz w:val="14"/>
                <w:szCs w:val="14"/>
                <w:b w:val="1"/>
                <w:bCs w:val="1"/>
                <w:color w:val="auto"/>
              </w:rPr>
              <w:t>For the Nine Months Ended</w:t>
            </w: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8,445</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9,024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25,215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2,753</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(1,124)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9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26</w:t>
            </w:r>
          </w:p>
        </w:tc>
      </w:tr>
      <w:tr>
        <w:trPr>
          <w:trHeight w:val="27"/>
        </w:trPr>
        <w:tc>
          <w:tcPr>
            <w:tcW w:w="5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r>
      <w:tr>
        <w:trPr>
          <w:trHeight w:val="257"/>
        </w:trPr>
        <w:tc>
          <w:tcPr>
            <w:tcW w:w="5160" w:type="dxa"/>
            <w:vAlign w:val="bottom"/>
          </w:tcPr>
          <w:p>
            <w:pPr>
              <w:ind w:left="280"/>
              <w:spacing w:after="0"/>
              <w:rPr>
                <w:sz w:val="20"/>
                <w:szCs w:val="20"/>
                <w:color w:val="auto"/>
              </w:rPr>
            </w:pPr>
            <w:r>
              <w:rPr>
                <w:rFonts w:ascii="Arial" w:cs="Arial" w:eastAsia="Arial" w:hAnsi="Arial"/>
                <w:sz w:val="18"/>
                <w:szCs w:val="18"/>
                <w:color w:val="auto"/>
              </w:rPr>
              <w:t>Net periodic pension cost</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8,348</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9,021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24,952</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25,670</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For the Three Months Ended</w:t>
            </w:r>
          </w:p>
        </w:tc>
        <w:tc>
          <w:tcPr>
            <w:tcW w:w="500" w:type="dxa"/>
            <w:vAlign w:val="bottom"/>
          </w:tcPr>
          <w:p>
            <w:pPr>
              <w:spacing w:after="0"/>
              <w:rPr>
                <w:sz w:val="14"/>
                <w:szCs w:val="14"/>
                <w:color w:val="auto"/>
              </w:rPr>
            </w:pPr>
          </w:p>
        </w:tc>
        <w:tc>
          <w:tcPr>
            <w:tcW w:w="2560" w:type="dxa"/>
            <w:vAlign w:val="bottom"/>
            <w:gridSpan w:val="3"/>
          </w:tcPr>
          <w:p>
            <w:pPr>
              <w:jc w:val="center"/>
              <w:ind w:right="399"/>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center"/>
              <w:ind w:left="584"/>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196"/>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contribution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2,230</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1,939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8,009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7,106</w:t>
            </w:r>
          </w:p>
        </w:tc>
      </w:tr>
      <w:tr>
        <w:trPr>
          <w:trHeight w:val="27"/>
        </w:trPr>
        <w:tc>
          <w:tcPr>
            <w:tcW w:w="5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 Money market funds are valued using quoted market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3"/>
          </w:tcPr>
          <w:p>
            <w:pPr>
              <w:jc w:val="right"/>
              <w:ind w:right="99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56,335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39,548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200" w:type="dxa"/>
            <w:vAlign w:val="bottom"/>
          </w:tcPr>
          <w:p>
            <w:pPr>
              <w:spacing w:after="0"/>
              <w:rPr>
                <w:sz w:val="21"/>
                <w:szCs w:val="21"/>
                <w:color w:val="auto"/>
              </w:rPr>
            </w:pPr>
          </w:p>
        </w:tc>
        <w:tc>
          <w:tcPr>
            <w:tcW w:w="1320" w:type="dxa"/>
            <w:vAlign w:val="bottom"/>
          </w:tcPr>
          <w:p>
            <w:pPr>
              <w:jc w:val="right"/>
              <w:ind w:right="41"/>
              <w:spacing w:after="0"/>
              <w:rPr>
                <w:sz w:val="20"/>
                <w:szCs w:val="20"/>
                <w:color w:val="auto"/>
              </w:rPr>
            </w:pPr>
            <w:r>
              <w:rPr>
                <w:rFonts w:ascii="Arial" w:cs="Arial" w:eastAsia="Arial" w:hAnsi="Arial"/>
                <w:sz w:val="18"/>
                <w:szCs w:val="18"/>
                <w:color w:val="auto"/>
              </w:rPr>
              <w:t>2,000</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745,922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723,757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954,765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922,140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638,677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637,910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551,793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552,690</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1,384,599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1,361,667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1,506,558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1,474,830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 based assumptions including forward interest rates adjusted for credit risk.</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warrant that our services will be performed in a professional and workmanlike manner and in compliance with our customers' specifications. We accrue costs for known warranty issues. Historically, our warranty costs have been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and selectively growing our scale and scope through strategic investments.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an industry leader in developing and commercializing cost-effective advanced packaging and test technologies. These advanced technology solutions provide increased value to our customers while typically generating gross margins above our corporate average. This is particularly true in the mobile device market, where growth has outpaced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We believe that our technology leadership and this technology transition create significant growth opportunities for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currently working to expand our sales to Chinese and Taiwanese fabless chip companies that make up a significant portion of the mid-tier and entry-level segments of the mobile device market where much of the growth is occurring. In addition, we are seeking out new customers and deepening our engagement with existing customers. This includes an expanded emphasis on the automotive market where semiconductor content continues to grow and in the analog area for our mainstream wirebond technologies.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identify attractive opportunities to grow our customer base and expand the markets we serve. For example, in May 2017 we acquired Nanium which will strengthen our position in the market for wafer-level packaging. In 2009 we invested in J-Devices, a joint venture to provide semiconductor packaging and test services in Japan. We increased our investment in J-Devices to 60% in 2013 and to 100% in 2015 through the exercise of additional options. We believe that selective growth through joint ventures, acquisitions and other strategic investments can help diversify our revenue streams, improve our profits, broaden our portfolio of services and continue our technological leadership.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Our fabless customers include: Broadcom Limited and Qualcomm Incorporated. Our contract foundry customers include: GlobalFoundries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Taiwan Semiconductor Manufacturing Company Limited.</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supplier in the semiconductor industry, our business is cyclical and impacted by broad economic factors, such as world-wide gross domestic product and consumer spending. Historically,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economic slowdown or subsequent economic recovery.</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operate in a capital 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 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business, our capital expenditure levels and our ability to repay debt out of our operating cash flows or proceeds from debt or equity financings.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increased $49.0 million or 4.5% to $1,135.0 million for the three months ended September 30, 2017 from $1,086.0 million for the three months ended September 30, 2016. The increase was attributable to increased demand in nearly all of our end markets.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Gross margin for the three months ended September 30, 2017 decreased to 19.1% from 19.7% for the three months ended September 30, 2016. The decline in gross margin was primarily attributable to an increase in employee compensation costs at our factories and factory consolidation activities in Japan.</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May 22, 2017, we completed the acquisition of Nanium, a provider of wafer-level fan-out semiconductor packaging solutions. Nanium's financial results have been included in our Consolidated Financial Statements from the date of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May 2017, we sold the land and buildings comprising our K1 factory for $142.4 million which resulted in a pre-tax gain of $108.1 million.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capital expenditures are primarily for investments in advanced packaging and test equipment and totaled $414.0 million for the nine months ended September 30, 2017, compared to $481.7 million for the nine months ended September 30, 2016. Our capital expenditures in the first nine months of 2016 included $161.0 million for construction of our K5 facility in Korea.</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operating activities was $413.9 million for the nine months ended September 30, 2017, compared to $491.6 million for the nine months ended September 30, 2016. This decrease was primarily due to changes in working capital, partially offset by higher sales and gross profit.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560" w:type="dxa"/>
            <w:vAlign w:val="bottom"/>
            <w:gridSpan w:val="4"/>
          </w:tcPr>
          <w:p>
            <w:pPr>
              <w:jc w:val="center"/>
              <w:ind w:left="528"/>
              <w:spacing w:after="0"/>
              <w:rPr>
                <w:sz w:val="20"/>
                <w:szCs w:val="20"/>
                <w:color w:val="auto"/>
              </w:rPr>
            </w:pPr>
            <w:r>
              <w:rPr>
                <w:rFonts w:ascii="Arial" w:cs="Arial" w:eastAsia="Arial" w:hAnsi="Arial"/>
                <w:sz w:val="14"/>
                <w:szCs w:val="14"/>
                <w:b w:val="1"/>
                <w:bCs w:val="1"/>
                <w:color w:val="auto"/>
                <w:w w:val="94"/>
              </w:rPr>
              <w:t>For the 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192"/>
        </w:trPr>
        <w:tc>
          <w:tcPr>
            <w:tcW w:w="504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942"/>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r>
      <w:tr>
        <w:trPr>
          <w:trHeight w:val="236"/>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580" w:type="dxa"/>
            <w:vAlign w:val="bottom"/>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58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30.7%</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37"/>
        </w:trPr>
        <w:tc>
          <w:tcPr>
            <w:tcW w:w="59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58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Amkor</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5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3"/>
          </w:tcPr>
          <w:p>
            <w:pPr>
              <w:jc w:val="center"/>
              <w:ind w:right="365"/>
              <w:spacing w:after="0"/>
              <w:rPr>
                <w:sz w:val="20"/>
                <w:szCs w:val="20"/>
                <w:color w:val="auto"/>
              </w:rPr>
            </w:pPr>
            <w:r>
              <w:rPr>
                <w:rFonts w:ascii="Arial" w:cs="Arial" w:eastAsia="Arial" w:hAnsi="Arial"/>
                <w:sz w:val="14"/>
                <w:szCs w:val="14"/>
                <w:b w:val="1"/>
                <w:bCs w:val="1"/>
                <w:color w:val="auto"/>
                <w:w w:val="94"/>
              </w:rPr>
              <w:t>For the Three Months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gridSpan w:val="3"/>
          </w:tcPr>
          <w:p>
            <w:pPr>
              <w:jc w:val="center"/>
              <w:ind w:right="363"/>
              <w:spacing w:after="0"/>
              <w:rPr>
                <w:sz w:val="20"/>
                <w:szCs w:val="20"/>
                <w:color w:val="auto"/>
              </w:rPr>
            </w:pPr>
            <w:r>
              <w:rPr>
                <w:rFonts w:ascii="Arial" w:cs="Arial" w:eastAsia="Arial" w:hAnsi="Arial"/>
                <w:sz w:val="14"/>
                <w:szCs w:val="14"/>
                <w:b w:val="1"/>
                <w:bCs w:val="1"/>
                <w:color w:val="auto"/>
                <w:w w:val="94"/>
              </w:rPr>
              <w:t>For the Nine Months Ended</w:t>
            </w:r>
          </w:p>
        </w:tc>
        <w:tc>
          <w:tcPr>
            <w:tcW w:w="600" w:type="dxa"/>
            <w:vAlign w:val="bottom"/>
          </w:tcPr>
          <w:p>
            <w:pPr>
              <w:spacing w:after="0"/>
              <w:rPr>
                <w:sz w:val="14"/>
                <w:szCs w:val="14"/>
                <w:color w:val="auto"/>
              </w:rPr>
            </w:pPr>
          </w:p>
        </w:tc>
      </w:tr>
      <w:tr>
        <w:trPr>
          <w:trHeight w:val="192"/>
        </w:trPr>
        <w:tc>
          <w:tcPr>
            <w:tcW w:w="24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left="646"/>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center"/>
              <w:ind w:right="363"/>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10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2017</w:t>
            </w:r>
          </w:p>
        </w:tc>
        <w:tc>
          <w:tcPr>
            <w:tcW w:w="112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Change</w:t>
            </w:r>
          </w:p>
        </w:tc>
        <w:tc>
          <w:tcPr>
            <w:tcW w:w="17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2017</w:t>
            </w:r>
          </w:p>
        </w:tc>
        <w:tc>
          <w:tcPr>
            <w:tcW w:w="108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r>
      <w:tr>
        <w:trPr>
          <w:trHeight w:val="250"/>
        </w:trPr>
        <w:tc>
          <w:tcPr>
            <w:tcW w:w="2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9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(In thousands, except percentages)</w:t>
            </w: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  1,135,027</w:t>
            </w:r>
          </w:p>
        </w:tc>
        <w:tc>
          <w:tcPr>
            <w:tcW w:w="112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  1,086,014</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w w:val="93"/>
              </w:rPr>
              <w:t>49,013</w:t>
            </w:r>
          </w:p>
        </w:tc>
        <w:tc>
          <w:tcPr>
            <w:tcW w:w="17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4.5%  $  3,038,074</w:t>
            </w:r>
          </w:p>
        </w:tc>
        <w:tc>
          <w:tcPr>
            <w:tcW w:w="10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  2,872,022</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rPr>
              <w:t>166,052</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33"/>
        </w:trPr>
        <w:tc>
          <w:tcPr>
            <w:tcW w:w="2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net sales for the three and nine months ended September 30, 2017, compared to the three and nine months ended September 30, 2016, was primarily attributable to increased demand in nearly all of our end markets. The increase in demand was partially offset by movements in foreign currency exchange rates which unfavorably impacted net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jc w:val="center"/>
              <w:ind w:left="523"/>
              <w:spacing w:after="0"/>
              <w:rPr>
                <w:sz w:val="20"/>
                <w:szCs w:val="20"/>
                <w:color w:val="auto"/>
              </w:rPr>
            </w:pPr>
            <w:r>
              <w:rPr>
                <w:rFonts w:ascii="Arial" w:cs="Arial" w:eastAsia="Arial" w:hAnsi="Arial"/>
                <w:sz w:val="14"/>
                <w:szCs w:val="14"/>
                <w:b w:val="1"/>
                <w:bCs w:val="1"/>
                <w:color w:val="auto"/>
                <w:w w:val="94"/>
              </w:rPr>
              <w:t>For the Nine Months Ended</w:t>
            </w:r>
          </w:p>
        </w:tc>
        <w:tc>
          <w:tcPr>
            <w:tcW w:w="800" w:type="dxa"/>
            <w:vAlign w:val="bottom"/>
          </w:tcPr>
          <w:p>
            <w:pPr>
              <w:spacing w:after="0"/>
              <w:rPr>
                <w:sz w:val="14"/>
                <w:szCs w:val="14"/>
                <w:color w:val="auto"/>
              </w:rPr>
            </w:pPr>
          </w:p>
        </w:tc>
      </w:tr>
      <w:tr>
        <w:trPr>
          <w:trHeight w:val="192"/>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4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w w:val="89"/>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4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0" w:type="dxa"/>
            <w:vAlign w:val="bottom"/>
            <w:gridSpan w:val="5"/>
          </w:tcPr>
          <w:p>
            <w:pPr>
              <w:jc w:val="right"/>
              <w:ind w:right="43"/>
              <w:spacing w:after="0"/>
              <w:rPr>
                <w:sz w:val="20"/>
                <w:szCs w:val="20"/>
                <w:color w:val="auto"/>
              </w:rPr>
            </w:pPr>
            <w:r>
              <w:rPr>
                <w:rFonts w:ascii="Arial" w:cs="Arial" w:eastAsia="Arial" w:hAnsi="Arial"/>
                <w:sz w:val="14"/>
                <w:szCs w:val="14"/>
                <w:b w:val="1"/>
                <w:bCs w:val="1"/>
                <w:color w:val="auto"/>
                <w:w w:val="96"/>
              </w:rPr>
              <w:t>(In thousands, except percentages)</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216,638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213,800</w:t>
            </w:r>
          </w:p>
        </w:tc>
        <w:tc>
          <w:tcPr>
            <w:tcW w:w="36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2,838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rPr>
              <w:t>531,779</w:t>
            </w:r>
          </w:p>
        </w:tc>
        <w:tc>
          <w:tcPr>
            <w:tcW w:w="3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468,290</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63,489</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19.1%</w:t>
            </w:r>
          </w:p>
        </w:tc>
        <w:tc>
          <w:tcPr>
            <w:tcW w:w="160" w:type="dxa"/>
            <w:vAlign w:val="bottom"/>
          </w:tcPr>
          <w:p>
            <w:pPr>
              <w:spacing w:after="0"/>
              <w:rPr>
                <w:sz w:val="20"/>
                <w:szCs w:val="20"/>
                <w:color w:val="auto"/>
              </w:rPr>
            </w:pPr>
          </w:p>
        </w:tc>
        <w:tc>
          <w:tcPr>
            <w:tcW w:w="1000" w:type="dxa"/>
            <w:vAlign w:val="bottom"/>
          </w:tcPr>
          <w:p>
            <w:pPr>
              <w:jc w:val="right"/>
              <w:ind w:right="3"/>
              <w:spacing w:after="0"/>
              <w:rPr>
                <w:sz w:val="20"/>
                <w:szCs w:val="20"/>
                <w:color w:val="auto"/>
              </w:rPr>
            </w:pPr>
            <w:r>
              <w:rPr>
                <w:rFonts w:ascii="Arial" w:cs="Arial" w:eastAsia="Arial" w:hAnsi="Arial"/>
                <w:sz w:val="16"/>
                <w:szCs w:val="16"/>
                <w:color w:val="auto"/>
              </w:rPr>
              <w:t>19.7%</w:t>
            </w: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17.5%</w:t>
            </w:r>
          </w:p>
        </w:tc>
        <w:tc>
          <w:tcPr>
            <w:tcW w:w="30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16.3%</w:t>
            </w: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direct relationship between our revenue levels and gross margin where relatively modest increases or decreases can have a significant effect.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decreased for the three months ended September 30, 2017 compared to the three months ended September 30, 2016, primarily due to increased employee compensation costs and factory consolidation activities in Japan. Gross margin increased for the nine months ended September 30, 2017 compared to the nine months ended September 30, 2016 primarily due to higher net sales, product mix and related operating leverage on our fixed costs, partially offset by costs associated with factory consolidation activities in Japan.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60" w:type="dxa"/>
            <w:vAlign w:val="bottom"/>
            <w:gridSpan w:val="3"/>
          </w:tcPr>
          <w:p>
            <w:pPr>
              <w:jc w:val="center"/>
              <w:ind w:right="605"/>
              <w:spacing w:after="0"/>
              <w:rPr>
                <w:sz w:val="20"/>
                <w:szCs w:val="20"/>
                <w:color w:val="auto"/>
              </w:rPr>
            </w:pPr>
            <w:r>
              <w:rPr>
                <w:rFonts w:ascii="Arial" w:cs="Arial" w:eastAsia="Arial" w:hAnsi="Arial"/>
                <w:sz w:val="14"/>
                <w:szCs w:val="14"/>
                <w:b w:val="1"/>
                <w:bCs w:val="1"/>
                <w:color w:val="auto"/>
                <w:w w:val="94"/>
              </w:rPr>
              <w:t>For the Three Months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gridSpan w:val="3"/>
          </w:tcPr>
          <w:p>
            <w:pPr>
              <w:jc w:val="center"/>
              <w:ind w:right="583"/>
              <w:spacing w:after="0"/>
              <w:rPr>
                <w:sz w:val="20"/>
                <w:szCs w:val="20"/>
                <w:color w:val="auto"/>
              </w:rPr>
            </w:pPr>
            <w:r>
              <w:rPr>
                <w:rFonts w:ascii="Arial" w:cs="Arial" w:eastAsia="Arial" w:hAnsi="Arial"/>
                <w:sz w:val="14"/>
                <w:szCs w:val="14"/>
                <w:b w:val="1"/>
                <w:bCs w:val="1"/>
                <w:color w:val="auto"/>
                <w:w w:val="94"/>
              </w:rPr>
              <w:t>For the Nine Months Ended</w:t>
            </w:r>
          </w:p>
        </w:tc>
        <w:tc>
          <w:tcPr>
            <w:tcW w:w="600" w:type="dxa"/>
            <w:vAlign w:val="bottom"/>
          </w:tcPr>
          <w:p>
            <w:pPr>
              <w:spacing w:after="0"/>
              <w:rPr>
                <w:sz w:val="14"/>
                <w:szCs w:val="14"/>
                <w:color w:val="auto"/>
              </w:rPr>
            </w:pPr>
          </w:p>
        </w:tc>
      </w:t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66"/>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66"/>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w:t>
            </w:r>
          </w:p>
        </w:tc>
        <w:tc>
          <w:tcPr>
            <w:tcW w:w="600" w:type="dxa"/>
            <w:vAlign w:val="bottom"/>
            <w:tcBorders>
              <w:bottom w:val="single" w:sz="8" w:color="auto"/>
            </w:tcBorders>
          </w:tcPr>
          <w:p>
            <w:pPr>
              <w:spacing w:after="0"/>
              <w:rPr>
                <w:sz w:val="22"/>
                <w:szCs w:val="22"/>
                <w:color w:val="auto"/>
              </w:rPr>
            </w:pPr>
          </w:p>
        </w:tc>
      </w:tr>
      <w:tr>
        <w:trPr>
          <w:trHeight w:val="250"/>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900" w:type="dxa"/>
            <w:vAlign w:val="bottom"/>
            <w:gridSpan w:val="5"/>
          </w:tcPr>
          <w:p>
            <w:pPr>
              <w:ind w:left="720"/>
              <w:spacing w:after="0"/>
              <w:rPr>
                <w:sz w:val="20"/>
                <w:szCs w:val="20"/>
                <w:color w:val="auto"/>
              </w:rPr>
            </w:pPr>
            <w:r>
              <w:rPr>
                <w:rFonts w:ascii="Arial" w:cs="Arial" w:eastAsia="Arial" w:hAnsi="Arial"/>
                <w:sz w:val="14"/>
                <w:szCs w:val="14"/>
                <w:b w:val="1"/>
                <w:bCs w:val="1"/>
                <w:color w:val="auto"/>
                <w:w w:val="91"/>
              </w:rPr>
              <w:t>(In thousands, except percentages)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43"/>
        </w:trPr>
        <w:tc>
          <w:tcPr>
            <w:tcW w:w="2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Selling, general and administrative  $</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75,567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72,363</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605"/>
              <w:spacing w:after="0"/>
              <w:rPr>
                <w:sz w:val="20"/>
                <w:szCs w:val="20"/>
                <w:color w:val="auto"/>
              </w:rPr>
            </w:pPr>
            <w:r>
              <w:rPr>
                <w:rFonts w:ascii="Arial" w:cs="Arial" w:eastAsia="Arial" w:hAnsi="Arial"/>
                <w:sz w:val="16"/>
                <w:szCs w:val="16"/>
                <w:color w:val="auto"/>
              </w:rPr>
              <w:t>3,204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4.4%  $</w:t>
            </w:r>
          </w:p>
        </w:tc>
        <w:tc>
          <w:tcPr>
            <w:tcW w:w="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220,045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216,894</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03"/>
              <w:spacing w:after="0"/>
              <w:rPr>
                <w:sz w:val="20"/>
                <w:szCs w:val="20"/>
                <w:color w:val="auto"/>
              </w:rPr>
            </w:pPr>
            <w:r>
              <w:rPr>
                <w:rFonts w:ascii="Arial" w:cs="Arial" w:eastAsia="Arial" w:hAnsi="Arial"/>
                <w:sz w:val="16"/>
                <w:szCs w:val="16"/>
                <w:color w:val="auto"/>
                <w:w w:val="99"/>
              </w:rPr>
              <w:t>3,151</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for the three and nine months ended September 30, 2017 increased compared to the three and nine months ended September 30, 2016 primarily due to an increase in employee compensation costs. The increase for the nine months ended September 30, 2017 was partially offset by net proceeds received from a one-time legal settlement in April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3"/>
          </w:tcPr>
          <w:p>
            <w:pPr>
              <w:jc w:val="center"/>
              <w:ind w:right="565"/>
              <w:spacing w:after="0"/>
              <w:rPr>
                <w:sz w:val="20"/>
                <w:szCs w:val="20"/>
                <w:color w:val="auto"/>
              </w:rPr>
            </w:pPr>
            <w:r>
              <w:rPr>
                <w:rFonts w:ascii="Arial" w:cs="Arial" w:eastAsia="Arial" w:hAnsi="Arial"/>
                <w:sz w:val="14"/>
                <w:szCs w:val="14"/>
                <w:b w:val="1"/>
                <w:bCs w:val="1"/>
                <w:color w:val="auto"/>
                <w:w w:val="94"/>
              </w:rPr>
              <w:t>For the Three Months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3"/>
          </w:tcPr>
          <w:p>
            <w:pPr>
              <w:jc w:val="center"/>
              <w:ind w:right="543"/>
              <w:spacing w:after="0"/>
              <w:rPr>
                <w:sz w:val="20"/>
                <w:szCs w:val="20"/>
                <w:color w:val="auto"/>
              </w:rPr>
            </w:pPr>
            <w:r>
              <w:rPr>
                <w:rFonts w:ascii="Arial" w:cs="Arial" w:eastAsia="Arial" w:hAnsi="Arial"/>
                <w:sz w:val="14"/>
                <w:szCs w:val="14"/>
                <w:b w:val="1"/>
                <w:bCs w:val="1"/>
                <w:color w:val="auto"/>
                <w:w w:val="94"/>
              </w:rPr>
              <w:t>For the Nine Months Ended</w:t>
            </w:r>
          </w:p>
        </w:tc>
        <w:tc>
          <w:tcPr>
            <w:tcW w:w="640" w:type="dxa"/>
            <w:vAlign w:val="bottom"/>
          </w:tcPr>
          <w:p>
            <w:pPr>
              <w:spacing w:after="0"/>
              <w:rPr>
                <w:sz w:val="14"/>
                <w:szCs w:val="14"/>
                <w:color w:val="auto"/>
              </w:rPr>
            </w:pPr>
          </w:p>
        </w:tc>
      </w:tr>
      <w:tr>
        <w:trPr>
          <w:trHeight w:val="192"/>
        </w:trPr>
        <w:tc>
          <w:tcPr>
            <w:tcW w:w="2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406"/>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406"/>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24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0"/>
        </w:trPr>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940" w:type="dxa"/>
            <w:vAlign w:val="bottom"/>
            <w:gridSpan w:val="5"/>
          </w:tcPr>
          <w:p>
            <w:pPr>
              <w:ind w:left="760"/>
              <w:spacing w:after="0"/>
              <w:rPr>
                <w:sz w:val="20"/>
                <w:szCs w:val="20"/>
                <w:color w:val="auto"/>
              </w:rPr>
            </w:pPr>
            <w:r>
              <w:rPr>
                <w:rFonts w:ascii="Arial" w:cs="Arial" w:eastAsia="Arial" w:hAnsi="Arial"/>
                <w:sz w:val="14"/>
                <w:szCs w:val="14"/>
                <w:b w:val="1"/>
                <w:bCs w:val="1"/>
                <w:color w:val="auto"/>
                <w:w w:val="91"/>
              </w:rPr>
              <w:t>(In thousands, except percentages)</w:t>
            </w: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42,834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26,822</w:t>
            </w:r>
          </w:p>
        </w:tc>
        <w:tc>
          <w:tcPr>
            <w:tcW w:w="5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65"/>
              <w:spacing w:after="0"/>
              <w:rPr>
                <w:sz w:val="20"/>
                <w:szCs w:val="20"/>
                <w:color w:val="auto"/>
              </w:rPr>
            </w:pPr>
            <w:r>
              <w:rPr>
                <w:rFonts w:ascii="Arial" w:cs="Arial" w:eastAsia="Arial" w:hAnsi="Arial"/>
                <w:sz w:val="16"/>
                <w:szCs w:val="16"/>
                <w:color w:val="auto"/>
                <w:w w:val="93"/>
              </w:rPr>
              <w:t>16,012</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59.7%  $</w:t>
            </w:r>
          </w:p>
        </w:tc>
        <w:tc>
          <w:tcPr>
            <w:tcW w:w="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128,658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84,145</w:t>
            </w:r>
          </w:p>
        </w:tc>
        <w:tc>
          <w:tcPr>
            <w:tcW w:w="5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63"/>
              <w:spacing w:after="0"/>
              <w:rPr>
                <w:sz w:val="20"/>
                <w:szCs w:val="20"/>
                <w:color w:val="auto"/>
              </w:rPr>
            </w:pPr>
            <w:r>
              <w:rPr>
                <w:rFonts w:ascii="Arial" w:cs="Arial" w:eastAsia="Arial" w:hAnsi="Arial"/>
                <w:sz w:val="16"/>
                <w:szCs w:val="16"/>
                <w:color w:val="auto"/>
                <w:w w:val="89"/>
              </w:rPr>
              <w:t>44,513</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33"/>
        </w:trPr>
        <w:tc>
          <w:tcPr>
            <w:tcW w:w="2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and nine months ended September 30, 2017 increased compared to the three and nine months ended September 30, 2016, primarily due to development and other costs associated with our new K5 factory and research and development facility in Korea. The increase was partially offset by reductions in costs for projects that moved into production.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4"/>
          </w:tcPr>
          <w:p>
            <w:pPr>
              <w:jc w:val="right"/>
              <w:ind w:right="21"/>
              <w:spacing w:after="0"/>
              <w:rPr>
                <w:sz w:val="20"/>
                <w:szCs w:val="20"/>
                <w:color w:val="auto"/>
              </w:rPr>
            </w:pPr>
            <w:r>
              <w:rPr>
                <w:rFonts w:ascii="Arial" w:cs="Arial" w:eastAsia="Arial" w:hAnsi="Arial"/>
                <w:sz w:val="14"/>
                <w:szCs w:val="14"/>
                <w:b w:val="1"/>
                <w:bCs w:val="1"/>
                <w:color w:val="auto"/>
                <w:w w:val="96"/>
              </w:rPr>
              <w:t>For the Three Months Ended</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5"/>
          </w:tcPr>
          <w:p>
            <w:pPr>
              <w:ind w:left="100"/>
              <w:spacing w:after="0"/>
              <w:rPr>
                <w:sz w:val="20"/>
                <w:szCs w:val="20"/>
                <w:color w:val="auto"/>
              </w:rPr>
            </w:pPr>
            <w:r>
              <w:rPr>
                <w:rFonts w:ascii="Arial" w:cs="Arial" w:eastAsia="Arial" w:hAnsi="Arial"/>
                <w:sz w:val="14"/>
                <w:szCs w:val="14"/>
                <w:b w:val="1"/>
                <w:bCs w:val="1"/>
                <w:color w:val="auto"/>
              </w:rPr>
              <w:t>For the Nine Months Ended</w:t>
            </w:r>
          </w:p>
        </w:tc>
        <w:tc>
          <w:tcPr>
            <w:tcW w:w="840" w:type="dxa"/>
            <w:vAlign w:val="bottom"/>
          </w:tcPr>
          <w:p>
            <w:pPr>
              <w:spacing w:after="0"/>
              <w:rPr>
                <w:sz w:val="14"/>
                <w:szCs w:val="14"/>
                <w:color w:val="auto"/>
              </w:rPr>
            </w:pPr>
          </w:p>
        </w:tc>
      </w:tr>
      <w:tr>
        <w:trPr>
          <w:trHeight w:val="192"/>
        </w:trPr>
        <w:tc>
          <w:tcPr>
            <w:tcW w:w="2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3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Borders>
              <w:bottom w:val="single" w:sz="8" w:color="auto"/>
            </w:tcBorders>
          </w:tcPr>
          <w:p>
            <w:pPr>
              <w:spacing w:after="0"/>
              <w:rPr>
                <w:sz w:val="22"/>
                <w:szCs w:val="22"/>
                <w:color w:val="auto"/>
              </w:rPr>
            </w:pPr>
          </w:p>
        </w:tc>
      </w:tr>
      <w:tr>
        <w:trPr>
          <w:trHeight w:val="250"/>
        </w:trPr>
        <w:tc>
          <w:tcPr>
            <w:tcW w:w="2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60" w:type="dxa"/>
            <w:vAlign w:val="bottom"/>
            <w:gridSpan w:val="5"/>
          </w:tcPr>
          <w:p>
            <w:pPr>
              <w:ind w:left="240"/>
              <w:spacing w:after="0"/>
              <w:rPr>
                <w:sz w:val="20"/>
                <w:szCs w:val="20"/>
                <w:color w:val="auto"/>
              </w:rPr>
            </w:pPr>
            <w:r>
              <w:rPr>
                <w:rFonts w:ascii="Arial" w:cs="Arial" w:eastAsia="Arial" w:hAnsi="Arial"/>
                <w:sz w:val="14"/>
                <w:szCs w:val="14"/>
                <w:b w:val="1"/>
                <w:bCs w:val="1"/>
                <w:color w:val="auto"/>
                <w:w w:val="93"/>
              </w:rPr>
              <w:t>(In thousands, except percentages)</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6"/>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Interest expense, including related</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9"/>
        </w:trPr>
        <w:tc>
          <w:tcPr>
            <w:tcW w:w="2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party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20,501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22,731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(2,230)</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65,448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62,223</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3,225</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37"/>
        </w:trPr>
        <w:tc>
          <w:tcPr>
            <w:tcW w:w="2340" w:type="dxa"/>
            <w:vAlign w:val="bottom"/>
          </w:tcPr>
          <w:p>
            <w:pPr>
              <w:ind w:left="40"/>
              <w:spacing w:after="0"/>
              <w:rPr>
                <w:sz w:val="20"/>
                <w:szCs w:val="20"/>
                <w:color w:val="auto"/>
              </w:rPr>
            </w:pPr>
            <w:r>
              <w:rPr>
                <w:rFonts w:ascii="Arial" w:cs="Arial" w:eastAsia="Arial" w:hAnsi="Arial"/>
                <w:sz w:val="16"/>
                <w:szCs w:val="16"/>
                <w:color w:val="auto"/>
                <w:w w:val="99"/>
              </w:rPr>
              <w:t>Foreign currency (gain) loss, net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7,124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0"/>
              </w:rPr>
              <w:t>(7,578)</w:t>
            </w: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&gt;(100)%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8,678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43"/>
              <w:spacing w:after="0"/>
              <w:rPr>
                <w:sz w:val="20"/>
                <w:szCs w:val="20"/>
                <w:color w:val="auto"/>
              </w:rPr>
            </w:pPr>
            <w:r>
              <w:rPr>
                <w:rFonts w:ascii="Arial" w:cs="Arial" w:eastAsia="Arial" w:hAnsi="Arial"/>
                <w:sz w:val="16"/>
                <w:szCs w:val="16"/>
                <w:color w:val="auto"/>
              </w:rPr>
              <w:t>11,506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(2,828)</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2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4,275</w:t>
            </w: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&gt;(100)%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4,249</w:t>
            </w: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8"/>
              </w:rPr>
              <w:t>&gt;(100)%</w:t>
            </w:r>
          </w:p>
        </w:tc>
      </w:tr>
      <w:tr>
        <w:trPr>
          <w:trHeight w:val="244"/>
        </w:trPr>
        <w:tc>
          <w:tcPr>
            <w:tcW w:w="2340" w:type="dxa"/>
            <w:vAlign w:val="bottom"/>
          </w:tcPr>
          <w:p>
            <w:pPr>
              <w:ind w:left="4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23,855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29,388</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(5,533)</w:t>
            </w:r>
          </w:p>
        </w:tc>
        <w:tc>
          <w:tcPr>
            <w:tcW w:w="1220" w:type="dxa"/>
            <w:vAlign w:val="bottom"/>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76,476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71,830</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4,646</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0"/>
        </w:trPr>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expense decreased for the three months ended September 30, 2017 compared to the three months ended September 30, 2016, primarily due to the redemption of our 6.625% Senior Notes due 2021 in July 2017. The early repayment of the Notes resulted in a loss on debt retirement of $4.4 million included in other (income) expense, net for the three and nine months ended September 30, 2017. Interest expense increased for the nine months ended September 30, 2017 compared to the nine months ended September 30, 2016. During the first quarter of 2016, we capitalized $4.4 million of interest on our outstanding debt in connection with the construction of K5. The capitalization of interest resulted in lower interest expense in the nine months ended September 30, 2016.</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recorded a net foreign currency gain for the three months ended September 30, 2017 and a loss for the nine months ended September 30, 2017 as compared with a foreign currency loss, net in the prior year periods. These changes year over year were due to foreign currency exchange rate movements and the associated impact on our net monetary exposure at our foreign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jc w:val="center"/>
              <w:ind w:left="465"/>
              <w:spacing w:after="0"/>
              <w:rPr>
                <w:sz w:val="20"/>
                <w:szCs w:val="20"/>
                <w:color w:val="auto"/>
              </w:rPr>
            </w:pPr>
            <w:r>
              <w:rPr>
                <w:rFonts w:ascii="Arial" w:cs="Arial" w:eastAsia="Arial" w:hAnsi="Arial"/>
                <w:sz w:val="14"/>
                <w:szCs w:val="14"/>
                <w:b w:val="1"/>
                <w:bCs w:val="1"/>
                <w:color w:val="auto"/>
                <w:w w:val="93"/>
              </w:rPr>
              <w:t>For the Three Months Ended</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4"/>
          </w:tcPr>
          <w:p>
            <w:pPr>
              <w:jc w:val="center"/>
              <w:ind w:left="325"/>
              <w:spacing w:after="0"/>
              <w:rPr>
                <w:sz w:val="20"/>
                <w:szCs w:val="20"/>
                <w:color w:val="auto"/>
              </w:rPr>
            </w:pPr>
            <w:r>
              <w:rPr>
                <w:rFonts w:ascii="Arial" w:cs="Arial" w:eastAsia="Arial" w:hAnsi="Arial"/>
                <w:sz w:val="14"/>
                <w:szCs w:val="14"/>
                <w:b w:val="1"/>
                <w:bCs w:val="1"/>
                <w:color w:val="auto"/>
                <w:w w:val="94"/>
              </w:rPr>
              <w:t>For the Nine Months Ended</w:t>
            </w:r>
          </w:p>
        </w:tc>
        <w:tc>
          <w:tcPr>
            <w:tcW w:w="740" w:type="dxa"/>
            <w:vAlign w:val="bottom"/>
          </w:tcPr>
          <w:p>
            <w:pPr>
              <w:spacing w:after="0"/>
              <w:rPr>
                <w:sz w:val="14"/>
                <w:szCs w:val="14"/>
                <w:color w:val="auto"/>
              </w:rPr>
            </w:pPr>
          </w:p>
        </w:tc>
      </w:tr>
      <w:tr>
        <w:trPr>
          <w:trHeight w:val="192"/>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89"/>
              </w:rPr>
              <w:t>2016</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w w:val="89"/>
              </w:rPr>
              <w:t>2017</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6"/>
              </w:rPr>
              <w:t>2016</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w w:val="85"/>
              </w:rPr>
              <w:t>Change</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18,752</w:t>
            </w:r>
          </w:p>
        </w:tc>
        <w:tc>
          <w:tcPr>
            <w:tcW w:w="36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24,086</w:t>
            </w:r>
          </w:p>
        </w:tc>
        <w:tc>
          <w:tcPr>
            <w:tcW w:w="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51,764</w:t>
            </w:r>
          </w:p>
        </w:tc>
        <w:tc>
          <w:tcPr>
            <w:tcW w:w="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29,319</w:t>
            </w:r>
          </w:p>
        </w:tc>
        <w:tc>
          <w:tcPr>
            <w:tcW w:w="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22,445</w:t>
            </w:r>
          </w:p>
        </w:tc>
      </w:tr>
      <w:tr>
        <w:trPr>
          <w:trHeight w:val="33"/>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Generally, our annual effective tax rate is below the U.S. federal tax rate of 35% because most of our income is taxed in foreign jurisdictions in the Asia Pacific region, where we benefit from tax holidays or tax rates lower than the U.S. statutory rate. Our income tax expense includes foreign withholding taxes and minimum taxes. The increase in our income tax expense for the nine months ended September 30, 2017 is primarily attributable to an increase in profit before tax which includes the pre-tax gain on the sale of the land and buildings comprising our K1 factory in May 2017. We refer you to Note 10 of our Consolidated Financial Statements in Part I, Item 1 of this Quarterly Report on Form 10-Q for additional information.</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income tax expense reflects the applicable tax rates in effect in the various countries in which our income is earned and is subject to volatility depending on the relative mix of earnings in each location. During the nine months ended September 30, 2017 and 2016, our subsidiaries in Korea, Malaysia, the Philippines and Taiwan operated under tax holidays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which will continue to expire in whole or in part at various dates through 2025. We expect our effective tax rate to increase as the tax holidays expire because income earned in these jurisdictions will become subject to higher statutory income tax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things,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primary source of cash and the source of funds for our operations are cash flows from operations, current cash and cash equivalents, borrowings under available credit facilities and proceeds from any additional debt or equity financings. As of September 30, 2017, we had cash and cash equivalents of $519.4 million. Included in our cash balance as of September 30, 2017, is $423.6 million held offshore by our foreign subsidiaries. We have the ability to access cash held offshore by our foreign subsidiaries primarily through the repayment of intercompany debt obligations. Consequently, we would not expect to incur a significant amount of income tax if we were to remit cash currently held offshore to the U.S. through these facilities. If we were to distribute this offshore cash to the U.S. as dividends from our foreign subsidiaries, in some cases we would incur foreign withholding taxes; however, we would not incur a significant amount of U.S. federal income taxes due to the availability of tax loss carryovers and foreign tax credits.</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borrowing base under our $200.0 million first lien senior secured revolving credit facility is limited to the amount of our eligible accounts receivable. As of September 30, 2017, we had availability of $199.5 million under this facility, after reduction of $0.5 million of outstanding standby letters of credit. Our foreign subsidiaries had $19.0 million available to be drawn under secured revolving credit facilities and $75.6 million available to be borrowed under secured term loan credit facilities for working capital purposes and capital expenditures. In April 2017, we borrowed $75.0 million on our revolving credit facility in Korea and repaid the outstanding balance of $80.0 million on our term loan due May 2020.</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2017, we had $1,361.7 million of debt. Our scheduled principal repayments on debt include $24.8 million due over the remainder of 2017, $96.4 million due in 2018, $173.7 million due in 2019, $326.7 million due in 2020, $210.7 million due in 2021 and $530.7 million due thereafter. We were in compliance with all debt covenants at September 30, 2017, and we expect to remain in compliance with these covenants for at least the next twelve months.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July 2017, we redeemed $200.0 million of the outstanding $400.0 million of our 6.625% Senior Notes due 2021. The note redemption was funded with cash on hand. We refer you to Note 12 to our Consolidated Financial Statements in Part I, Item 1 of this Quarterly Report on Form 10-Q for additional information.</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certain foreign locations,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As such, these factoring arrangements can be reduced or eliminated at any time due to market conditions and changes in the credit worthiness of customers. For the nine months ended September 30, 2017 and 2016, we sold accounts receivable totaling $400.4 million and $431.8 million, net of discounts and fees of $2.9 million and $1.7 million, respectively. At September 30, 2017 and December 31, 2016, there were outstanding receivables of $170.9 million and $184.6 million, respectively, which had been sold to financial institutions under these arrangements.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debt agreements have restrictions on dividend payments and the repurchase of stock and subordinated securities. These restrictions are determined in part by calculations based upon cumulative net income. We have never paid a dividend to our stockholders and we do not have any present plans for doing so. From time to time, Amkor Technology, Inc. also guarantees certain debt of our subsidiaries.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that covers certain employees that were employed prior to August 1, 2015. As of September 30, 2017, the severance liability was $142.4 million. Accrued severance benefits are estimated assuming all eligible employees were to terminate their employment at the balance sheet date. For service periods subsequent to August 1, 2015, employees participate in either a defined benefit pension plan or a defined contribution pension plan.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a January 2015 patent license litigation settlement, Amkor agreed to pay a total of $155.0 million in 16 equal quarterly recurring payments commencing in the first quarter of 2015 and continuing through the fourth quarter of 2018. As of September 30, 2017, we owe $48.4 million under the settlement.</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$300.0 million of our common stock, exclusive of any fees, commissions or other expenses. At September 30, 2017,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plan since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make significant capital expenditures in order to service the demand of our customers, which are primarily focused on investments in advanced packaging and test equipment. We expect 2017 capital expenditures to be approximately $550 million. During the nine months ended September 30, 2017, our capital expenditures totaled $414.0 million. Ultimately, the amount of our 2017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nine months ended September 30, 2017 and 2016, was as follows:</w:t>
      </w:r>
    </w:p>
    <w:p>
      <w:pPr>
        <w:spacing w:after="0" w:line="17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413,911</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491,616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(326,025)</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(468,126)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(126,939)</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Our cash flows provided by operating activities for the nine months ended September 30, 2017, decreased by $77.7 million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nine months ended September 30, 2016, primarily due to changes in working capital, partially offset by higher sales and gross profit.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Our cash flows used in investing activities are principally for payments for property, plant and equipment, which decreased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2016, primarily due to the completion of the initial phase of K5 construction in December 2016. The net cash used in investing activities for the nine months ended September 30, 2017, also included a payment for the acquisition of Nanium and receipt of the remaining proceeds for the sale of the K1 factory in Korea.</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The net cash used in financing activities for the nine months ended September 30, 2017, was primarily driven by the redemption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Senior Notes due 2021, partially offset by the net borrowings in China and Japan. The net cash used in financing activities for the nine months ended September 30, 2016 was driven by net repayments in Japan, Korea and Taiwan.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1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468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02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413,911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491,616</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3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(413,974)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(481,670)</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plant and equipment</w:t>
            </w:r>
          </w:p>
        </w:tc>
        <w:tc>
          <w:tcPr>
            <w:tcW w:w="3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133,320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13,687</w:t>
            </w:r>
          </w:p>
        </w:tc>
        <w:tc>
          <w:tcPr>
            <w:tcW w:w="0" w:type="dxa"/>
            <w:vAlign w:val="bottom"/>
          </w:tcPr>
          <w:p>
            <w:pPr>
              <w:spacing w:after="0"/>
              <w:rPr>
                <w:sz w:val="1"/>
                <w:szCs w:val="1"/>
                <w:color w:val="auto"/>
              </w:rPr>
            </w:pPr>
          </w:p>
        </w:tc>
      </w:tr>
      <w:tr>
        <w:trPr>
          <w:trHeight w:val="257"/>
        </w:trPr>
        <w:tc>
          <w:tcPr>
            <w:tcW w:w="468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366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133,257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23,633</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660" w:type="dxa"/>
            <w:vAlign w:val="bottom"/>
            <w:vMerge w:val="restart"/>
          </w:tcPr>
          <w:p>
            <w:pPr>
              <w:jc w:val="right"/>
              <w:ind w:right="2370"/>
              <w:spacing w:after="0"/>
              <w:rPr>
                <w:sz w:val="20"/>
                <w:szCs w:val="20"/>
                <w:color w:val="auto"/>
              </w:rPr>
            </w:pPr>
            <w:r>
              <w:rPr>
                <w:rFonts w:ascii="Arial" w:cs="Arial" w:eastAsia="Arial" w:hAnsi="Arial"/>
                <w:sz w:val="18"/>
                <w:szCs w:val="18"/>
                <w:color w:val="auto"/>
              </w:rPr>
              <w:t>- 23-</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8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at September 30, 2017, and the effect such obligations are expected to have on our liquidity and cash flows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Payments Due for Year Ending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2017 -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1,362,881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96,371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173,666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326,666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210,666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530,748</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282,873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28,888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65,803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62,996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51,503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40,197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33,486</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137,056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99,170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5,949</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114,714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7,466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25,498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20,901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13,195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10,329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37,325</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Severance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142,377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88,555</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Settlement payments (4)</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48,438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9,688</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38,750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2,088,339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174,031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267,328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272,787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696,063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September 30, 2017, for variable rate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Represents off-balance sheet purchase obligations for capital expenditures and long-term supply contracts outstanding at September 30, 2017.</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settlement payments for patent license litigation. At September 30, 2017, the total obligation is $48.4 million of which $37.1 million is a current liability, $9.7 million is a non-current liability and $1.6 million will be imputed into interest over time.</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September 30, 2017, include:</w:t>
      </w:r>
    </w:p>
    <w:p>
      <w:pPr>
        <w:spacing w:after="0" w:line="11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$48.7 million of net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$25.9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2017,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refer you to Note 15 to our Consolidated Financial Statements in Part I, Item 1 of this Quarterly Report on Form 10-Q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critical accounting policies are disclosed in our Annual Report on Form 10-K for the year ended December 31, 2016. During the three months ended September 30, 2017, there have been no significant changes in our critical accounting policies as reported in our 2016 Annual Report on Form 10-K.</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recent accounting pronouncements, we refer you to Note 2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 Our use of derivative instruments, including forward exchange contracts, has been historically insignificant; however, we continue to evaluate the use of hedging instruments to manage currency and other risks.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order to reduce our exposure to foreign currency gains and losses, we generally use natural hedging techniques to reduce foreign currency rate risk. The U.S. dollar is our reporting and functional currency and the functional currency for our subsidiaries, except for J-Devices, where the Japanese Yen is the functional currency.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September 30, 2017, to assess the potential impact of fluctuations in exchange rates for all foreign denominated assets and liabilities. Assuming that all foreign currencies appreciated 10% against the U.S. dollar, our income before taxes for the nine months ended September 30, 2017 would have been approximately $18 million lower, due to the remeasurement of monetary assets and liabilities.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nine months ended September 30, 2017, approximately 73% of our net sales were denominated in U.S. dollars. Our remaining net sales were principally denominated in Japanese Yen for local country sales. For the nine months ended September 30, 2017, approximately 50% of our cost of sales and operating expenses were denominated in U.S. dollars and were largely for raw materials and depreciation.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September 30, 2017, to assess the potential impact of fluctuations in exchange rates for all foreign denominated sales and operating expenses. Assuming that all foreign currencies appreciated 10% against the U.S. dollar, our operating income for the nine months ended September 30, 2017 would have been approximately $60 million lower.</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entities where the local currency is the functional currency. The effect of foreign exchange rate translation for these entities was a gain of $11.8 million and $52.2 million for the nine months ended September 30, 2017 and 2016, respectively, and was recognized as an adjustment to equity through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September 30, 2017: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20" w:type="dxa"/>
            <w:vAlign w:val="bottom"/>
          </w:tcPr>
          <w:p>
            <w:pPr>
              <w:spacing w:after="0"/>
              <w:rPr>
                <w:sz w:val="15"/>
                <w:szCs w:val="15"/>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2017 - Remaining</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w w:val="82"/>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Thereafter</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9"/>
              </w:rPr>
              <w:t>Fair Value</w:t>
            </w:r>
          </w:p>
        </w:tc>
      </w:tr>
      <w:tr>
        <w:trPr>
          <w:trHeight w:val="249"/>
        </w:trPr>
        <w:tc>
          <w:tcPr>
            <w:tcW w:w="2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auto"/>
              </w:rPr>
              <w:t>($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2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Fixed rate debt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6,035</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17,420</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10,666</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130,666</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0"/>
              <w:spacing w:after="0"/>
              <w:rPr>
                <w:sz w:val="20"/>
                <w:szCs w:val="20"/>
                <w:color w:val="auto"/>
              </w:rPr>
            </w:pPr>
            <w:r>
              <w:rPr>
                <w:rFonts w:ascii="Arial" w:cs="Arial" w:eastAsia="Arial" w:hAnsi="Arial"/>
                <w:sz w:val="14"/>
                <w:szCs w:val="14"/>
                <w:color w:val="auto"/>
                <w:w w:val="94"/>
              </w:rPr>
              <w:t>210,666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auto"/>
              </w:rPr>
              <w:t>530,748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906,201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926,604</w:t>
            </w:r>
          </w:p>
        </w:tc>
      </w:tr>
      <w:tr>
        <w:trPr>
          <w:trHeight w:val="276"/>
        </w:trPr>
        <w:tc>
          <w:tcPr>
            <w:tcW w:w="2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3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2320" w:type="dxa"/>
            <w:vAlign w:val="bottom"/>
          </w:tcPr>
          <w:p>
            <w:pPr>
              <w:ind w:left="180"/>
              <w:spacing w:after="0"/>
              <w:rPr>
                <w:sz w:val="20"/>
                <w:szCs w:val="20"/>
                <w:color w:val="auto"/>
              </w:rPr>
            </w:pPr>
            <w:r>
              <w:rPr>
                <w:rFonts w:ascii="Arial" w:cs="Arial" w:eastAsia="Arial" w:hAnsi="Arial"/>
                <w:sz w:val="14"/>
                <w:szCs w:val="14"/>
                <w:color w:val="auto"/>
              </w:rPr>
              <w:t>Variable rate debt</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18,729</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70"/>
              <w:spacing w:after="0"/>
              <w:rPr>
                <w:sz w:val="20"/>
                <w:szCs w:val="20"/>
                <w:color w:val="auto"/>
              </w:rPr>
            </w:pPr>
            <w:r>
              <w:rPr>
                <w:rFonts w:ascii="Arial" w:cs="Arial" w:eastAsia="Arial" w:hAnsi="Arial"/>
                <w:sz w:val="14"/>
                <w:szCs w:val="14"/>
                <w:color w:val="auto"/>
              </w:rPr>
              <w:t>78,951</w:t>
            </w:r>
          </w:p>
        </w:tc>
        <w:tc>
          <w:tcPr>
            <w:tcW w:w="12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0"/>
              <w:spacing w:after="0"/>
              <w:rPr>
                <w:sz w:val="20"/>
                <w:szCs w:val="20"/>
                <w:color w:val="auto"/>
              </w:rPr>
            </w:pPr>
            <w:r>
              <w:rPr>
                <w:rFonts w:ascii="Arial" w:cs="Arial" w:eastAsia="Arial" w:hAnsi="Arial"/>
                <w:sz w:val="14"/>
                <w:szCs w:val="14"/>
                <w:color w:val="auto"/>
              </w:rPr>
              <w:t>163,000</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91"/>
              <w:spacing w:after="0"/>
              <w:rPr>
                <w:sz w:val="20"/>
                <w:szCs w:val="20"/>
                <w:color w:val="auto"/>
              </w:rPr>
            </w:pPr>
            <w:r>
              <w:rPr>
                <w:rFonts w:ascii="Arial" w:cs="Arial" w:eastAsia="Arial" w:hAnsi="Arial"/>
                <w:sz w:val="14"/>
                <w:szCs w:val="14"/>
                <w:color w:val="auto"/>
              </w:rPr>
              <w:t>196,000</w:t>
            </w:r>
          </w:p>
        </w:tc>
        <w:tc>
          <w:tcPr>
            <w:tcW w:w="10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rPr>
                <w:sz w:val="20"/>
                <w:szCs w:val="20"/>
                <w:color w:val="auto"/>
              </w:rPr>
            </w:pPr>
            <w:r>
              <w:rPr>
                <w:rFonts w:ascii="Arial" w:cs="Arial" w:eastAsia="Arial" w:hAnsi="Arial"/>
                <w:sz w:val="14"/>
                <w:szCs w:val="14"/>
                <w:color w:val="auto"/>
              </w:rPr>
              <w:t>456,680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457,995</w:t>
            </w:r>
          </w:p>
        </w:tc>
      </w:tr>
      <w:tr>
        <w:trPr>
          <w:trHeight w:val="270"/>
        </w:trPr>
        <w:tc>
          <w:tcPr>
            <w:tcW w:w="2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Average interest rate</w:t>
            </w:r>
          </w:p>
        </w:tc>
        <w:tc>
          <w:tcPr>
            <w:tcW w:w="3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43"/>
        </w:trPr>
        <w:tc>
          <w:tcPr>
            <w:tcW w:w="2320" w:type="dxa"/>
            <w:vAlign w:val="bottom"/>
          </w:tcPr>
          <w:p>
            <w:pPr>
              <w:ind w:left="40"/>
              <w:spacing w:after="0"/>
              <w:rPr>
                <w:sz w:val="20"/>
                <w:szCs w:val="20"/>
                <w:color w:val="auto"/>
              </w:rPr>
            </w:pPr>
            <w:r>
              <w:rPr>
                <w:rFonts w:ascii="Arial" w:cs="Arial" w:eastAsia="Arial" w:hAnsi="Arial"/>
                <w:sz w:val="14"/>
                <w:szCs w:val="14"/>
                <w:color w:val="auto"/>
              </w:rPr>
              <w:t>Total debt</w:t>
            </w:r>
          </w:p>
        </w:tc>
        <w:tc>
          <w:tcPr>
            <w:tcW w:w="3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24,764</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96,371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173,666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326,666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w w:val="94"/>
              </w:rPr>
              <w:t>210,666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4"/>
                <w:szCs w:val="14"/>
                <w:color w:val="auto"/>
              </w:rPr>
              <w:t>530,748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1,362,881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1,384,599</w:t>
            </w:r>
          </w:p>
        </w:tc>
      </w:tr>
      <w:tr>
        <w:trPr>
          <w:trHeight w:val="20"/>
        </w:trPr>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14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September 30, 2017,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September 30, 2017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15 and Note 17 to our Consolidated Financial Statements in Part I, Item 1 of this Quarterly Report on Form 10-Q and in our Annual Report on Form 10-K for the year ended December 31, 2016, respectively.</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For example, the financial crisis and global recession in 2008 and 2009 resulted in a downturn in the semiconductor industry that adversely affected our business and results of operations during those periods. The economic recovery since that time has been slow and uneven. If the industry or markets we compete in experience slower, or even negative growth, our business and results of operations may be adversely affected.</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international events, such as the United Kingdom's vote to leave the European Union, political instability, civil disturbances or environmental or natural events, such as earthquakes like the recent ones in Japan, that impact our operations;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foreign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40" w:hanging="98"/>
        <w:spacing w:after="0"/>
        <w:tabs>
          <w:tab w:leader="none" w:pos="5640" w:val="left"/>
        </w:tabs>
        <w:numPr>
          <w:ilvl w:val="1"/>
          <w:numId w:val="7"/>
        </w:numPr>
        <w:rPr>
          <w:rFonts w:ascii="Arial" w:cs="Arial" w:eastAsia="Arial" w:hAnsi="Arial"/>
          <w:sz w:val="18"/>
          <w:szCs w:val="18"/>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left="60"/>
        <w:spacing w:after="0" w:line="291" w:lineRule="auto"/>
        <w:rPr>
          <w:sz w:val="20"/>
          <w:szCs w:val="20"/>
          <w:color w:val="auto"/>
        </w:rPr>
      </w:pPr>
      <w:r>
        <w:rPr>
          <w:rFonts w:ascii="Arial" w:cs="Arial" w:eastAsia="Arial" w:hAnsi="Arial"/>
          <w:sz w:val="16"/>
          <w:szCs w:val="16"/>
          <w:color w:val="auto"/>
        </w:rPr>
        <w:t>It is often difficult to predict the impact of these factors upon our results for a particular period. The downturn in the global economy and the semiconductor industry in 2009 increased the risks associated with the foregoing factors as customer forecasts became more volatile, and there was less visibility regarding future demand and significantly increased uncertainty regarding the economy, credit markets and consumer demand. The slow rate of economic growth in the U.S. and elsewhere and economic uncertainty worldwide could continue to cause volatility in customer forecasts and reduce our visibility regarding future demand in the semiconductor industry. These factors may have a material and adverse effect on our business, liquidity, results of operations, financial condition and cash flows or lead to 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characterized by relatively high fixed costs.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 utilization, and if we fail to do so, our gross margins will be negatively impacted. If our gross margins decrease, our business, liquidity, results of operations, financial condition and cash flows could be materially adversely affected.</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To the extent we fail to meet or exceed our own guidance or the analyst projections for any reason, the trading prices of our securities may be adversely impacted. Moreover, even if we do meet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exceed that guidance or those projections, if analysts and investors do not react favorably, or if analysts were to discontinue providing coverage of our company, the trading prices of our securities may be adversely impacted.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 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 significant amount of indebtedness, and the terms of the agreements governing our indebtedness allow us and our subsidiaries to incur more debt, subject to certain limitations. As of September 30, 2017, our total debt balance was $1,361.7 million, of which $118.0 million was classified as a current liability and $562.2 million was collateralized indebtedness at our subsidiaries. We may consider investments in joint ventures, increased capital expenditures or acquisitions which may increase our indebtedness. If new debt is added to our consolidated debt level, the related risks that we face could intensify.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640" w:hanging="98"/>
        <w:spacing w:after="0"/>
        <w:tabs>
          <w:tab w:leader="none" w:pos="5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borrow additional funds;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and debt service requirements and other funding needs. Our liquidity is affected by, among other things, the performance of our business, our capital expenditure and other investment levels and our ability to repay debt and other long-term obligations out of our operating cash flows or with the proceeds of debt or equity financings.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capital-intensive industry. We had capital expenditures of $414.0 million during the nine months ended September 30, 2017.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2017 and thereafter may vary materially and will depend on several factors. These factors include, among others, the amount, timing and implementation of our capital projects, including those under review and those not yet planned, the performance of our business, economic and market conditions, the cash needs and investment opportunities for the business, the need for additional capacity and facilities and the availability of cash flows from operations or financing.</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significant level of debt, which requires significant scheduled principal and interest payments in the coming years. The sources funding our operations, including making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could also make it difficult or more expensive for us to maintain our existing credit facilities or refinance our debt.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Indentures and Agreements Governing Our Current and Future Indebtedness.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our future debt agreements may contain financial covenants and ratios.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$142.4 million as of September 30, 2017.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 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and integrated the acquired operations of Amkor Technology Malaysia Sdn. Bhd. into our overall internal control over financial reporting.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May 2017, we completed our acquisition of Nanium, S.A. ("Nanium"). We are continuing to integrate the acquired operations into our overall internal control over financial reporting. Although we have extended our oversight and monitoring processes that support internal control over financial reporting to include the acquired operations, there is a risk that deficiencies may occur that could constitute significant deficiencies or in the aggregate a material weakness.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and policies imposed by U.S. or foreign governments, such as tariffs, customs, duties and other restrictive trade barriers, antitrust and competition, tax, currency and banking, privacy, labor, environmental, health and safety;</w:t>
      </w:r>
    </w:p>
    <w:p>
      <w:pPr>
        <w:spacing w:after="0" w:line="116"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with the recent acquisition of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social conditions, such as civil unrest and terrorism;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980" w:hanging="648"/>
        <w:spacing w:after="0" w:line="277" w:lineRule="auto"/>
        <w:tabs>
          <w:tab w:leader="none" w:pos="656"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among other countries in the region.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Management Information Systems.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We depend on our management information systems for many aspects of our business. Some of our key software has been developed by our own programmers, and this software may not be easily integrated with other software and systems. Our systems may be susceptible to damage, disruptions or shutdowns due to failures during the process of upgrading, replacing or maintaining software, databases or components thereof, power outages, hardware failures, computer viruses, attacks by computer hackers, telecommunication failures, user errors, malfeasance or catastrophic events. In addition, security breaches could result in unauthorized disclosure of confidential information. From time to time we make additions or changes to our management information systems. For example, we have implemented new shop floor systems in certain of our factories, and we are integrating J-Devices' management information systems with our existing systems and processes. </w:t>
      </w:r>
      <w:r>
        <w:rPr>
          <w:rFonts w:ascii="Arial" w:cs="Arial" w:eastAsia="Arial" w:hAnsi="Arial"/>
          <w:sz w:val="17"/>
          <w:szCs w:val="17"/>
          <w:color w:val="090909"/>
        </w:rPr>
        <w:t>In addition, in May 2017, we acquired a factory in Portugal, and have begun to integrate its management</w:t>
      </w:r>
      <w:r>
        <w:rPr>
          <w:rFonts w:ascii="Arial" w:cs="Arial" w:eastAsia="Arial" w:hAnsi="Arial"/>
          <w:sz w:val="17"/>
          <w:szCs w:val="17"/>
          <w:color w:val="auto"/>
        </w:rPr>
        <w:t xml:space="preserve"> </w:t>
      </w:r>
      <w:r>
        <w:rPr>
          <w:rFonts w:ascii="Arial" w:cs="Arial" w:eastAsia="Arial" w:hAnsi="Arial"/>
          <w:sz w:val="17"/>
          <w:szCs w:val="17"/>
          <w:color w:val="090909"/>
        </w:rPr>
        <w:t xml:space="preserve">information systems into our existing systems and processes. </w:t>
      </w:r>
      <w:r>
        <w:rPr>
          <w:rFonts w:ascii="Arial" w:cs="Arial" w:eastAsia="Arial" w:hAnsi="Arial"/>
          <w:sz w:val="17"/>
          <w:szCs w:val="17"/>
          <w:color w:val="000000"/>
        </w:rPr>
        <w:t>We face risks in connection with current and future projects to install or integrate new</w:t>
      </w:r>
      <w:r>
        <w:rPr>
          <w:rFonts w:ascii="Arial" w:cs="Arial" w:eastAsia="Arial" w:hAnsi="Arial"/>
          <w:sz w:val="17"/>
          <w:szCs w:val="17"/>
          <w:color w:val="090909"/>
        </w:rPr>
        <w:t xml:space="preserve"> </w:t>
      </w:r>
      <w:r>
        <w:rPr>
          <w:rFonts w:ascii="Arial" w:cs="Arial" w:eastAsia="Arial" w:hAnsi="Arial"/>
          <w:sz w:val="17"/>
          <w:szCs w:val="17"/>
          <w:color w:val="000000"/>
        </w:rPr>
        <w:t>management information systems or upgrade our existing systems. These risks include:</w:t>
      </w:r>
    </w:p>
    <w:p>
      <w:pPr>
        <w:spacing w:after="0" w:line="128"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face delays in the design and implementation of the system;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the systems may exceed our plans and expectations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management information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and Retain Qualified Employees to Support Our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July 2013 and May 2017, we completed the purchase of Amkor Technology Malaysia Sdn. Bhd. and Nanium, respectively. Additionally, we increased our investment in J-Devices to 100% in 2015 through the exercise of additional options. We are now integrating these acquired entities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67% of our net sales for the year ended December 31, 2016, and two customers each accounted for more than 10% of our consolidated net sales during the period. In addition, we have significant customer concentration within 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year to year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make significant investments in equipment and facilities in order to service the demand of our customers. For example, we expect that our 2017 capital expenditures will be approximately $550 million.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 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2014, we started the construction of K5. The land purchase agreement includes various construction, investment, hiring, regulatory and other compliance obligations. While we completed the initial phase of construction in December 2016, there can be no assurance regarding when K5 will be fully utilized, or that the actual scope, costs, timeline or benefits of the project will be consistent with our current expectations.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adverse impact on our business, liquidity, results of operations, financial condition, cash flows and the trading price of our securities.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Our Tax Holidays, or if We Are Required to Establish or Adjust Valuation Allowances on Deferred Tax Assets.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subject to tax in multiple jurisdictions with complicated and varied tax regimes. Tax laws and income tax rates in these jurisdictions are subject to change due to economic and political conditions. Changes in U.S. or foreign tax laws could have a material adverse impact on our liquidity, results of operations, financial condition and cash flows. For example, in the U.S., there have been proposals to change U.S. tax laws that would significantly impact how U.S. corporations are taxed on foreign earnings. We earn a substantial portion of our income in foreign countries. In addition, changes in tax laws or regulations enacted in response to guidelines proposed by organizations such as the Organisation for Economic Co-operation and Development regarding transfer pricing and other international tax matters relating to multinational companies like Amkor could also adversely impact our future liability for income taxes in the jurisdictions where we operate. Although we cannot predict whether or in what form any of these proposals might be enacted into law, if adopted they could have a material adverse impact.</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corporate structure and operations are based, in part, on interpretations of various U.S. and foreign tax laws, including withholding tax, compliance with tax holiday requirements, application of changes in tax law to our operations and other relevant laws of applicable taxing jurisdictions. From time to time, the taxing authorities of the relevant jurisdictions may conduct examinations of our income tax returns and other regulatory filings. We cannot assure you that the taxing authorities will agree with our interpretations, including whether we continue to qualify for our tax holidays. To the extent they do not agree, we may seek to enter into settlements with the taxing authorities which require significant payments or otherwise adversely affect our results of operations or financial condition. We may also appeal the taxing authorities' determinations to the appropriate governmental authorities, but we cannot be sure we will prevail. If we do not prevail, we may have to make significant payments or otherwise record charges (or reduce tax assets) that adversely affect our results of operations, financial condition and cash flows. Additionally, certain of our subsidiaries operate under tax holidays, which will expire in whole or in part at various dates in the future. As those tax holidays expire, our tax expense will increase as income from those jurisdictions becomes subject to higher statutory income tax rates, thereby reducing our liquidity and cash flow.</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consider it more likely than not that we will have sufficient taxable income to allow us to realize these deferred tax assets. In the event taxable income falls short of current expectations, we may need to establish a valuation allowance against such deferred tax assets, which could materially affect our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93"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Unfavorable outcomes in any legal proceedings involving intellectual property could result in significant liabilities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production yields on new packages, particularly those packages which are based on new technologies, typically are significantly lower than our production yields on our more established packages.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in 2016, Advanced Semiconductor Engineering, Inc. and Siliconware Precision Industries Co., Ltd. announced their intention to become sister companies under a new joint holding company.</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Initiatives Could Place Additional Burdens on Our Manufacturing Operations.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impose strict restrictions on the use of lead and other hazardous substances in electrical and electronic equipment. We may become liable under these or other environmental, health and safety laws and regulations for the cost of compliance and cleanup of any disposal or release of hazardous materials arising out of our former or current operations, or otherwise as a result of the existence of hazardous materials on our properties or in the products we manufacture. In such an event, we could be held liable for damages, including fines, penalties and the cost of investigations and remedial actions, we could be subject</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 revocation of permits negatively affecting our ability to maintain or expand our operations, and we could suffer reputational harm.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has also been an increase in public attention and focus on the materials contained in semiconductor products, the environmental impact of semiconductor operations and the risk of chemical releases from such operations, climate change and related environmental concerns. This increased focus on the environmental impact of semiconductor operations and products has caused industry groups and our customers to impose additional requirements on us and our suppliers, sometimes exceeding regulatory standards. These requirements include increased tracking and reporting of greenhouse gas emissions, reductions in waste and wastewater from operations, additional reporting on the materials and components used in the products we manufacture, and the use of renewable energy sources in our factory operations. To comply with these additional requirements, we may need to procure additional equipment or make factory or process changes and our manufacturing costs may increase.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significant packaging and test and other operations in locations which are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acts of war, armed conflict, terrorist incidents and other hostilities, including any such events that may arise out of increased tensions involving North Korea;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that results in a prolonged disruption to our operations, or the operations of our customers or suppliers, could have a material adverse effect on our business, financial condition, results of operations and cash flows.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example, in April 2016, our Kumamoto factory was damaged by earthquakes in Japan. While production was restored at Kumamoto in the second quarter, our sales in the second quarter were reduced due to the temporary disruption in operations. We also incurred earthquake related costs for damaged inventory, buildings and equipment.</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Also, Japan experienced a severe earthquake and tsunami in 2011 that resulted in significant disruption in the electronics industry supply chain and adversely affected Japan's economy and consumer spending. In addition, in October 2011, Thailand experienced substantial flooding which affected the facilities and operations of customers and suppliers in our industry. In addition, some of the processes that we utilize in our operations place us at risk of fire and other damage. For example, highly flammable gases are used in the preparation of wafers holding semiconductor devices for flip chip packaging. 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2017, Mr. James J. Kim, the Executive Chairman of our Board of Directors, members of Mr. Kim's immediate family and affiliates owned approximately 137.6 million shares, or approximately 57%, of our outstanding common stock. The Kim family also has options to acquire approximately 0.4 million shares. If the options are exercised, the Kim family's total ownership would be an aggregate of approximately 138.0 million shares of our outstanding common stock or approximately 58% of our outstanding common stock.</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16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September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 (a)</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1 - July 31</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August 1 - August 31</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5,750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1 - September 30</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5,750</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Board of Directors previously authorized the repurchase of up to $300.0 million of our common stock, $150.0 million in August 2011 and $150.0 million in February 2012, exclusive of any fees, commissions or other expenses. For the three months ended September 30, 2017, we made no common stock purchases, and at September 30, 2017, approximately $91.6 million was available pursuant to the stock repurchase program.</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exhibits required by Item 601 of Regulation S-K which are filed with this report are set forth in the Exhibit Index.</w:t>
      </w:r>
    </w:p>
    <w:p>
      <w:pPr>
        <w:spacing w:after="0" w:line="200" w:lineRule="exact"/>
        <w:rPr>
          <w:sz w:val="20"/>
          <w:szCs w:val="20"/>
          <w:color w:val="auto"/>
        </w:rPr>
      </w:pPr>
    </w:p>
    <w:p>
      <w:pPr>
        <w:spacing w:after="0" w:line="29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- 43-</w:t>
      </w:r>
    </w:p>
    <w:p>
      <w:pPr>
        <w:sectPr>
          <w:pgSz w:w="11900" w:h="16838" w:orient="portrait"/>
          <w:cols w:equalWidth="0" w:num="1">
            <w:col w:w="10219"/>
          </w:cols>
          <w:pgMar w:left="240" w:top="121"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95"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 Chief</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Accounting Officer and Duly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Authorized Officer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900" w:type="dxa"/>
            <w:vAlign w:val="bottom"/>
            <w:gridSpan w:val="4"/>
          </w:tcPr>
          <w:p>
            <w:pPr>
              <w:ind w:left="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right="408"/>
              <w:spacing w:after="0"/>
              <w:rPr>
                <w:sz w:val="20"/>
                <w:szCs w:val="20"/>
                <w:color w:val="auto"/>
              </w:rPr>
            </w:pPr>
            <w:r>
              <w:rPr>
                <w:rFonts w:ascii="Arial" w:cs="Arial" w:eastAsia="Arial" w:hAnsi="Arial"/>
                <w:sz w:val="14"/>
                <w:szCs w:val="14"/>
                <w:b w:val="1"/>
                <w:bCs w:val="1"/>
                <w:color w:val="auto"/>
                <w:w w:val="98"/>
              </w:rPr>
              <w:t>Exhibit</w:t>
            </w:r>
          </w:p>
        </w:tc>
        <w:tc>
          <w:tcPr>
            <w:tcW w:w="2880" w:type="dxa"/>
            <w:vAlign w:val="bottom"/>
          </w:tcPr>
          <w:p>
            <w:pPr>
              <w:spacing w:after="0"/>
              <w:rPr>
                <w:sz w:val="24"/>
                <w:szCs w:val="24"/>
                <w:color w:val="auto"/>
              </w:rPr>
            </w:pPr>
          </w:p>
        </w:tc>
        <w:tc>
          <w:tcPr>
            <w:tcW w:w="6900" w:type="dxa"/>
            <w:vAlign w:val="bottom"/>
            <w:gridSpan w:val="4"/>
            <w:vMerge w:val="restart"/>
          </w:tcPr>
          <w:p>
            <w:pPr>
              <w:ind w:left="13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388"/>
              <w:spacing w:after="0"/>
              <w:rPr>
                <w:sz w:val="20"/>
                <w:szCs w:val="20"/>
                <w:color w:val="auto"/>
              </w:rPr>
            </w:pPr>
            <w:r>
              <w:rPr>
                <w:rFonts w:ascii="Arial" w:cs="Arial" w:eastAsia="Arial" w:hAnsi="Arial"/>
                <w:sz w:val="14"/>
                <w:szCs w:val="14"/>
                <w:b w:val="1"/>
                <w:bCs w:val="1"/>
                <w:color w:val="auto"/>
                <w:w w:val="98"/>
              </w:rPr>
              <w:t>Number</w:t>
            </w:r>
          </w:p>
        </w:tc>
        <w:tc>
          <w:tcPr>
            <w:tcW w:w="2880" w:type="dxa"/>
            <w:vAlign w:val="bottom"/>
          </w:tcPr>
          <w:p>
            <w:pPr>
              <w:spacing w:after="0"/>
              <w:rPr>
                <w:sz w:val="16"/>
                <w:szCs w:val="16"/>
                <w:color w:val="auto"/>
              </w:rPr>
            </w:pPr>
          </w:p>
        </w:tc>
        <w:tc>
          <w:tcPr>
            <w:tcW w:w="69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480" w:type="dxa"/>
            <w:vAlign w:val="bottom"/>
            <w:gridSpan w:val="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9780" w:type="dxa"/>
            <w:vAlign w:val="bottom"/>
            <w:gridSpan w:val="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Stephen D. Kelley, President and Chief Executive Officer of Amkor Technology, Inc., pursuant to Rule 13a-14(a) under</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180" w:type="dxa"/>
            <w:vAlign w:val="bottom"/>
          </w:tcPr>
          <w:p>
            <w:pPr>
              <w:spacing w:after="0"/>
              <w:rPr>
                <w:sz w:val="17"/>
                <w:szCs w:val="17"/>
                <w:color w:val="auto"/>
              </w:rPr>
            </w:pPr>
          </w:p>
        </w:tc>
        <w:tc>
          <w:tcPr>
            <w:tcW w:w="978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the Securities Exchange Act of 1934, as 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49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gridSpan w:val="3"/>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9780" w:type="dxa"/>
            <w:vAlign w:val="bottom"/>
            <w:gridSpan w:val="5"/>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Certification of Megan Faust, Corporate Vice President and Chief Financial Officer of Amkor Technology, Inc., pursuant to Rule 13a-</w:t>
              </w:r>
            </w:hyperlink>
          </w:p>
        </w:tc>
        <w:tc>
          <w:tcPr>
            <w:tcW w:w="0" w:type="dxa"/>
            <w:vAlign w:val="bottom"/>
          </w:tcPr>
          <w:p>
            <w:pPr>
              <w:spacing w:after="0"/>
              <w:rPr>
                <w:sz w:val="1"/>
                <w:szCs w:val="1"/>
                <w:color w:val="auto"/>
              </w:rPr>
            </w:pPr>
          </w:p>
        </w:tc>
      </w:tr>
      <w:tr>
        <w:trPr>
          <w:trHeight w:val="196"/>
        </w:trPr>
        <w:tc>
          <w:tcPr>
            <w:tcW w:w="1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180" w:type="dxa"/>
            <w:vAlign w:val="bottom"/>
          </w:tcPr>
          <w:p>
            <w:pPr>
              <w:spacing w:after="0"/>
              <w:rPr>
                <w:sz w:val="17"/>
                <w:szCs w:val="17"/>
                <w:color w:val="auto"/>
              </w:rPr>
            </w:pPr>
          </w:p>
        </w:tc>
        <w:tc>
          <w:tcPr>
            <w:tcW w:w="9640" w:type="dxa"/>
            <w:vAlign w:val="bottom"/>
            <w:tcBorders>
              <w:top w:val="single" w:sz="8" w:color="0000FF"/>
            </w:tcBorders>
            <w:gridSpan w:val="4"/>
          </w:tcPr>
          <w:p>
            <w:pPr>
              <w:spacing w:after="0" w:line="196"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14(a) under the Securities Exchange Act of 1934, as adopted pursuant to Section 302 of the Sarbanes-Oxley Act of 2002.</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58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0000FF"/>
            </w:tcBorders>
          </w:tcPr>
          <w:p>
            <w:pPr>
              <w:spacing w:after="0"/>
              <w:rPr>
                <w:rFonts w:ascii="Arial" w:cs="Arial" w:eastAsia="Arial" w:hAnsi="Arial"/>
                <w:sz w:val="18"/>
                <w:szCs w:val="18"/>
                <w:color w:val="0000FF"/>
                <w:w w:val="79"/>
              </w:rPr>
            </w:pPr>
            <w:hyperlink w:anchor="page49">
              <w:r>
                <w:rPr>
                  <w:rFonts w:ascii="Arial" w:cs="Arial" w:eastAsia="Arial" w:hAnsi="Arial"/>
                  <w:sz w:val="18"/>
                  <w:szCs w:val="18"/>
                  <w:color w:val="0000FF"/>
                  <w:w w:val="79"/>
                </w:rPr>
                <w:t>32</w:t>
              </w:r>
            </w:hyperlink>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7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9">
              <w:r>
                <w:rPr>
                  <w:rFonts w:ascii="Arial" w:cs="Arial" w:eastAsia="Arial" w:hAnsi="Arial"/>
                  <w:sz w:val="18"/>
                  <w:szCs w:val="18"/>
                  <w:color w:val="0000FF"/>
                  <w:w w:val="91"/>
                </w:rPr>
                <w:t>Certification of Chief Executive Officer and Chief Financial Officer pursuant to 18 U.S.C. Section 1350, as adopted pursuant to Section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80" w:type="dxa"/>
            <w:vAlign w:val="bottom"/>
            <w:tcBorders>
              <w:bottom w:val="single" w:sz="8" w:color="0000FF"/>
            </w:tcBorders>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906 of the Sarbanes-Oxley Act of 2002.</w:t>
              </w:r>
            </w:hyperlink>
          </w:p>
        </w:tc>
        <w:tc>
          <w:tcPr>
            <w:tcW w:w="6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4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4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4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4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4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4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7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918"/>
        </w:trPr>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40" w:type="dxa"/>
            <w:vAlign w:val="bottom"/>
            <w:gridSpan w:val="2"/>
          </w:tcPr>
          <w:p>
            <w:pPr>
              <w:ind w:left="4020"/>
              <w:spacing w:after="0"/>
              <w:rPr>
                <w:sz w:val="20"/>
                <w:szCs w:val="20"/>
                <w:color w:val="auto"/>
              </w:rPr>
            </w:pPr>
            <w:r>
              <w:rPr>
                <w:rFonts w:ascii="Arial" w:cs="Arial" w:eastAsia="Arial" w:hAnsi="Arial"/>
                <w:sz w:val="18"/>
                <w:szCs w:val="18"/>
                <w:color w:val="auto"/>
              </w:rPr>
              <w:t>- 45-</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1" w:right="3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3, 2017</w:t>
      </w:r>
    </w:p>
    <w:p>
      <w:pPr>
        <w:sectPr>
          <w:pgSz w:w="11900" w:h="16838" w:orient="portrait"/>
          <w:cols w:equalWidth="0" w:num="1">
            <w:col w:w="11420"/>
          </w:cols>
          <w:pgMar w:left="240" w:top="66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3, 2017</w:t>
      </w:r>
    </w:p>
    <w:p>
      <w:pPr>
        <w:sectPr>
          <w:pgSz w:w="11900" w:h="16838" w:orient="portrait"/>
          <w:cols w:equalWidth="0" w:num="1">
            <w:col w:w="11420"/>
          </w:cols>
          <w:pgMar w:left="240" w:top="66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2017,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3,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September 30, 2017,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3,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lvl w:ilvl="1">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lvl w:ilvl="1">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lvl w:ilvl="1">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lvl w:ilvl="1">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2019-12-29T04:17:45Z</dcterms:created>
  <dcterms:modified xsi:type="dcterms:W3CDTF">2019-12-29T04:17:45Z</dcterms:modified>
</cp:coreProperties>
</file>