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3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SUSAN 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65" w:lineRule="auto"/>
        <w:rPr>
          <w:sz w:val="20"/>
          <w:szCs w:val="20"/>
          <w:color w:val="auto"/>
        </w:rPr>
      </w:pPr>
      <w:r>
        <w:rPr>
          <w:rFonts w:ascii="Times New Roman" w:cs="Times New Roman" w:eastAsia="Times New Roman" w:hAnsi="Times New Roman"/>
          <w:sz w:val="17"/>
          <w:szCs w:val="17"/>
          <w:color w:val="0000FF"/>
        </w:rPr>
        <w:t>C/O SIANA CARR O'CONNOR &amp; LYNAM 1500 EAST LANCASTER AVENUE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PAOLI</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19301-9713</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AMKOR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680" w:type="dxa"/>
            <w:vAlign w:val="bottom"/>
            <w:tcBorders>
              <w:top w:val="single" w:sz="8" w:color="0000EE"/>
            </w:tcBorders>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26"/>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Member of 10% owner group (5)</w:t>
            </w: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9,893</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82"/>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6,120,387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3,244,594</w:t>
            </w:r>
            <w:r>
              <w:rPr>
                <w:rFonts w:ascii="Times New Roman" w:cs="Times New Roman" w:eastAsia="Times New Roman" w:hAnsi="Times New Roman"/>
                <w:sz w:val="22"/>
                <w:szCs w:val="22"/>
                <w:color w:val="008000"/>
                <w:w w:val="93"/>
                <w:vertAlign w:val="superscript"/>
              </w:rPr>
              <w:t>(2)(3)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No.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of James J.</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Kim</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2,538,000</w:t>
            </w:r>
            <w:r>
              <w:rPr>
                <w:rFonts w:ascii="Times New Roman" w:cs="Times New Roman" w:eastAsia="Times New Roman" w:hAnsi="Times New Roman"/>
                <w:sz w:val="22"/>
                <w:szCs w:val="22"/>
                <w:color w:val="008000"/>
                <w:w w:val="93"/>
                <w:vertAlign w:val="superscript"/>
              </w:rPr>
              <w:t>(2)(3)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No.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of Agnes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Kim</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James J.</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1,235,000</w:t>
            </w:r>
            <w:r>
              <w:rPr>
                <w:rFonts w:ascii="Times New Roman" w:cs="Times New Roman" w:eastAsia="Times New Roman" w:hAnsi="Times New Roman"/>
                <w:sz w:val="22"/>
                <w:szCs w:val="22"/>
                <w:color w:val="008000"/>
                <w:w w:val="93"/>
                <w:vertAlign w:val="superscript"/>
              </w:rPr>
              <w:t>(2)(3)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Kim 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GRAT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8/5/24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Agnes 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895,000</w:t>
            </w:r>
            <w:r>
              <w:rPr>
                <w:rFonts w:ascii="Times New Roman" w:cs="Times New Roman" w:eastAsia="Times New Roman" w:hAnsi="Times New Roman"/>
                <w:sz w:val="22"/>
                <w:szCs w:val="22"/>
                <w:color w:val="008000"/>
                <w:w w:val="91"/>
                <w:vertAlign w:val="superscript"/>
              </w:rPr>
              <w:t>(2)(3)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Kim 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GRAT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8/5/24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1,124,000</w:t>
            </w:r>
            <w:r>
              <w:rPr>
                <w:rFonts w:ascii="Times New Roman" w:cs="Times New Roman" w:eastAsia="Times New Roman" w:hAnsi="Times New Roman"/>
                <w:sz w:val="22"/>
                <w:szCs w:val="22"/>
                <w:color w:val="008000"/>
                <w:w w:val="93"/>
                <w:vertAlign w:val="superscript"/>
              </w:rPr>
              <w:t>(2)(3)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own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trusts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3,713,610</w:t>
            </w:r>
            <w:r>
              <w:rPr>
                <w:rFonts w:ascii="Times New Roman" w:cs="Times New Roman" w:eastAsia="Times New Roman" w:hAnsi="Times New Roman"/>
                <w:sz w:val="22"/>
                <w:szCs w:val="22"/>
                <w:color w:val="008000"/>
                <w:w w:val="93"/>
                <w:vertAlign w:val="superscript"/>
              </w:rPr>
              <w:t>(2)(3)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(excl.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Sujoda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3,789,479</w:t>
            </w:r>
            <w:r>
              <w:rPr>
                <w:rFonts w:ascii="Times New Roman" w:cs="Times New Roman" w:eastAsia="Times New Roman" w:hAnsi="Times New Roman"/>
                <w:sz w:val="10"/>
                <w:szCs w:val="10"/>
                <w:color w:val="008000"/>
              </w:rPr>
              <w:t>(2)(3)(4)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19,484,809</w:t>
            </w:r>
            <w:r>
              <w:rPr>
                <w:rFonts w:ascii="Times New Roman" w:cs="Times New Roman" w:eastAsia="Times New Roman" w:hAnsi="Times New Roman"/>
                <w:sz w:val="22"/>
                <w:szCs w:val="22"/>
                <w:color w:val="008000"/>
                <w:w w:val="93"/>
                <w:vertAlign w:val="superscript"/>
              </w:rPr>
              <w:t>(2)(3)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Sujochil,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13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0"/>
          </w:tcPr>
          <w:p>
            <w:pPr>
              <w:jc w:val="center"/>
              <w:ind w:right="824"/>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6"/>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9. Number of</w:t>
            </w: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2"/>
                <w:szCs w:val="2"/>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and 5)</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0"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ind w:left="460"/>
              <w:spacing w:after="0"/>
              <w:rPr>
                <w:sz w:val="20"/>
                <w:szCs w:val="20"/>
                <w:color w:val="auto"/>
              </w:rPr>
            </w:pPr>
            <w:r>
              <w:rPr>
                <w:rFonts w:ascii="Arial" w:cs="Arial" w:eastAsia="Arial" w:hAnsi="Arial"/>
                <w:sz w:val="2"/>
                <w:szCs w:val="2"/>
                <w:b w:val="1"/>
                <w:bCs w:val="1"/>
                <w:color w:val="auto"/>
              </w:rPr>
              <w:t>Amount</w:t>
            </w:r>
          </w:p>
        </w:tc>
        <w:tc>
          <w:tcPr>
            <w:tcW w:w="640" w:type="dxa"/>
            <w:vAlign w:val="bottom"/>
          </w:tcPr>
          <w:p>
            <w:pPr>
              <w:spacing w:after="0"/>
              <w:rPr>
                <w:sz w:val="2"/>
                <w:szCs w:val="2"/>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ind w:left="460"/>
              <w:spacing w:after="0"/>
              <w:rPr>
                <w:sz w:val="20"/>
                <w:szCs w:val="20"/>
                <w:color w:val="auto"/>
              </w:rPr>
            </w:pPr>
            <w:r>
              <w:rPr>
                <w:rFonts w:ascii="Arial" w:cs="Arial" w:eastAsia="Arial" w:hAnsi="Arial"/>
                <w:sz w:val="2"/>
                <w:szCs w:val="2"/>
                <w:b w:val="1"/>
                <w:bCs w:val="1"/>
                <w:color w:val="auto"/>
              </w:rPr>
              <w:t>or</w:t>
            </w:r>
          </w:p>
        </w:tc>
        <w:tc>
          <w:tcPr>
            <w:tcW w:w="640" w:type="dxa"/>
            <w:vAlign w:val="bottom"/>
          </w:tcPr>
          <w:p>
            <w:pPr>
              <w:spacing w:after="0"/>
              <w:rPr>
                <w:sz w:val="2"/>
                <w:szCs w:val="2"/>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ind w:left="460"/>
              <w:spacing w:after="0"/>
              <w:rPr>
                <w:sz w:val="20"/>
                <w:szCs w:val="20"/>
                <w:color w:val="auto"/>
              </w:rPr>
            </w:pPr>
            <w:r>
              <w:rPr>
                <w:rFonts w:ascii="Arial" w:cs="Arial" w:eastAsia="Arial" w:hAnsi="Arial"/>
                <w:sz w:val="2"/>
                <w:szCs w:val="2"/>
                <w:b w:val="1"/>
                <w:bCs w:val="1"/>
                <w:color w:val="auto"/>
              </w:rPr>
              <w:t>Number</w:t>
            </w:r>
          </w:p>
        </w:tc>
        <w:tc>
          <w:tcPr>
            <w:tcW w:w="640" w:type="dxa"/>
            <w:vAlign w:val="bottom"/>
          </w:tcPr>
          <w:p>
            <w:pPr>
              <w:spacing w:after="0"/>
              <w:rPr>
                <w:sz w:val="2"/>
                <w:szCs w:val="2"/>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of</w:t>
            </w:r>
          </w:p>
        </w:tc>
        <w:tc>
          <w:tcPr>
            <w:tcW w:w="640" w:type="dxa"/>
            <w:vAlign w:val="bottom"/>
          </w:tcPr>
          <w:p>
            <w:pPr>
              <w:spacing w:after="0"/>
              <w:rPr>
                <w:sz w:val="3"/>
                <w:szCs w:val="3"/>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restart"/>
          </w:tcPr>
          <w:p>
            <w:pPr>
              <w:ind w:left="60"/>
              <w:spacing w:after="0" w:line="121" w:lineRule="exact"/>
              <w:rPr>
                <w:sz w:val="20"/>
                <w:szCs w:val="20"/>
                <w:color w:val="auto"/>
              </w:rPr>
            </w:pPr>
            <w:r>
              <w:rPr>
                <w:rFonts w:ascii="Arial" w:cs="Arial" w:eastAsia="Arial" w:hAnsi="Arial"/>
                <w:sz w:val="12"/>
                <w:szCs w:val="12"/>
                <w:b w:val="1"/>
                <w:bCs w:val="1"/>
                <w:color w:val="auto"/>
              </w:rPr>
              <w:t>Code  V</w:t>
            </w:r>
          </w:p>
        </w:tc>
        <w:tc>
          <w:tcPr>
            <w:tcW w:w="740" w:type="dxa"/>
            <w:vAlign w:val="bottom"/>
            <w:vMerge w:val="continue"/>
          </w:tcPr>
          <w:p>
            <w:pPr>
              <w:spacing w:after="0"/>
              <w:rPr>
                <w:sz w:val="8"/>
                <w:szCs w:val="8"/>
                <w:color w:val="auto"/>
              </w:rPr>
            </w:pPr>
          </w:p>
        </w:tc>
        <w:tc>
          <w:tcPr>
            <w:tcW w:w="800" w:type="dxa"/>
            <w:vAlign w:val="bottom"/>
            <w:vMerge w:val="restart"/>
          </w:tcPr>
          <w:p>
            <w:pPr>
              <w:ind w:left="60"/>
              <w:spacing w:after="0" w:line="121"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1060" w:type="dxa"/>
            <w:vAlign w:val="bottom"/>
            <w:vMerge w:val="restart"/>
          </w:tcPr>
          <w:p>
            <w:pPr>
              <w:ind w:left="60"/>
              <w:spacing w:after="0" w:line="121" w:lineRule="exact"/>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   (D)</w:t>
            </w: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420" w:type="dxa"/>
            <w:vAlign w:val="bottom"/>
            <w:gridSpan w:val="3"/>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86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38633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162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008000"/>
              </w:rPr>
              <w:t>1.</w:t>
            </w:r>
          </w:p>
        </w:tc>
        <w:tc>
          <w:tcPr>
            <w:tcW w:w="10680" w:type="dxa"/>
            <w:vAlign w:val="bottom"/>
            <w:gridSpan w:val="6"/>
          </w:tcPr>
          <w:p>
            <w:pPr>
              <w:ind w:left="20"/>
              <w:spacing w:after="0" w:line="112" w:lineRule="exact"/>
              <w:rPr>
                <w:sz w:val="20"/>
                <w:szCs w:val="20"/>
                <w:color w:val="auto"/>
              </w:rPr>
            </w:pPr>
            <w:r>
              <w:rPr>
                <w:rFonts w:ascii="Times New Roman" w:cs="Times New Roman" w:eastAsia="Times New Roman" w:hAnsi="Times New Roman"/>
                <w:sz w:val="12"/>
                <w:szCs w:val="12"/>
                <w:color w:val="008000"/>
              </w:rPr>
              <w:t>On May 15, 2025, the Reporting Person was granted 9,789 time-vested restricted stock units ("RSUs") pursuant to the Amkor Technology, Inc. (the "Issuer") 2021 Equity Incentive Plan, as amended,</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960" w:type="dxa"/>
            <w:vAlign w:val="bottom"/>
            <w:gridSpan w:val="2"/>
          </w:tcPr>
          <w:p>
            <w:pPr>
              <w:ind w:left="460"/>
              <w:spacing w:after="0" w:line="40" w:lineRule="exact"/>
              <w:rPr>
                <w:sz w:val="20"/>
                <w:szCs w:val="20"/>
                <w:color w:val="auto"/>
              </w:rPr>
            </w:pPr>
            <w:r>
              <w:rPr>
                <w:rFonts w:ascii="Arial" w:cs="Arial" w:eastAsia="Arial" w:hAnsi="Arial"/>
                <w:sz w:val="4"/>
                <w:szCs w:val="4"/>
                <w:b w:val="1"/>
                <w:bCs w:val="1"/>
                <w:color w:val="auto"/>
              </w:rPr>
              <w:t>Amount</w:t>
            </w:r>
          </w:p>
        </w:tc>
        <w:tc>
          <w:tcPr>
            <w:tcW w:w="0" w:type="dxa"/>
            <w:vAlign w:val="bottom"/>
          </w:tcPr>
          <w:p>
            <w:pPr>
              <w:spacing w:after="0" w:line="20" w:lineRule="exact"/>
              <w:rPr>
                <w:sz w:val="1"/>
                <w:szCs w:val="1"/>
                <w:color w:val="auto"/>
              </w:rPr>
            </w:pPr>
          </w:p>
        </w:tc>
      </w:tr>
      <w:tr>
        <w:trPr>
          <w:trHeight w:val="107"/>
        </w:trPr>
        <w:tc>
          <w:tcPr>
            <w:tcW w:w="10800" w:type="dxa"/>
            <w:vAlign w:val="bottom"/>
            <w:gridSpan w:val="7"/>
          </w:tcPr>
          <w:p>
            <w:pPr>
              <w:spacing w:after="0" w:line="107" w:lineRule="exact"/>
              <w:rPr>
                <w:sz w:val="20"/>
                <w:szCs w:val="20"/>
                <w:color w:val="auto"/>
              </w:rPr>
            </w:pPr>
            <w:r>
              <w:rPr>
                <w:rFonts w:ascii="Times New Roman" w:cs="Times New Roman" w:eastAsia="Times New Roman" w:hAnsi="Times New Roman"/>
                <w:sz w:val="12"/>
                <w:szCs w:val="12"/>
                <w:color w:val="008000"/>
              </w:rPr>
              <w:t>and the applicable award agreement. On May 13, 2026, the RSUs, plus an additional 104 dividend equivalent units ("DEUs"), which each represented an additional RSU subject to the same provisions as</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60" w:type="dxa"/>
            <w:vAlign w:val="bottom"/>
            <w:gridSpan w:val="2"/>
          </w:tcPr>
          <w:p>
            <w:pPr>
              <w:ind w:left="460"/>
              <w:spacing w:after="0"/>
              <w:rPr>
                <w:sz w:val="20"/>
                <w:szCs w:val="20"/>
                <w:color w:val="auto"/>
              </w:rPr>
            </w:pPr>
            <w:r>
              <w:rPr>
                <w:rFonts w:ascii="Arial" w:cs="Arial" w:eastAsia="Arial" w:hAnsi="Arial"/>
                <w:sz w:val="2"/>
                <w:szCs w:val="2"/>
                <w:b w:val="1"/>
                <w:bCs w:val="1"/>
                <w:color w:val="auto"/>
              </w:rPr>
              <w:t>or</w:t>
            </w:r>
          </w:p>
        </w:tc>
        <w:tc>
          <w:tcPr>
            <w:tcW w:w="0" w:type="dxa"/>
            <w:vAlign w:val="bottom"/>
          </w:tcPr>
          <w:p>
            <w:pPr>
              <w:spacing w:after="0" w:line="20" w:lineRule="exact"/>
              <w:rPr>
                <w:sz w:val="1"/>
                <w:szCs w:val="1"/>
                <w:color w:val="auto"/>
              </w:rPr>
            </w:pPr>
          </w:p>
        </w:tc>
      </w:tr>
      <w:tr>
        <w:trPr>
          <w:trHeight w:val="146"/>
        </w:trPr>
        <w:tc>
          <w:tcPr>
            <w:tcW w:w="10800" w:type="dxa"/>
            <w:vAlign w:val="bottom"/>
            <w:gridSpan w:val="7"/>
          </w:tcPr>
          <w:p>
            <w:pPr>
              <w:spacing w:after="0" w:line="146" w:lineRule="exact"/>
              <w:rPr>
                <w:sz w:val="20"/>
                <w:szCs w:val="20"/>
                <w:color w:val="auto"/>
              </w:rPr>
            </w:pPr>
            <w:r>
              <w:rPr>
                <w:rFonts w:ascii="Times New Roman" w:cs="Times New Roman" w:eastAsia="Times New Roman" w:hAnsi="Times New Roman"/>
                <w:sz w:val="13"/>
                <w:szCs w:val="13"/>
                <w:color w:val="008000"/>
              </w:rPr>
              <w:t>the RSU with respect to which the DEU was accrued, vested. On June 12, 2026, the RSUs and DEUs converted into common stock of the</w:t>
            </w:r>
            <w:r>
              <w:rPr>
                <w:rFonts w:ascii="Arial" w:cs="Arial" w:eastAsia="Arial" w:hAnsi="Arial"/>
                <w:sz w:val="11"/>
                <w:szCs w:val="11"/>
                <w:b w:val="1"/>
                <w:bCs w:val="1"/>
                <w:color w:val="000000"/>
              </w:rPr>
              <w:t>Number</w:t>
            </w:r>
            <w:r>
              <w:rPr>
                <w:rFonts w:ascii="Times New Roman" w:cs="Times New Roman" w:eastAsia="Times New Roman" w:hAnsi="Times New Roman"/>
                <w:sz w:val="13"/>
                <w:szCs w:val="13"/>
                <w:color w:val="008000"/>
              </w:rPr>
              <w:t>Issueron a one-for-one basis.</w:t>
            </w:r>
          </w:p>
        </w:tc>
        <w:tc>
          <w:tcPr>
            <w:tcW w:w="0" w:type="dxa"/>
            <w:vAlign w:val="bottom"/>
          </w:tcPr>
          <w:p>
            <w:pPr>
              <w:spacing w:after="0"/>
              <w:rPr>
                <w:sz w:val="1"/>
                <w:szCs w:val="1"/>
                <w:color w:val="auto"/>
              </w:rPr>
            </w:pPr>
          </w:p>
        </w:tc>
      </w:tr>
      <w:tr>
        <w:trPr>
          <w:trHeight w:val="121"/>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2.</w:t>
            </w:r>
          </w:p>
        </w:tc>
        <w:tc>
          <w:tcPr>
            <w:tcW w:w="3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20" w:type="dxa"/>
            <w:vAlign w:val="bottom"/>
          </w:tcPr>
          <w:p>
            <w:pPr>
              <w:ind w:left="880"/>
              <w:spacing w:after="0" w:line="12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Expiration</w:t>
            </w:r>
          </w:p>
        </w:tc>
        <w:tc>
          <w:tcPr>
            <w:tcW w:w="3960" w:type="dxa"/>
            <w:vAlign w:val="bottom"/>
            <w:gridSpan w:val="2"/>
          </w:tcPr>
          <w:p>
            <w:pPr>
              <w:ind w:left="460"/>
              <w:spacing w:after="0" w:line="121"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3"/>
        </w:trPr>
        <w:tc>
          <w:tcPr>
            <w:tcW w:w="120" w:type="dxa"/>
            <w:vAlign w:val="bottom"/>
            <w:vMerge w:val="continue"/>
          </w:tcPr>
          <w:p>
            <w:pPr>
              <w:spacing w:after="0"/>
              <w:rPr>
                <w:sz w:val="4"/>
                <w:szCs w:val="4"/>
                <w:color w:val="auto"/>
              </w:rPr>
            </w:pPr>
          </w:p>
        </w:tc>
        <w:tc>
          <w:tcPr>
            <w:tcW w:w="10680" w:type="dxa"/>
            <w:vAlign w:val="bottom"/>
            <w:gridSpan w:val="6"/>
          </w:tcPr>
          <w:p>
            <w:pPr>
              <w:ind w:left="20"/>
              <w:spacing w:after="0" w:line="54" w:lineRule="exact"/>
              <w:rPr>
                <w:sz w:val="20"/>
                <w:szCs w:val="20"/>
                <w:color w:val="auto"/>
              </w:rPr>
            </w:pPr>
            <w:r>
              <w:rPr>
                <w:rFonts w:ascii="Times New Roman" w:cs="Times New Roman" w:eastAsia="Times New Roman" w:hAnsi="Times New Roman"/>
                <w:sz w:val="6"/>
                <w:szCs w:val="6"/>
                <w:color w:val="008000"/>
              </w:rPr>
              <w:t>The Reporting Person is (i) a trustee of trusts for the benefit of her immediate family members (other than grantor retained annuity trusts ("GRATs")) which own 3,713,610 shares of the Issuer's</w:t>
            </w: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74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  V</w:t>
            </w:r>
          </w:p>
        </w:tc>
        <w:tc>
          <w:tcPr>
            <w:tcW w:w="1620" w:type="dxa"/>
            <w:vAlign w:val="bottom"/>
          </w:tcPr>
          <w:p>
            <w:pPr>
              <w:ind w:left="160"/>
              <w:spacing w:after="0" w:line="80" w:lineRule="exact"/>
              <w:rPr>
                <w:sz w:val="20"/>
                <w:szCs w:val="20"/>
                <w:color w:val="auto"/>
              </w:rPr>
            </w:pPr>
            <w:r>
              <w:rPr>
                <w:rFonts w:ascii="Arial" w:cs="Arial" w:eastAsia="Arial" w:hAnsi="Arial"/>
                <w:sz w:val="8"/>
                <w:szCs w:val="8"/>
                <w:b w:val="1"/>
                <w:bCs w:val="1"/>
                <w:color w:val="auto"/>
              </w:rPr>
              <w:t>(A)   (D)   Exercisable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Date</w:t>
            </w:r>
          </w:p>
        </w:tc>
        <w:tc>
          <w:tcPr>
            <w:tcW w:w="39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0" w:type="dxa"/>
            <w:vAlign w:val="bottom"/>
          </w:tcPr>
          <w:p>
            <w:pPr>
              <w:spacing w:after="0"/>
              <w:rPr>
                <w:sz w:val="1"/>
                <w:szCs w:val="1"/>
                <w:color w:val="auto"/>
              </w:rPr>
            </w:pPr>
          </w:p>
        </w:tc>
      </w:tr>
      <w:tr>
        <w:trPr>
          <w:trHeight w:val="94"/>
        </w:trPr>
        <w:tc>
          <w:tcPr>
            <w:tcW w:w="10800" w:type="dxa"/>
            <w:vAlign w:val="bottom"/>
            <w:gridSpan w:val="7"/>
          </w:tcPr>
          <w:p>
            <w:pPr>
              <w:spacing w:after="0" w:line="95" w:lineRule="exact"/>
              <w:rPr>
                <w:sz w:val="20"/>
                <w:szCs w:val="20"/>
                <w:color w:val="auto"/>
              </w:rPr>
            </w:pPr>
            <w:r>
              <w:rPr>
                <w:rFonts w:ascii="Times New Roman" w:cs="Times New Roman" w:eastAsia="Times New Roman" w:hAnsi="Times New Roman"/>
                <w:sz w:val="10"/>
                <w:szCs w:val="10"/>
                <w:color w:val="008000"/>
              </w:rPr>
              <w:t>Common Stock; (ii) a trustee of GRATs for the benefit of members of her immediate family which own 7,912,594 shares of the Issuer's Common Stock; (iii) a trustee of GRATs of which the Reporting</w:t>
            </w:r>
          </w:p>
        </w:tc>
        <w:tc>
          <w:tcPr>
            <w:tcW w:w="0" w:type="dxa"/>
            <w:vAlign w:val="bottom"/>
          </w:tcPr>
          <w:p>
            <w:pPr>
              <w:spacing w:after="0"/>
              <w:rPr>
                <w:sz w:val="1"/>
                <w:szCs w:val="1"/>
                <w:color w:val="auto"/>
              </w:rPr>
            </w:pPr>
          </w:p>
        </w:tc>
      </w:tr>
    </w:tbl>
    <w:p>
      <w:pPr>
        <w:ind w:left="40" w:right="280"/>
        <w:spacing w:after="0" w:line="242" w:lineRule="auto"/>
        <w:rPr>
          <w:sz w:val="20"/>
          <w:szCs w:val="20"/>
          <w:color w:val="auto"/>
        </w:rPr>
      </w:pPr>
      <w:r>
        <w:rPr>
          <w:rFonts w:ascii="Times New Roman" w:cs="Times New Roman" w:eastAsia="Times New Roman" w:hAnsi="Times New Roman"/>
          <w:sz w:val="13"/>
          <w:szCs w:val="13"/>
          <w:color w:val="008000"/>
        </w:rPr>
        <w:t>Person was the settlor and is the sole annuitant which own 1,124,000 shares of the Issuer's Common Stock; (iv) a general partner of a limited partnership (Sujochil, LP) which owns 19,484,809 shares of the Issuer's Common Stock; and (v) a member of Sujoda Management, LLC, which indirectly owns 3,789,479 shares of the Issuer's Common Stock. Pursuant to the Form 4 instructions, the Reporting Person is being treated as having a pecuniary interest in all of such shares.</w:t>
      </w:r>
    </w:p>
    <w:p>
      <w:pPr>
        <w:spacing w:after="0" w:line="27"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the Reporting Person's pecuniary interest therein, and this report shall not be deemed an admission that the Reporting Person is the beneficial owner of such securities, except to the extent of the Reporting Person's pecuniary interest therein, for purposes of Section 16 of the Securities Exchange Act of 1934, as amended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sole general partner of Sujoda Investments, LP is Sujoda Management, LLC. The Reporting Person is one of three members of Sujoda Management, LLC. Sujoda Management, LLC is being treated as a limited partnership for purposes of Section 16, and pursuant to the Form 4 instructions, the Reporting Person has elected to treat all of the shares of the Issuer's Common Stock owned by Sujoda Investments, LP as beneficially owned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60" w:firstLine="7"/>
        <w:spacing w:after="0" w:line="25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states that the filing of this Form 4 shall not be deemed an admission that the Reporting Person is the beneficial owner of the reported securities owned by the other members of the group, for the purpose of Section 16 or for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Mark N. Rogers, Attorney-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Susan 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1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10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58922"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2026-06-12T15:44:20Z</dcterms:created>
  <dcterms:modified xsi:type="dcterms:W3CDTF">2026-06-12T15:44:20Z</dcterms:modified>
</cp:coreProperties>
</file>