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 w:lineRule="exact"/>
        <w:rPr>
          <w:sz w:val="24"/>
          <w:szCs w:val="24"/>
          <w:color w:val="auto"/>
        </w:rPr>
      </w:pPr>
    </w:p>
    <w:p>
      <w:pPr>
        <w:ind w:left="1920" w:right="2360" w:hanging="888"/>
        <w:spacing w:after="0" w:line="238" w:lineRule="auto"/>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83"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1920" w:right="2340" w:hanging="888"/>
        <w:spacing w:after="0" w:line="238" w:lineRule="auto"/>
        <w:tabs>
          <w:tab w:leader="none" w:pos="1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59" w:lineRule="exact"/>
        <w:rPr>
          <w:sz w:val="24"/>
          <w:szCs w:val="24"/>
          <w:color w:val="auto"/>
        </w:rPr>
      </w:pPr>
    </w:p>
    <w:p>
      <w:pPr>
        <w:sectPr>
          <w:pgSz w:w="11900" w:h="16838" w:orient="portrait"/>
          <w:cols w:equalWidth="0" w:num="2">
            <w:col w:w="4240" w:space="460"/>
            <w:col w:w="654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000-29472</w:t>
      </w:r>
    </w:p>
    <w:p>
      <w:pPr>
        <w:sectPr>
          <w:pgSz w:w="11900" w:h="16838" w:orient="portrait"/>
          <w:cols w:equalWidth="0" w:num="1">
            <w:col w:w="11240"/>
          </w:cols>
          <w:pgMar w:left="320" w:top="1440" w:right="339" w:bottom="1440" w:gutter="0" w:footer="0" w:header="0"/>
          <w:type w:val="continuous"/>
        </w:sectPr>
      </w:pP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526"/>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43"/>
                <w:szCs w:val="43"/>
                <w:b w:val="1"/>
                <w:bCs w:val="1"/>
                <w:color w:val="auto"/>
                <w:w w:val="99"/>
              </w:rPr>
              <w:t>AMKOR TECHNOLOGY, INC.</w:t>
            </w:r>
          </w:p>
        </w:tc>
      </w:tr>
      <w:tr>
        <w:trPr>
          <w:trHeight w:val="190"/>
        </w:trPr>
        <w:tc>
          <w:tcPr>
            <w:tcW w:w="3500" w:type="dxa"/>
            <w:vAlign w:val="bottom"/>
          </w:tcPr>
          <w:p>
            <w:pPr>
              <w:spacing w:after="0"/>
              <w:rPr>
                <w:sz w:val="16"/>
                <w:szCs w:val="16"/>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350"/>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spacing w:after="0"/>
              <w:rPr>
                <w:sz w:val="24"/>
                <w:szCs w:val="24"/>
                <w:color w:val="auto"/>
              </w:rPr>
            </w:pPr>
          </w:p>
        </w:tc>
        <w:tc>
          <w:tcPr>
            <w:tcW w:w="4460" w:type="dxa"/>
            <w:vAlign w:val="bottom"/>
          </w:tcPr>
          <w:p>
            <w:pPr>
              <w:jc w:val="center"/>
              <w:ind w:left="777"/>
              <w:spacing w:after="0"/>
              <w:rPr>
                <w:sz w:val="20"/>
                <w:szCs w:val="20"/>
                <w:color w:val="auto"/>
              </w:rPr>
            </w:pPr>
            <w:r>
              <w:rPr>
                <w:rFonts w:ascii="Times New Roman" w:cs="Times New Roman" w:eastAsia="Times New Roman" w:hAnsi="Times New Roman"/>
                <w:sz w:val="18"/>
                <w:szCs w:val="18"/>
                <w:b w:val="1"/>
                <w:bCs w:val="1"/>
                <w:color w:val="auto"/>
              </w:rPr>
              <w:t>23-1722724</w:t>
            </w:r>
          </w:p>
        </w:tc>
      </w:tr>
      <w:tr>
        <w:trPr>
          <w:trHeight w:val="146"/>
        </w:trPr>
        <w:tc>
          <w:tcPr>
            <w:tcW w:w="3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i w:val="1"/>
                <w:iCs w:val="1"/>
                <w:color w:val="auto"/>
              </w:rPr>
              <w:t>(State of incorporation)</w:t>
            </w:r>
          </w:p>
        </w:tc>
        <w:tc>
          <w:tcPr>
            <w:tcW w:w="3280" w:type="dxa"/>
            <w:vAlign w:val="bottom"/>
          </w:tcPr>
          <w:p>
            <w:pPr>
              <w:spacing w:after="0"/>
              <w:rPr>
                <w:sz w:val="12"/>
                <w:szCs w:val="12"/>
                <w:color w:val="auto"/>
              </w:rPr>
            </w:pPr>
          </w:p>
        </w:tc>
        <w:tc>
          <w:tcPr>
            <w:tcW w:w="4460" w:type="dxa"/>
            <w:vAlign w:val="bottom"/>
          </w:tcPr>
          <w:p>
            <w:pPr>
              <w:jc w:val="center"/>
              <w:ind w:left="777"/>
              <w:spacing w:after="0" w:line="146" w:lineRule="exact"/>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90"/>
        </w:trPr>
        <w:tc>
          <w:tcPr>
            <w:tcW w:w="3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460" w:type="dxa"/>
            <w:vAlign w:val="bottom"/>
          </w:tcPr>
          <w:p>
            <w:pPr>
              <w:jc w:val="center"/>
              <w:ind w:left="777"/>
              <w:spacing w:after="0"/>
              <w:rPr>
                <w:sz w:val="20"/>
                <w:szCs w:val="20"/>
                <w:color w:val="auto"/>
              </w:rPr>
            </w:pPr>
            <w:r>
              <w:rPr>
                <w:rFonts w:ascii="Times New Roman" w:cs="Times New Roman" w:eastAsia="Times New Roman" w:hAnsi="Times New Roman"/>
                <w:sz w:val="14"/>
                <w:szCs w:val="14"/>
                <w:i w:val="1"/>
                <w:iCs w:val="1"/>
                <w:color w:val="auto"/>
              </w:rPr>
              <w:t>Identification Number)</w:t>
            </w:r>
          </w:p>
        </w:tc>
      </w:tr>
      <w:tr>
        <w:trPr>
          <w:trHeight w:val="287"/>
        </w:trPr>
        <w:tc>
          <w:tcPr>
            <w:tcW w:w="3500" w:type="dxa"/>
            <w:vAlign w:val="bottom"/>
          </w:tcPr>
          <w:p>
            <w:pPr>
              <w:spacing w:after="0"/>
              <w:rPr>
                <w:sz w:val="24"/>
                <w:szCs w:val="24"/>
                <w:color w:val="auto"/>
              </w:rPr>
            </w:pPr>
          </w:p>
        </w:tc>
        <w:tc>
          <w:tcPr>
            <w:tcW w:w="3280" w:type="dxa"/>
            <w:vAlign w:val="bottom"/>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9"/>
              </w:rPr>
              <w:t>2045 East Innovation Circle</w:t>
            </w:r>
          </w:p>
        </w:tc>
        <w:tc>
          <w:tcPr>
            <w:tcW w:w="4460" w:type="dxa"/>
            <w:vAlign w:val="bottom"/>
          </w:tcPr>
          <w:p>
            <w:pPr>
              <w:spacing w:after="0"/>
              <w:rPr>
                <w:sz w:val="24"/>
                <w:szCs w:val="24"/>
                <w:color w:val="auto"/>
              </w:rPr>
            </w:pPr>
          </w:p>
        </w:tc>
      </w:tr>
      <w:tr>
        <w:trPr>
          <w:trHeight w:val="214"/>
        </w:trPr>
        <w:tc>
          <w:tcPr>
            <w:tcW w:w="3500" w:type="dxa"/>
            <w:vAlign w:val="bottom"/>
          </w:tcPr>
          <w:p>
            <w:pPr>
              <w:spacing w:after="0"/>
              <w:rPr>
                <w:sz w:val="18"/>
                <w:szCs w:val="18"/>
                <w:color w:val="auto"/>
              </w:rPr>
            </w:pPr>
          </w:p>
        </w:tc>
        <w:tc>
          <w:tcPr>
            <w:tcW w:w="3280" w:type="dxa"/>
            <w:vAlign w:val="bottom"/>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8"/>
              </w:rPr>
              <w:t>Tempe, AZ 85284</w:t>
            </w:r>
          </w:p>
        </w:tc>
        <w:tc>
          <w:tcPr>
            <w:tcW w:w="4460" w:type="dxa"/>
            <w:vAlign w:val="bottom"/>
          </w:tcPr>
          <w:p>
            <w:pPr>
              <w:spacing w:after="0"/>
              <w:rPr>
                <w:sz w:val="18"/>
                <w:szCs w:val="18"/>
                <w:color w:val="auto"/>
              </w:rPr>
            </w:pPr>
          </w:p>
        </w:tc>
      </w:tr>
      <w:tr>
        <w:trPr>
          <w:trHeight w:val="190"/>
        </w:trPr>
        <w:tc>
          <w:tcPr>
            <w:tcW w:w="3500" w:type="dxa"/>
            <w:vAlign w:val="bottom"/>
          </w:tcPr>
          <w:p>
            <w:pPr>
              <w:spacing w:after="0"/>
              <w:rPr>
                <w:sz w:val="16"/>
                <w:szCs w:val="16"/>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and zip code)</w:t>
            </w:r>
          </w:p>
        </w:tc>
      </w:tr>
      <w:tr>
        <w:trPr>
          <w:trHeight w:val="334"/>
        </w:trPr>
        <w:tc>
          <w:tcPr>
            <w:tcW w:w="3500" w:type="dxa"/>
            <w:vAlign w:val="bottom"/>
          </w:tcPr>
          <w:p>
            <w:pPr>
              <w:spacing w:after="0"/>
              <w:rPr>
                <w:sz w:val="24"/>
                <w:szCs w:val="24"/>
                <w:color w:val="auto"/>
              </w:rPr>
            </w:pPr>
          </w:p>
        </w:tc>
        <w:tc>
          <w:tcPr>
            <w:tcW w:w="3280" w:type="dxa"/>
            <w:vAlign w:val="bottom"/>
          </w:tcPr>
          <w:p>
            <w:pPr>
              <w:jc w:val="center"/>
              <w:ind w:left="878"/>
              <w:spacing w:after="0"/>
              <w:rPr>
                <w:sz w:val="20"/>
                <w:szCs w:val="20"/>
                <w:color w:val="auto"/>
              </w:rPr>
            </w:pPr>
            <w:r>
              <w:rPr>
                <w:rFonts w:ascii="Times New Roman" w:cs="Times New Roman" w:eastAsia="Times New Roman" w:hAnsi="Times New Roman"/>
                <w:sz w:val="18"/>
                <w:szCs w:val="18"/>
                <w:b w:val="1"/>
                <w:bCs w:val="1"/>
                <w:color w:val="auto"/>
                <w:w w:val="99"/>
              </w:rPr>
              <w:t>(480) 821-5000</w:t>
            </w:r>
          </w:p>
        </w:tc>
        <w:tc>
          <w:tcPr>
            <w:tcW w:w="4460" w:type="dxa"/>
            <w:vAlign w:val="bottom"/>
          </w:tcPr>
          <w:p>
            <w:pPr>
              <w:spacing w:after="0"/>
              <w:rPr>
                <w:sz w:val="24"/>
                <w:szCs w:val="24"/>
                <w:color w:val="auto"/>
              </w:rPr>
            </w:pPr>
          </w:p>
        </w:tc>
      </w:tr>
      <w:tr>
        <w:trPr>
          <w:trHeight w:val="220"/>
        </w:trPr>
        <w:tc>
          <w:tcPr>
            <w:tcW w:w="3500" w:type="dxa"/>
            <w:vAlign w:val="bottom"/>
          </w:tcPr>
          <w:p>
            <w:pPr>
              <w:spacing w:after="0"/>
              <w:rPr>
                <w:sz w:val="19"/>
                <w:szCs w:val="19"/>
                <w:color w:val="auto"/>
              </w:rPr>
            </w:pPr>
          </w:p>
        </w:tc>
        <w:tc>
          <w:tcPr>
            <w:tcW w:w="7740" w:type="dxa"/>
            <w:vAlign w:val="bottom"/>
            <w:gridSpan w:val="2"/>
          </w:tcPr>
          <w:p>
            <w:pPr>
              <w:jc w:val="center"/>
              <w:ind w:right="3397"/>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r>
      <w:tr>
        <w:trPr>
          <w:trHeight w:val="230"/>
        </w:trPr>
        <w:tc>
          <w:tcPr>
            <w:tcW w:w="3500" w:type="dxa"/>
            <w:vAlign w:val="bottom"/>
          </w:tcPr>
          <w:p>
            <w:pPr>
              <w:spacing w:after="0"/>
              <w:rPr>
                <w:sz w:val="19"/>
                <w:szCs w:val="19"/>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01"/>
        </w:trPr>
        <w:tc>
          <w:tcPr>
            <w:tcW w:w="350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28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60" w:type="dxa"/>
            <w:vAlign w:val="bottom"/>
            <w:tcBorders>
              <w:bottom w:val="single" w:sz="8" w:color="auto"/>
            </w:tcBorders>
          </w:tcPr>
          <w:p>
            <w:pPr>
              <w:jc w:val="center"/>
              <w:ind w:right="65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00" w:type="dxa"/>
            <w:vAlign w:val="bottom"/>
          </w:tcPr>
          <w:p>
            <w:pPr>
              <w:jc w:val="center"/>
              <w:ind w:left="248"/>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280" w:type="dxa"/>
            <w:vAlign w:val="bottom"/>
          </w:tcPr>
          <w:p>
            <w:pPr>
              <w:jc w:val="center"/>
              <w:ind w:right="298"/>
              <w:spacing w:after="0"/>
              <w:rPr>
                <w:sz w:val="20"/>
                <w:szCs w:val="20"/>
                <w:color w:val="auto"/>
              </w:rPr>
            </w:pPr>
            <w:r>
              <w:rPr>
                <w:rFonts w:ascii="Times New Roman" w:cs="Times New Roman" w:eastAsia="Times New Roman" w:hAnsi="Times New Roman"/>
                <w:sz w:val="18"/>
                <w:szCs w:val="18"/>
                <w:color w:val="auto"/>
                <w:w w:val="99"/>
              </w:rPr>
              <w:t>AMKR</w:t>
            </w:r>
          </w:p>
        </w:tc>
        <w:tc>
          <w:tcPr>
            <w:tcW w:w="4460" w:type="dxa"/>
            <w:vAlign w:val="bottom"/>
          </w:tcPr>
          <w:p>
            <w:pPr>
              <w:jc w:val="center"/>
              <w:ind w:right="637"/>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440" w:right="339" w:bottom="1440" w:gutter="0" w:footer="0" w:header="0"/>
          <w:type w:val="continuous"/>
        </w:sectPr>
      </w:pPr>
    </w:p>
    <w:p>
      <w:pPr>
        <w:spacing w:after="0" w:line="53" w:lineRule="exact"/>
        <w:rPr>
          <w:sz w:val="24"/>
          <w:szCs w:val="24"/>
          <w:color w:val="auto"/>
        </w:rPr>
      </w:pPr>
    </w:p>
    <w:p>
      <w:pPr>
        <w:ind w:left="1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17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23" w:lineRule="exact"/>
        <w:rPr>
          <w:sz w:val="24"/>
          <w:szCs w:val="24"/>
          <w:color w:val="auto"/>
        </w:rPr>
      </w:pPr>
    </w:p>
    <w:p>
      <w:pPr>
        <w:sectPr>
          <w:pgSz w:w="11900" w:h="16838" w:orient="portrait"/>
          <w:cols w:equalWidth="0" w:num="5">
            <w:col w:w="2980" w:space="720"/>
            <w:col w:w="1400" w:space="720"/>
            <w:col w:w="1860" w:space="720"/>
            <w:col w:w="1860" w:space="720"/>
            <w:col w:w="260"/>
          </w:cols>
          <w:pgMar w:left="320" w:top="1440"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103" w:lineRule="exact"/>
        <w:rPr>
          <w:sz w:val="24"/>
          <w:szCs w:val="24"/>
          <w:color w:val="auto"/>
        </w:rPr>
      </w:pPr>
    </w:p>
    <w:p>
      <w:pPr>
        <w:sectPr>
          <w:pgSz w:w="11900" w:h="16838" w:orient="portrait"/>
          <w:cols w:equalWidth="0" w:num="5">
            <w:col w:w="1740" w:space="560"/>
            <w:col w:w="1200" w:space="560"/>
            <w:col w:w="1520" w:space="620"/>
            <w:col w:w="1960" w:space="640"/>
            <w:col w:w="2440"/>
          </w:cols>
          <w:pgMar w:left="320" w:top="1440" w:right="339" w:bottom="1440" w:gutter="0" w:footer="0" w:header="0"/>
          <w:type w:val="continuous"/>
        </w:sect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ind w:right="198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outstanding shares of the registrant’s Common Stock as of October 28, 2022 was 244,974,654.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80" w:type="dxa"/>
            <w:vAlign w:val="bottom"/>
          </w:tcPr>
          <w:p>
            <w:pPr>
              <w:spacing w:after="0"/>
              <w:rPr>
                <w:sz w:val="2"/>
                <w:szCs w:val="2"/>
                <w:color w:val="auto"/>
              </w:rPr>
            </w:pPr>
          </w:p>
        </w:tc>
        <w:tc>
          <w:tcPr>
            <w:tcW w:w="7480" w:type="dxa"/>
            <w:vAlign w:val="bottom"/>
            <w:vMerge w:val="restart"/>
          </w:tcPr>
          <w:p>
            <w:pPr>
              <w:ind w:left="24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 Three and Nine Months Ended September 30, 2022 and 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7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 - Three and Nine Months Ended September 30,</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2022 and 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 September 30, 2022 and December 31, 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7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 - Three and Nine Months Ended September 30, 2022</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7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 - Nine Months Ended September 30, 2022 and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48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Signatures</w:t>
            </w:r>
          </w:p>
        </w:tc>
        <w:tc>
          <w:tcPr>
            <w:tcW w:w="7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federal securities laws, including, but not limited to, statements regarding (1) the amount, timing and focus of our expected capital investments in 2022, including expenditures in support of our announced expansion into Vietnam and our advanced packaging and test equipment, (2) our ability to fund our operating activities and financial requirements for the next twelve months, (3) the effect of changes in revenue levels and capacity utilization on our gross margin, (4) the impact of the Covid-19 pandemic on our operations, financial results and supply chain, including as a result of the government-mandated lockdown of our Shanghai factory during the second quarter of 2022, (5) the focus of our research and development activities, (6) the anticipated impact of tax law changes in the jurisdictions in which we operate, (7) the grant and expiration of tax holidays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expected contributions to foreign pension plans and potential future conversion of our unfunded severance plan in Korea to a defined contribution plan, (13) liability for unrecognized tax benefits and the potential impact of our unrecognized tax benefits on our effective tax rate, (14) the effect of foreign currency exchange rate exposure on our financial results, (15) the volatility of the trading price of our common stock,</w:t>
      </w:r>
    </w:p>
    <w:p>
      <w:pPr>
        <w:spacing w:after="0" w:line="2" w:lineRule="exact"/>
        <w:rPr>
          <w:sz w:val="20"/>
          <w:szCs w:val="20"/>
          <w:color w:val="auto"/>
        </w:rPr>
      </w:pPr>
    </w:p>
    <w:p>
      <w:pPr>
        <w:jc w:val="both"/>
        <w:ind w:firstLine="8"/>
        <w:spacing w:after="0" w:line="253" w:lineRule="auto"/>
        <w:tabs>
          <w:tab w:leader="none" w:pos="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internal controls related to integration of acquired operations and implementation of an enterprise resource planning system, (17) our efforts to enlarge our customer base in certain geographic areas and markets, (18) demand for advanced packages in mobile and automotive devices and our technology leadership and potential growth in the communications and automotive and industrial end markets, (19) projects to install or integrate new information technology systems or upgrade our existing systems, (20) our expected revenue recognition, (21) the anticipated schedule for and benefits from our new manufacturing facility under development in Vietnam and</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 w:name="page3"/>
    <w:bookmarkEnd w:id="2"/>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p>
      <w:pPr>
        <w:jc w:val="both"/>
        <w:ind w:firstLine="8"/>
        <w:spacing w:after="0" w:line="253" w:lineRule="auto"/>
        <w:tabs>
          <w:tab w:leader="none" w:pos="3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that are not historical facts.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2021 (the “2021 Form 10-K”) and from time to time in our other reports filed with or furnished to the Securities and Exchange Commission (“SEC”). You should carefully consider the trends, risks and uncertainties described in this Form 10-Q, the 2021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10-Q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60" w:type="dxa"/>
            <w:vAlign w:val="bottom"/>
            <w:gridSpan w:val="7"/>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91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7"/>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960" w:type="dxa"/>
            <w:vAlign w:val="bottom"/>
            <w:gridSpan w:val="7"/>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AMKOR TECHNOLOGY, INC.</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7100" w:type="dxa"/>
            <w:vAlign w:val="bottom"/>
            <w:gridSpan w:val="8"/>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1"/>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20" w:type="dxa"/>
            <w:vAlign w:val="bottom"/>
          </w:tcPr>
          <w:p>
            <w:pPr>
              <w:spacing w:after="0"/>
              <w:rPr>
                <w:sz w:val="24"/>
                <w:szCs w:val="24"/>
                <w:color w:val="auto"/>
              </w:rPr>
            </w:pPr>
          </w:p>
        </w:tc>
        <w:tc>
          <w:tcPr>
            <w:tcW w:w="304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8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2,083,691</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1,681,000</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5,185,375</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4,413,685</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5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1,662,463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1,356,168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4,189,662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3,550,499</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324,832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995,713</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863,186</w:t>
            </w:r>
          </w:p>
        </w:tc>
      </w:tr>
      <w:tr>
        <w:trPr>
          <w:trHeight w:val="22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213,774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223,538</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128,624</w:t>
            </w:r>
          </w:p>
        </w:tc>
      </w:tr>
      <w:tr>
        <w:trPr>
          <w:trHeight w:val="223"/>
        </w:trPr>
        <w:tc>
          <w:tcPr>
            <w:tcW w:w="4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113,371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323,609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352,162</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319,287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672,104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511,024</w:t>
            </w: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38,333</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3"/>
        </w:trPr>
        <w:tc>
          <w:tcPr>
            <w:tcW w:w="4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expense, net</w:t>
            </w:r>
          </w:p>
        </w:tc>
        <w:tc>
          <w:tcPr>
            <w:tcW w:w="5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37,825</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taxes</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310,100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199,066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647,313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473,199</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44,875</w:t>
            </w:r>
          </w:p>
        </w:tc>
      </w:tr>
      <w:tr>
        <w:trPr>
          <w:trHeight w:val="223"/>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306,457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181,847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603,154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428,324</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5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4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306,081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180,854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601,522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426,469</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140" w:type="dxa"/>
            <w:vAlign w:val="bottom"/>
          </w:tcPr>
          <w:p>
            <w:pPr>
              <w:spacing w:after="0"/>
              <w:rPr>
                <w:sz w:val="19"/>
                <w:szCs w:val="19"/>
                <w:color w:val="auto"/>
              </w:rPr>
            </w:pP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per common share amounts:</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244,744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244,581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243,746</w:t>
            </w:r>
          </w:p>
        </w:tc>
      </w:tr>
      <w:tr>
        <w:trPr>
          <w:trHeight w:val="229"/>
        </w:trPr>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246,094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245,942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245,611</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00" w:type="dxa"/>
            <w:vAlign w:val="bottom"/>
          </w:tcPr>
          <w:p>
            <w:pPr>
              <w:spacing w:after="0"/>
              <w:rPr>
                <w:sz w:val="13"/>
                <w:szCs w:val="13"/>
                <w:color w:val="auto"/>
              </w:rPr>
            </w:pPr>
          </w:p>
        </w:tc>
        <w:tc>
          <w:tcPr>
            <w:tcW w:w="254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5"/>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r>
      <w:tr>
        <w:trPr>
          <w:trHeight w:val="195"/>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306,457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181,847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603,154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428,324</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6"/>
        </w:trPr>
        <w:tc>
          <w:tcPr>
            <w:tcW w:w="58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Adjustments to net unrealized gains (losses) on available-for-sale debt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5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unrealized components of defined benefit pension plans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r>
      <w:tr>
        <w:trPr>
          <w:trHeight w:val="223"/>
        </w:trPr>
        <w:tc>
          <w:tcPr>
            <w:tcW w:w="5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w:t>
            </w: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416,990</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Amkor</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415,135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6"/>
        </w:trPr>
        <w:tc>
          <w:tcPr>
            <w:tcW w:w="756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624,084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826,744</w:t>
            </w:r>
          </w:p>
        </w:tc>
        <w:tc>
          <w:tcPr>
            <w:tcW w:w="0" w:type="dxa"/>
            <w:vAlign w:val="bottom"/>
          </w:tcPr>
          <w:p>
            <w:pPr>
              <w:spacing w:after="0"/>
              <w:rPr>
                <w:sz w:val="1"/>
                <w:szCs w:val="1"/>
                <w:color w:val="auto"/>
              </w:rPr>
            </w:pPr>
          </w:p>
        </w:tc>
      </w:tr>
      <w:tr>
        <w:trPr>
          <w:trHeight w:val="226"/>
        </w:trPr>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22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 (amortized cost of $310,594 and $251,959 in 2022 and 2021, respectively)</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308,063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251,530</w:t>
            </w:r>
          </w:p>
        </w:tc>
        <w:tc>
          <w:tcPr>
            <w:tcW w:w="0" w:type="dxa"/>
            <w:vAlign w:val="bottom"/>
          </w:tcPr>
          <w:p>
            <w:pPr>
              <w:spacing w:after="0"/>
              <w:rPr>
                <w:sz w:val="1"/>
                <w:szCs w:val="1"/>
                <w:color w:val="auto"/>
              </w:rPr>
            </w:pPr>
          </w:p>
        </w:tc>
      </w:tr>
      <w:tr>
        <w:trPr>
          <w:trHeight w:val="226"/>
        </w:trPr>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1,550,517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1,258,767</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669,297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484,959</w:t>
            </w:r>
          </w:p>
        </w:tc>
        <w:tc>
          <w:tcPr>
            <w:tcW w:w="0" w:type="dxa"/>
            <w:vAlign w:val="bottom"/>
          </w:tcPr>
          <w:p>
            <w:pPr>
              <w:spacing w:after="0"/>
              <w:rPr>
                <w:sz w:val="1"/>
                <w:szCs w:val="1"/>
                <w:color w:val="auto"/>
              </w:rPr>
            </w:pPr>
          </w:p>
        </w:tc>
      </w:tr>
      <w:tr>
        <w:trPr>
          <w:trHeight w:val="226"/>
        </w:trPr>
        <w:tc>
          <w:tcPr>
            <w:tcW w:w="7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33,601</w:t>
            </w:r>
          </w:p>
        </w:tc>
        <w:tc>
          <w:tcPr>
            <w:tcW w:w="0" w:type="dxa"/>
            <w:vAlign w:val="bottom"/>
          </w:tcPr>
          <w:p>
            <w:pPr>
              <w:spacing w:after="0"/>
              <w:rPr>
                <w:sz w:val="1"/>
                <w:szCs w:val="1"/>
                <w:color w:val="auto"/>
              </w:rPr>
            </w:pPr>
          </w:p>
        </w:tc>
      </w:tr>
      <w:tr>
        <w:trPr>
          <w:trHeight w:val="227"/>
        </w:trPr>
        <w:tc>
          <w:tcPr>
            <w:tcW w:w="7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3,201,146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2,856,563</w:t>
            </w:r>
          </w:p>
        </w:tc>
        <w:tc>
          <w:tcPr>
            <w:tcW w:w="0" w:type="dxa"/>
            <w:vAlign w:val="bottom"/>
          </w:tcPr>
          <w:p>
            <w:pPr>
              <w:spacing w:after="0"/>
              <w:rPr>
                <w:sz w:val="1"/>
                <w:szCs w:val="1"/>
                <w:color w:val="auto"/>
              </w:rPr>
            </w:pPr>
          </w:p>
        </w:tc>
      </w:tr>
      <w:tr>
        <w:trPr>
          <w:trHeight w:val="226"/>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3,087,061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2,871,058</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168,778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159,742</w:t>
            </w:r>
          </w:p>
        </w:tc>
        <w:tc>
          <w:tcPr>
            <w:tcW w:w="0" w:type="dxa"/>
            <w:vAlign w:val="bottom"/>
          </w:tcPr>
          <w:p>
            <w:pPr>
              <w:spacing w:after="0"/>
              <w:rPr>
                <w:sz w:val="1"/>
                <w:szCs w:val="1"/>
                <w:color w:val="auto"/>
              </w:rPr>
            </w:pPr>
          </w:p>
        </w:tc>
      </w:tr>
      <w:tr>
        <w:trPr>
          <w:trHeight w:val="226"/>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24,516</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3,815</w:t>
            </w:r>
          </w:p>
        </w:tc>
        <w:tc>
          <w:tcPr>
            <w:tcW w:w="0" w:type="dxa"/>
            <w:vAlign w:val="bottom"/>
          </w:tcPr>
          <w:p>
            <w:pPr>
              <w:spacing w:after="0"/>
              <w:rPr>
                <w:sz w:val="1"/>
                <w:szCs w:val="1"/>
                <w:color w:val="auto"/>
              </w:rPr>
            </w:pPr>
          </w:p>
        </w:tc>
      </w:tr>
      <w:tr>
        <w:trPr>
          <w:trHeight w:val="226"/>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214,212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122,860</w:t>
            </w:r>
          </w:p>
        </w:tc>
        <w:tc>
          <w:tcPr>
            <w:tcW w:w="0" w:type="dxa"/>
            <w:vAlign w:val="bottom"/>
          </w:tcPr>
          <w:p>
            <w:pPr>
              <w:spacing w:after="0"/>
              <w:rPr>
                <w:sz w:val="1"/>
                <w:szCs w:val="1"/>
                <w:color w:val="auto"/>
              </w:rPr>
            </w:pPr>
          </w:p>
        </w:tc>
      </w:tr>
      <w:tr>
        <w:trPr>
          <w:trHeight w:val="252"/>
        </w:trPr>
        <w:tc>
          <w:tcPr>
            <w:tcW w:w="7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6,693,924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6,038,554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454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borrowings and current portion of long-term debt</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153,008</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 accounts payable</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927,527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828,727</w:t>
            </w:r>
          </w:p>
        </w:tc>
        <w:tc>
          <w:tcPr>
            <w:tcW w:w="0" w:type="dxa"/>
            <w:vAlign w:val="bottom"/>
          </w:tcPr>
          <w:p>
            <w:pPr>
              <w:spacing w:after="0"/>
              <w:rPr>
                <w:sz w:val="1"/>
                <w:szCs w:val="1"/>
                <w:color w:val="auto"/>
              </w:rPr>
            </w:pPr>
          </w:p>
        </w:tc>
      </w:tr>
      <w:tr>
        <w:trPr>
          <w:trHeight w:val="226"/>
        </w:trPr>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 expenditures payable</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287,936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210,875</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operating lease liability</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69,161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64,233</w:t>
            </w:r>
          </w:p>
        </w:tc>
        <w:tc>
          <w:tcPr>
            <w:tcW w:w="0" w:type="dxa"/>
            <w:vAlign w:val="bottom"/>
          </w:tcPr>
          <w:p>
            <w:pPr>
              <w:spacing w:after="0"/>
              <w:rPr>
                <w:sz w:val="1"/>
                <w:szCs w:val="1"/>
                <w:color w:val="auto"/>
              </w:rPr>
            </w:pPr>
          </w:p>
        </w:tc>
      </w:tr>
      <w:tr>
        <w:trPr>
          <w:trHeight w:val="226"/>
        </w:trPr>
        <w:tc>
          <w:tcPr>
            <w:tcW w:w="7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381,012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422,892</w:t>
            </w:r>
          </w:p>
        </w:tc>
        <w:tc>
          <w:tcPr>
            <w:tcW w:w="0" w:type="dxa"/>
            <w:vAlign w:val="bottom"/>
          </w:tcPr>
          <w:p>
            <w:pPr>
              <w:spacing w:after="0"/>
              <w:rPr>
                <w:sz w:val="1"/>
                <w:szCs w:val="1"/>
                <w:color w:val="auto"/>
              </w:rPr>
            </w:pPr>
          </w:p>
        </w:tc>
      </w:tr>
      <w:tr>
        <w:trPr>
          <w:trHeight w:val="227"/>
        </w:trPr>
        <w:tc>
          <w:tcPr>
            <w:tcW w:w="7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1,789,157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1,679,735</w:t>
            </w:r>
          </w:p>
        </w:tc>
        <w:tc>
          <w:tcPr>
            <w:tcW w:w="0" w:type="dxa"/>
            <w:vAlign w:val="bottom"/>
          </w:tcPr>
          <w:p>
            <w:pPr>
              <w:spacing w:after="0"/>
              <w:rPr>
                <w:sz w:val="1"/>
                <w:szCs w:val="1"/>
                <w:color w:val="auto"/>
              </w:rPr>
            </w:pPr>
          </w:p>
        </w:tc>
      </w:tr>
      <w:tr>
        <w:trPr>
          <w:trHeight w:val="226"/>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1,001,544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984,988</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 and severance obligations</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104,206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120,472</w:t>
            </w:r>
          </w:p>
        </w:tc>
        <w:tc>
          <w:tcPr>
            <w:tcW w:w="0" w:type="dxa"/>
            <w:vAlign w:val="bottom"/>
          </w:tcPr>
          <w:p>
            <w:pPr>
              <w:spacing w:after="0"/>
              <w:rPr>
                <w:sz w:val="1"/>
                <w:szCs w:val="1"/>
                <w:color w:val="auto"/>
              </w:rPr>
            </w:pPr>
          </w:p>
        </w:tc>
      </w:tr>
      <w:tr>
        <w:trPr>
          <w:trHeight w:val="226"/>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83,937</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206,398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196,876</w:t>
            </w:r>
          </w:p>
        </w:tc>
        <w:tc>
          <w:tcPr>
            <w:tcW w:w="0" w:type="dxa"/>
            <w:vAlign w:val="bottom"/>
          </w:tcPr>
          <w:p>
            <w:pPr>
              <w:spacing w:after="0"/>
              <w:rPr>
                <w:sz w:val="1"/>
                <w:szCs w:val="1"/>
                <w:color w:val="auto"/>
              </w:rPr>
            </w:pPr>
          </w:p>
        </w:tc>
      </w:tr>
      <w:tr>
        <w:trPr>
          <w:trHeight w:val="219"/>
        </w:trPr>
        <w:tc>
          <w:tcPr>
            <w:tcW w:w="7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3,175,081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3,066,008</w:t>
            </w: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Preferred stock, $0.001 par value, 10,000 shares authorized, designated Series A, none issued</w:t>
            </w:r>
          </w:p>
        </w:tc>
        <w:tc>
          <w:tcPr>
            <w:tcW w:w="2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756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Common stock, $0.001 par value, 500,000 shares authorized; 290,966 and 290,466 shares issued; and</w:t>
            </w:r>
          </w:p>
        </w:tc>
        <w:tc>
          <w:tcPr>
            <w:tcW w:w="22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23"/>
        </w:trPr>
        <w:tc>
          <w:tcPr>
            <w:tcW w:w="75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244,811 and 244,315 shares outstanding in 2022 and 2021, respectively</w:t>
            </w:r>
          </w:p>
        </w:tc>
        <w:tc>
          <w:tcPr>
            <w:tcW w:w="22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1,991,045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1,977,134</w:t>
            </w:r>
          </w:p>
        </w:tc>
        <w:tc>
          <w:tcPr>
            <w:tcW w:w="0" w:type="dxa"/>
            <w:vAlign w:val="bottom"/>
          </w:tcPr>
          <w:p>
            <w:pPr>
              <w:spacing w:after="0"/>
              <w:rPr>
                <w:sz w:val="1"/>
                <w:szCs w:val="1"/>
                <w:color w:val="auto"/>
              </w:rPr>
            </w:pPr>
          </w:p>
        </w:tc>
      </w:tr>
      <w:tr>
        <w:trPr>
          <w:trHeight w:val="226"/>
        </w:trPr>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1,728,740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1,163,939</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19,978</w:t>
            </w:r>
          </w:p>
        </w:tc>
        <w:tc>
          <w:tcPr>
            <w:tcW w:w="0" w:type="dxa"/>
            <w:vAlign w:val="bottom"/>
          </w:tcPr>
          <w:p>
            <w:pPr>
              <w:spacing w:after="0"/>
              <w:rPr>
                <w:sz w:val="1"/>
                <w:szCs w:val="1"/>
                <w:color w:val="auto"/>
              </w:rPr>
            </w:pPr>
          </w:p>
        </w:tc>
      </w:tr>
      <w:tr>
        <w:trPr>
          <w:trHeight w:val="226"/>
        </w:trPr>
        <w:tc>
          <w:tcPr>
            <w:tcW w:w="7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Treasury stock, at cost, 46,155 and 46,151 shares in 2022 and 2021, respectively</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(219,147)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(219,065)</w:t>
            </w:r>
          </w:p>
        </w:tc>
        <w:tc>
          <w:tcPr>
            <w:tcW w:w="0" w:type="dxa"/>
            <w:vAlign w:val="bottom"/>
          </w:tcPr>
          <w:p>
            <w:pPr>
              <w:spacing w:after="0"/>
              <w:rPr>
                <w:sz w:val="1"/>
                <w:szCs w:val="1"/>
                <w:color w:val="auto"/>
              </w:rPr>
            </w:pPr>
          </w:p>
        </w:tc>
      </w:tr>
      <w:tr>
        <w:trPr>
          <w:trHeight w:val="227"/>
        </w:trPr>
        <w:tc>
          <w:tcPr>
            <w:tcW w:w="7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Amkor stockholders’ equity</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3,487,346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2,942,276</w:t>
            </w:r>
          </w:p>
        </w:tc>
        <w:tc>
          <w:tcPr>
            <w:tcW w:w="0" w:type="dxa"/>
            <w:vAlign w:val="bottom"/>
          </w:tcPr>
          <w:p>
            <w:pPr>
              <w:spacing w:after="0"/>
              <w:rPr>
                <w:sz w:val="1"/>
                <w:szCs w:val="1"/>
                <w:color w:val="auto"/>
              </w:rPr>
            </w:pPr>
          </w:p>
        </w:tc>
      </w:tr>
      <w:tr>
        <w:trPr>
          <w:trHeight w:val="226"/>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 in subsidiaries</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31,497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30,270</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3,518,843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2,972,546</w:t>
            </w:r>
          </w:p>
        </w:tc>
        <w:tc>
          <w:tcPr>
            <w:tcW w:w="0" w:type="dxa"/>
            <w:vAlign w:val="bottom"/>
          </w:tcPr>
          <w:p>
            <w:pPr>
              <w:spacing w:after="0"/>
              <w:rPr>
                <w:sz w:val="1"/>
                <w:szCs w:val="1"/>
                <w:color w:val="auto"/>
              </w:rPr>
            </w:pPr>
          </w:p>
        </w:tc>
      </w:tr>
      <w:tr>
        <w:trPr>
          <w:trHeight w:val="227"/>
        </w:trPr>
        <w:tc>
          <w:tcPr>
            <w:tcW w:w="7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6,693,924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6,038,554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640" w:type="dxa"/>
            <w:vAlign w:val="bottom"/>
            <w:gridSpan w:val="5"/>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60" w:type="dxa"/>
            <w:vAlign w:val="bottom"/>
            <w:gridSpan w:val="5"/>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In Capital</w:t>
            </w:r>
          </w:p>
        </w:tc>
        <w:tc>
          <w:tcPr>
            <w:tcW w:w="108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290,788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1,985,992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1,434,906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3,196,295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3,227,550</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306,081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306,081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306,457</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(7,836)</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(7,836)</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3,593</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($0.05 per common share)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(12,247)</w:t>
            </w: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Subsidiary dividends to non-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02"/>
        </w:trPr>
        <w:tc>
          <w:tcPr>
            <w:tcW w:w="160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at September 30,</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290,966</w:t>
            </w:r>
          </w:p>
        </w:tc>
        <w:tc>
          <w:tcPr>
            <w:tcW w:w="120" w:type="dxa"/>
            <w:vAlign w:val="bottom"/>
          </w:tcPr>
          <w:p>
            <w:pPr>
              <w:spacing w:after="0"/>
              <w:rPr>
                <w:sz w:val="8"/>
                <w:szCs w:val="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8"/>
                <w:szCs w:val="8"/>
                <w:color w:val="auto"/>
              </w:rPr>
            </w:pPr>
          </w:p>
        </w:tc>
        <w:tc>
          <w:tcPr>
            <w:tcW w:w="160" w:type="dxa"/>
            <w:vAlign w:val="bottom"/>
            <w:tcBorders>
              <w:top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1,991,045</w:t>
            </w:r>
          </w:p>
        </w:tc>
        <w:tc>
          <w:tcPr>
            <w:tcW w:w="100" w:type="dxa"/>
            <w:vAlign w:val="bottom"/>
          </w:tcPr>
          <w:p>
            <w:pPr>
              <w:spacing w:after="0"/>
              <w:rPr>
                <w:sz w:val="8"/>
                <w:szCs w:val="8"/>
                <w:color w:val="auto"/>
              </w:rPr>
            </w:pPr>
          </w:p>
        </w:tc>
        <w:tc>
          <w:tcPr>
            <w:tcW w:w="24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1,728,740</w:t>
            </w:r>
          </w:p>
        </w:tc>
        <w:tc>
          <w:tcPr>
            <w:tcW w:w="12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(13,583)</w:t>
            </w:r>
          </w:p>
        </w:tc>
        <w:tc>
          <w:tcPr>
            <w:tcW w:w="120" w:type="dxa"/>
            <w:vAlign w:val="bottom"/>
          </w:tcPr>
          <w:p>
            <w:pPr>
              <w:spacing w:after="0"/>
              <w:rPr>
                <w:sz w:val="8"/>
                <w:szCs w:val="8"/>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(46,155)</w:t>
            </w:r>
          </w:p>
        </w:tc>
        <w:tc>
          <w:tcPr>
            <w:tcW w:w="12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(219,147)</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3,487,346</w:t>
            </w:r>
          </w:p>
        </w:tc>
        <w:tc>
          <w:tcPr>
            <w:tcW w:w="12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31,497</w:t>
            </w:r>
          </w:p>
        </w:tc>
        <w:tc>
          <w:tcPr>
            <w:tcW w:w="100" w:type="dxa"/>
            <w:vAlign w:val="bottom"/>
          </w:tcPr>
          <w:p>
            <w:pPr>
              <w:spacing w:after="0"/>
              <w:rPr>
                <w:sz w:val="8"/>
                <w:szCs w:val="8"/>
                <w:color w:val="auto"/>
              </w:rPr>
            </w:pPr>
          </w:p>
        </w:tc>
        <w:tc>
          <w:tcPr>
            <w:tcW w:w="20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3,518,843</w:t>
            </w:r>
          </w:p>
        </w:tc>
        <w:tc>
          <w:tcPr>
            <w:tcW w:w="0" w:type="dxa"/>
            <w:vAlign w:val="bottom"/>
          </w:tcPr>
          <w:p>
            <w:pPr>
              <w:spacing w:after="0"/>
              <w:rPr>
                <w:sz w:val="1"/>
                <w:szCs w:val="1"/>
                <w:color w:val="auto"/>
              </w:rPr>
            </w:pPr>
          </w:p>
        </w:tc>
      </w:tr>
      <w:tr>
        <w:trPr>
          <w:trHeight w:val="167"/>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290,466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1,977,134</w:t>
            </w:r>
          </w:p>
        </w:tc>
        <w:tc>
          <w:tcPr>
            <w:tcW w:w="100" w:type="dxa"/>
            <w:vAlign w:val="bottom"/>
          </w:tcPr>
          <w:p>
            <w:pPr>
              <w:spacing w:after="0"/>
              <w:rPr>
                <w:sz w:val="15"/>
                <w:szCs w:val="15"/>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1,163,939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(46,151)</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(219,065)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2,942,276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30,270</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2,972,546</w:t>
            </w: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601,522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601,522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603,154</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(33,561)</w:t>
            </w:r>
          </w:p>
        </w:tc>
        <w:tc>
          <w:tcPr>
            <w:tcW w:w="12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(33,561)</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Treasury stock acquired</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3,201</w:t>
            </w: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10,711</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($0.15 per common share)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(36,721)</w:t>
            </w: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Subsidiary dividends to non-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0" w:type="dxa"/>
            <w:vAlign w:val="bottom"/>
          </w:tcPr>
          <w:p>
            <w:pPr>
              <w:spacing w:after="0"/>
              <w:rPr>
                <w:sz w:val="1"/>
                <w:szCs w:val="1"/>
                <w:color w:val="auto"/>
              </w:rPr>
            </w:pPr>
          </w:p>
        </w:tc>
      </w:tr>
      <w:tr>
        <w:trPr>
          <w:trHeight w:val="102"/>
        </w:trPr>
        <w:tc>
          <w:tcPr>
            <w:tcW w:w="160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at September 30,</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290,966</w:t>
            </w:r>
          </w:p>
        </w:tc>
        <w:tc>
          <w:tcPr>
            <w:tcW w:w="120" w:type="dxa"/>
            <w:vAlign w:val="bottom"/>
          </w:tcPr>
          <w:p>
            <w:pPr>
              <w:spacing w:after="0"/>
              <w:rPr>
                <w:sz w:val="8"/>
                <w:szCs w:val="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8"/>
                <w:szCs w:val="8"/>
                <w:color w:val="auto"/>
              </w:rPr>
            </w:pPr>
          </w:p>
        </w:tc>
        <w:tc>
          <w:tcPr>
            <w:tcW w:w="160" w:type="dxa"/>
            <w:vAlign w:val="bottom"/>
            <w:tcBorders>
              <w:top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1,991,045</w:t>
            </w:r>
          </w:p>
        </w:tc>
        <w:tc>
          <w:tcPr>
            <w:tcW w:w="100" w:type="dxa"/>
            <w:vAlign w:val="bottom"/>
          </w:tcPr>
          <w:p>
            <w:pPr>
              <w:spacing w:after="0"/>
              <w:rPr>
                <w:sz w:val="8"/>
                <w:szCs w:val="8"/>
                <w:color w:val="auto"/>
              </w:rPr>
            </w:pPr>
          </w:p>
        </w:tc>
        <w:tc>
          <w:tcPr>
            <w:tcW w:w="24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1,728,740</w:t>
            </w:r>
          </w:p>
        </w:tc>
        <w:tc>
          <w:tcPr>
            <w:tcW w:w="12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(13,583)</w:t>
            </w:r>
          </w:p>
        </w:tc>
        <w:tc>
          <w:tcPr>
            <w:tcW w:w="120" w:type="dxa"/>
            <w:vAlign w:val="bottom"/>
          </w:tcPr>
          <w:p>
            <w:pPr>
              <w:spacing w:after="0"/>
              <w:rPr>
                <w:sz w:val="8"/>
                <w:szCs w:val="8"/>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(46,155)</w:t>
            </w:r>
          </w:p>
        </w:tc>
        <w:tc>
          <w:tcPr>
            <w:tcW w:w="12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(219,147)</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3,487,346</w:t>
            </w:r>
          </w:p>
        </w:tc>
        <w:tc>
          <w:tcPr>
            <w:tcW w:w="12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31,497</w:t>
            </w:r>
          </w:p>
        </w:tc>
        <w:tc>
          <w:tcPr>
            <w:tcW w:w="100" w:type="dxa"/>
            <w:vAlign w:val="bottom"/>
          </w:tcPr>
          <w:p>
            <w:pPr>
              <w:spacing w:after="0"/>
              <w:rPr>
                <w:sz w:val="8"/>
                <w:szCs w:val="8"/>
                <w:color w:val="auto"/>
              </w:rPr>
            </w:pPr>
          </w:p>
        </w:tc>
        <w:tc>
          <w:tcPr>
            <w:tcW w:w="20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3,518,843</w:t>
            </w:r>
          </w:p>
        </w:tc>
        <w:tc>
          <w:tcPr>
            <w:tcW w:w="0" w:type="dxa"/>
            <w:vAlign w:val="bottom"/>
          </w:tcPr>
          <w:p>
            <w:pPr>
              <w:spacing w:after="0"/>
              <w:rPr>
                <w:sz w:val="1"/>
                <w:szCs w:val="1"/>
                <w:color w:val="auto"/>
              </w:rPr>
            </w:pPr>
          </w:p>
        </w:tc>
      </w:tr>
      <w:tr>
        <w:trPr>
          <w:trHeight w:val="167"/>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70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8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restart"/>
          </w:tcPr>
          <w:p>
            <w:pPr>
              <w:jc w:val="center"/>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160" w:type="dxa"/>
            <w:vAlign w:val="bottom"/>
          </w:tcPr>
          <w:p>
            <w:pPr>
              <w:spacing w:after="0"/>
              <w:rPr>
                <w:sz w:val="4"/>
                <w:szCs w:val="4"/>
                <w:color w:val="auto"/>
              </w:rPr>
            </w:pPr>
          </w:p>
        </w:tc>
        <w:tc>
          <w:tcPr>
            <w:tcW w:w="840" w:type="dxa"/>
            <w:vAlign w:val="bottom"/>
            <w:gridSpan w:val="2"/>
            <w:vMerge w:val="restart"/>
          </w:tcPr>
          <w:p>
            <w:pPr>
              <w:ind w:left="80"/>
              <w:spacing w:after="0" w:line="95"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20" w:type="dxa"/>
            <w:vAlign w:val="bottom"/>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In Capital</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4"/>
          </w:tcPr>
          <w:p>
            <w:pPr>
              <w:ind w:left="6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290,115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1,968,339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788,567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16,113</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2,554,248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2,583,070</w:t>
            </w: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181,847</w:t>
            </w: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3,040</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($0.04 per common share)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(9,780)</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Subsidiary dividends to non-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0" w:type="dxa"/>
            <w:vAlign w:val="bottom"/>
          </w:tcPr>
          <w:p>
            <w:pPr>
              <w:spacing w:after="0"/>
              <w:rPr>
                <w:sz w:val="1"/>
                <w:szCs w:val="1"/>
                <w:color w:val="auto"/>
              </w:rPr>
            </w:pPr>
          </w:p>
        </w:tc>
      </w:tr>
      <w:tr>
        <w:trPr>
          <w:trHeight w:val="102"/>
        </w:trPr>
        <w:tc>
          <w:tcPr>
            <w:tcW w:w="162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at September 30,</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290,341</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1,973,207</w:t>
            </w:r>
          </w:p>
        </w:tc>
        <w:tc>
          <w:tcPr>
            <w:tcW w:w="120" w:type="dxa"/>
            <w:vAlign w:val="bottom"/>
          </w:tcPr>
          <w:p>
            <w:pPr>
              <w:spacing w:after="0"/>
              <w:rPr>
                <w:sz w:val="8"/>
                <w:szCs w:val="8"/>
                <w:color w:val="auto"/>
              </w:rPr>
            </w:pPr>
          </w:p>
        </w:tc>
        <w:tc>
          <w:tcPr>
            <w:tcW w:w="16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959,641</w:t>
            </w:r>
          </w:p>
        </w:tc>
        <w:tc>
          <w:tcPr>
            <w:tcW w:w="12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15,936</w:t>
            </w:r>
          </w:p>
        </w:tc>
        <w:tc>
          <w:tcPr>
            <w:tcW w:w="120" w:type="dxa"/>
            <w:vAlign w:val="bottom"/>
          </w:tcPr>
          <w:p>
            <w:pPr>
              <w:spacing w:after="0"/>
              <w:rPr>
                <w:sz w:val="8"/>
                <w:szCs w:val="8"/>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(46,151)</w:t>
            </w:r>
          </w:p>
        </w:tc>
        <w:tc>
          <w:tcPr>
            <w:tcW w:w="12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(219,061)</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2,730,013</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29,666</w:t>
            </w:r>
          </w:p>
        </w:tc>
        <w:tc>
          <w:tcPr>
            <w:tcW w:w="100" w:type="dxa"/>
            <w:vAlign w:val="bottom"/>
          </w:tcPr>
          <w:p>
            <w:pPr>
              <w:spacing w:after="0"/>
              <w:rPr>
                <w:sz w:val="8"/>
                <w:szCs w:val="8"/>
                <w:color w:val="auto"/>
              </w:rPr>
            </w:pPr>
          </w:p>
        </w:tc>
        <w:tc>
          <w:tcPr>
            <w:tcW w:w="20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2,759,679</w:t>
            </w:r>
          </w:p>
        </w:tc>
        <w:tc>
          <w:tcPr>
            <w:tcW w:w="0" w:type="dxa"/>
            <w:vAlign w:val="bottom"/>
          </w:tcPr>
          <w:p>
            <w:pPr>
              <w:spacing w:after="0"/>
              <w:rPr>
                <w:sz w:val="1"/>
                <w:szCs w:val="1"/>
                <w:color w:val="auto"/>
              </w:rPr>
            </w:pPr>
          </w:p>
        </w:tc>
      </w:tr>
      <w:tr>
        <w:trPr>
          <w:trHeight w:val="167"/>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288,923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1,953,378</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562,502</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27,270</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(46,094)</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(217,740)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2,325,699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28,260</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2,353,959</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426,469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426,469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428,324</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income</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(11,334)</w:t>
            </w:r>
          </w:p>
        </w:tc>
        <w:tc>
          <w:tcPr>
            <w:tcW w:w="12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(11,334)</w:t>
            </w: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Treasury stock acquired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w w:val="99"/>
              </w:rPr>
              <w:t>through surrender of shares</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11,852</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7,978</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($0.12 per common share)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(29,330)</w:t>
            </w: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Subsidiary dividends to non-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0" w:type="dxa"/>
            <w:vAlign w:val="bottom"/>
          </w:tcPr>
          <w:p>
            <w:pPr>
              <w:spacing w:after="0"/>
              <w:rPr>
                <w:sz w:val="1"/>
                <w:szCs w:val="1"/>
                <w:color w:val="auto"/>
              </w:rPr>
            </w:pPr>
          </w:p>
        </w:tc>
      </w:tr>
      <w:tr>
        <w:trPr>
          <w:trHeight w:val="101"/>
        </w:trPr>
        <w:tc>
          <w:tcPr>
            <w:tcW w:w="162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at September 30,</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290,341</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1,973,207</w:t>
            </w:r>
          </w:p>
        </w:tc>
        <w:tc>
          <w:tcPr>
            <w:tcW w:w="120" w:type="dxa"/>
            <w:vAlign w:val="bottom"/>
          </w:tcPr>
          <w:p>
            <w:pPr>
              <w:spacing w:after="0"/>
              <w:rPr>
                <w:sz w:val="8"/>
                <w:szCs w:val="8"/>
                <w:color w:val="auto"/>
              </w:rPr>
            </w:pPr>
          </w:p>
        </w:tc>
        <w:tc>
          <w:tcPr>
            <w:tcW w:w="16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959,641</w:t>
            </w:r>
          </w:p>
        </w:tc>
        <w:tc>
          <w:tcPr>
            <w:tcW w:w="12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15,936</w:t>
            </w:r>
          </w:p>
        </w:tc>
        <w:tc>
          <w:tcPr>
            <w:tcW w:w="120" w:type="dxa"/>
            <w:vAlign w:val="bottom"/>
          </w:tcPr>
          <w:p>
            <w:pPr>
              <w:spacing w:after="0"/>
              <w:rPr>
                <w:sz w:val="8"/>
                <w:szCs w:val="8"/>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(46,151)</w:t>
            </w:r>
          </w:p>
        </w:tc>
        <w:tc>
          <w:tcPr>
            <w:tcW w:w="12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(219,061)</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2,730,013</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29,666</w:t>
            </w:r>
          </w:p>
        </w:tc>
        <w:tc>
          <w:tcPr>
            <w:tcW w:w="100" w:type="dxa"/>
            <w:vAlign w:val="bottom"/>
          </w:tcPr>
          <w:p>
            <w:pPr>
              <w:spacing w:after="0"/>
              <w:rPr>
                <w:sz w:val="8"/>
                <w:szCs w:val="8"/>
                <w:color w:val="auto"/>
              </w:rPr>
            </w:pPr>
          </w:p>
        </w:tc>
        <w:tc>
          <w:tcPr>
            <w:tcW w:w="20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2,759,679</w:t>
            </w:r>
          </w:p>
        </w:tc>
        <w:tc>
          <w:tcPr>
            <w:tcW w:w="0" w:type="dxa"/>
            <w:vAlign w:val="bottom"/>
          </w:tcPr>
          <w:p>
            <w:pPr>
              <w:spacing w:after="0"/>
              <w:rPr>
                <w:sz w:val="1"/>
                <w:szCs w:val="1"/>
                <w:color w:val="auto"/>
              </w:rPr>
            </w:pPr>
          </w:p>
        </w:tc>
      </w:tr>
      <w:tr>
        <w:trPr>
          <w:trHeight w:val="167"/>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6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603,154</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428,324</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420,970</w:t>
            </w: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activities and non-cash items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(492,673)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(239,897)</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545,764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631,619</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(575,502)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(491,425)</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foreign exchange forward contracts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for foreign exchange forward contracts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(51,296)</w:t>
            </w:r>
          </w:p>
        </w:tc>
        <w:tc>
          <w:tcPr>
            <w:tcW w:w="0" w:type="dxa"/>
            <w:vAlign w:val="bottom"/>
          </w:tcPr>
          <w:p>
            <w:pPr>
              <w:spacing w:after="0"/>
              <w:rPr>
                <w:sz w:val="1"/>
                <w:szCs w:val="1"/>
                <w:color w:val="auto"/>
              </w:rPr>
            </w:pPr>
          </w:p>
        </w:tc>
      </w:tr>
      <w:tr>
        <w:trPr>
          <w:trHeight w:val="230"/>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short-term investments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(348,822)</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70,085</w:t>
            </w: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274,452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165,774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(723,216)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(636,369)</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revolving credit facilities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0" w:type="dxa"/>
            <w:vAlign w:val="bottom"/>
          </w:tcPr>
          <w:p>
            <w:pPr>
              <w:spacing w:after="0"/>
              <w:rPr>
                <w:sz w:val="1"/>
                <w:szCs w:val="1"/>
                <w:color w:val="auto"/>
              </w:rPr>
            </w:pPr>
          </w:p>
        </w:tc>
      </w:tr>
      <w:tr>
        <w:trPr>
          <w:trHeight w:val="230"/>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(183,493)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(250,402)</w:t>
            </w: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dividends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(38,993)</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(136,648)</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 cash equivalents and restricted cash</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(152,168)</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702,197</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550,029</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included in capital expenditures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270,476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393,781</w:t>
            </w:r>
          </w:p>
        </w:tc>
        <w:tc>
          <w:tcPr>
            <w:tcW w:w="0" w:type="dxa"/>
            <w:vAlign w:val="bottom"/>
          </w:tcPr>
          <w:p>
            <w:pPr>
              <w:spacing w:after="0"/>
              <w:rPr>
                <w:sz w:val="1"/>
                <w:szCs w:val="1"/>
                <w:color w:val="auto"/>
              </w:rPr>
            </w:pPr>
          </w:p>
        </w:tc>
      </w:tr>
      <w:tr>
        <w:trPr>
          <w:trHeight w:val="229"/>
        </w:trPr>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finance lease liabilities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58,625</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operating lease liabilities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39,916</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Interim Financial Statements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Consolidated Financial Statements and related disclosures as of September 30, 2022, and for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and 2021, contained in this Form 10-Q (the “Consolidated Financial Statements”) are unaudited, pursuant to the rules and regulations of the SEC. The December 31, 2021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2021 Form 10-K. The results of operations for the three and nine months ended September 30, 2022 are not necessarily indicative of the results to be expected for the full year ending December 31, 2022. Unless the context otherwise requires, all references to “Amkor,” “we,” “us” or “our” are to Amkor Technology, Inc. and its wholly and majority-owned subsidiaries.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Consolidated Financial Statements have been prepared in conformity with U.S. GAAP, using management’s best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the impact of the Covid-19 pandemic and any worsening of the global business and economic environment.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balance of goodwill in the Consolidated Balance Sheets contained in this Form 10-Q reflects adjustments for foreign currency translation.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r>
        <w:rPr>
          <w:rFonts w:ascii="Times New Roman" w:cs="Times New Roman" w:eastAsia="Times New Roman" w:hAnsi="Times New Roman"/>
          <w:sz w:val="18"/>
          <w:szCs w:val="18"/>
          <w:color w:val="auto"/>
        </w:rPr>
        <w:t>. Total unbilled receivables as of September 30, 2022 and December 31, 2021 were $288.7 million and $224.7 million, respectively.</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Contract liabilities were $166.7 million and $187.2 million as of September 30, 2022 and December 31, 2021, respectively.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and December 31, 2021, the short-term portions of the liabilities were $80.7 million and $117.7 million, respectively. The remainder of the September 30, 2022 contract liability balance is expected to be recognized in revenue over the next 1-5 years. Revenue recognized during the nine months ended September 30, 2022 and 2021 that was included in the contract liabilities balance at the beginning of the period was $81.3 million and $24.0 million, respectively.</w:t>
      </w:r>
    </w:p>
    <w:p>
      <w:pPr>
        <w:spacing w:after="0" w:line="3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Net Sales by Product Group and End Market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sales by product group.</w:t>
      </w: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80" w:type="dxa"/>
            <w:vAlign w:val="bottom"/>
          </w:tcPr>
          <w:p>
            <w:pPr>
              <w:spacing w:after="0"/>
              <w:rPr>
                <w:sz w:val="16"/>
                <w:szCs w:val="16"/>
                <w:color w:val="auto"/>
              </w:rPr>
            </w:pPr>
          </w:p>
        </w:tc>
        <w:tc>
          <w:tcPr>
            <w:tcW w:w="302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4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7"/>
                <w:szCs w:val="17"/>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1,639,409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1,235,753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3,879,638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3,136,076</w:t>
            </w: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Mainstream products (2)</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1,305,737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1,277,609</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2,083,691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5,185,375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4,413,685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products include flip chip, memory and wafer-level processing and related test services.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Mainstream products include all other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end market consist of the following</w:t>
      </w:r>
      <w:r>
        <w:rPr>
          <w:rFonts w:ascii="Times New Roman" w:cs="Times New Roman" w:eastAsia="Times New Roman" w:hAnsi="Times New Roman"/>
          <w:sz w:val="18"/>
          <w:szCs w:val="18"/>
          <w:b w:val="1"/>
          <w:bCs w:val="1"/>
          <w:color w:val="auto"/>
        </w:rPr>
        <w:t>:</w:t>
      </w:r>
    </w:p>
    <w:p>
      <w:pPr>
        <w:spacing w:after="0" w:line="35" w:lineRule="exact"/>
        <w:rPr>
          <w:sz w:val="20"/>
          <w:szCs w:val="20"/>
          <w:color w:val="auto"/>
        </w:rPr>
      </w:pPr>
    </w:p>
    <w:tbl>
      <w:tblPr>
        <w:tblLayout w:type="fixed"/>
        <w:tblInd w:w="5740" w:type="dxa"/>
        <w:tblCellMar>
          <w:top w:w="0" w:type="dxa"/>
          <w:left w:w="0" w:type="dxa"/>
          <w:bottom w:w="0" w:type="dxa"/>
          <w:right w:w="0" w:type="dxa"/>
        </w:tblCellMar>
      </w:tblPr>
      <w:tr>
        <w:trPr>
          <w:trHeight w:val="161"/>
        </w:trPr>
        <w:tc>
          <w:tcPr>
            <w:tcW w:w="2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5"/>
        </w:trPr>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89"/>
        </w:trPr>
        <w:tc>
          <w:tcPr>
            <w:tcW w:w="10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7620</wp:posOffset>
            </wp:positionV>
            <wp:extent cx="702945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Communications (smart phones, tablets)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Consumer (AR &amp; gaming, connected home, home electronics, wearables)</w:t>
      </w:r>
    </w:p>
    <w:p>
      <w:pPr>
        <w:spacing w:after="0" w:line="23" w:lineRule="exact"/>
        <w:rPr>
          <w:sz w:val="20"/>
          <w:szCs w:val="20"/>
          <w:color w:val="auto"/>
        </w:rPr>
      </w:pPr>
    </w:p>
    <w:p>
      <w:pPr>
        <w:ind w:left="360" w:right="220" w:hanging="242"/>
        <w:spacing w:after="0" w:line="234" w:lineRule="auto"/>
        <w:rPr>
          <w:sz w:val="20"/>
          <w:szCs w:val="20"/>
          <w:color w:val="auto"/>
        </w:rPr>
      </w:pPr>
      <w:r>
        <w:rPr>
          <w:rFonts w:ascii="Times New Roman" w:cs="Times New Roman" w:eastAsia="Times New Roman" w:hAnsi="Times New Roman"/>
          <w:sz w:val="18"/>
          <w:szCs w:val="18"/>
          <w:color w:val="auto"/>
        </w:rPr>
        <w:t>Automotive, industrial and other (ADAS, electrification, infotainment, safety)</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Computing (data center, infrastructure, PC/laptop, storage)</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Total 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4"/>
        </w:trPr>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3"/>
        </w:trPr>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-599440</wp:posOffset>
            </wp:positionV>
            <wp:extent cx="702945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26543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-187960</wp:posOffset>
            </wp:positionV>
            <wp:extent cx="70294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320"/>
            <w:col w:w="5500"/>
          </w:cols>
          <w:pgMar w:left="320" w:top="117" w:right="339" w:bottom="1440" w:gutter="0" w:footer="0" w:header="0"/>
          <w:type w:val="continuous"/>
        </w:sectPr>
      </w:pPr>
    </w:p>
    <w:p>
      <w:pPr>
        <w:spacing w:after="0" w:line="1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Other Income and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and expense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3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0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4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retirement</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48"/>
        </w:trPr>
        <w:tc>
          <w:tcPr>
            <w:tcW w:w="4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of $44.2 million for the nine months ended September 30, 2022 reflects income taxes, foreign withholding taxes and minimum taxes. Income tax expense for the nine months ended September 30, 2022 also includes a $16.2 million income tax benefit from the recognition of deferred tax assets we expect to utilize in future years.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Unrecognized tax benefits represent reserves for potential tax deficiencies or reductions in tax benefits that could result from federal, state or foreign tax audits. Gross unrecognized tax benefits decreased from $37.3 million as of December 31, 2021 to $33.8 million as of September 30, 2022.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tax returns that are open to examination in various jurisdictions for tax years 2012-2021. The open years contain matters that could be subject to differing interpretations of applicable tax laws and regulations related to the amount and/or timing of income, deductions and tax credits. There can be no assurance that the outcome of the examinations will be favorable. In certain circumstances where we elect to appeal the results of an examination, we may be required to make tax assessment payments to proceed with the administrative appeal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performance-vested restricted stock units, time-vested restricted stock units and unvested restricted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EPS: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0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20" w:type="dxa"/>
            <w:vAlign w:val="bottom"/>
            <w:gridSpan w:val="5"/>
          </w:tcPr>
          <w:p>
            <w:pPr>
              <w:jc w:val="center"/>
              <w:ind w:right="480"/>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306,081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601,522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426,469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243,746</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awards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156"/>
        </w:trPr>
        <w:tc>
          <w:tcPr>
            <w:tcW w:w="47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number of common shares outstanding -</w:t>
            </w:r>
          </w:p>
        </w:tc>
        <w:tc>
          <w:tcPr>
            <w:tcW w:w="1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246,094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245,942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246,015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245,611</w:t>
            </w:r>
          </w:p>
        </w:tc>
        <w:tc>
          <w:tcPr>
            <w:tcW w:w="0" w:type="dxa"/>
            <w:vAlign w:val="bottom"/>
          </w:tcPr>
          <w:p>
            <w:pPr>
              <w:spacing w:after="0"/>
              <w:rPr>
                <w:sz w:val="1"/>
                <w:szCs w:val="1"/>
                <w:color w:val="auto"/>
              </w:rPr>
            </w:pPr>
          </w:p>
        </w:tc>
      </w:tr>
      <w:tr>
        <w:trPr>
          <w:trHeight w:val="216"/>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shares of common stock that were excluded from diluted EPS because the effect of including these potential shares was anti-dilutive: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3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18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58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0"/>
        </w:trPr>
        <w:tc>
          <w:tcPr>
            <w:tcW w:w="476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300" w:type="dxa"/>
            <w:vAlign w:val="bottom"/>
            <w:gridSpan w:val="3"/>
          </w:tcPr>
          <w:p>
            <w:pPr>
              <w:jc w:val="right"/>
              <w:ind w:right="14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7"/>
                <w:szCs w:val="17"/>
                <w:color w:val="auto"/>
              </w:rPr>
            </w:pPr>
          </w:p>
        </w:tc>
      </w:tr>
      <w:tr>
        <w:trPr>
          <w:trHeight w:val="236"/>
        </w:trPr>
        <w:tc>
          <w:tcPr>
            <w:tcW w:w="5820" w:type="dxa"/>
            <w:vAlign w:val="bottom"/>
            <w:gridSpan w:val="2"/>
            <w:shd w:val="clear" w:color="auto" w:fill="CCEEFF"/>
          </w:tcPr>
          <w:p>
            <w:pPr>
              <w:jc w:val="right"/>
              <w:ind w:right="4288"/>
              <w:spacing w:after="0"/>
              <w:rPr>
                <w:sz w:val="20"/>
                <w:szCs w:val="20"/>
                <w:color w:val="auto"/>
              </w:rPr>
            </w:pPr>
            <w:r>
              <w:rPr>
                <w:rFonts w:ascii="Times New Roman" w:cs="Times New Roman" w:eastAsia="Times New Roman" w:hAnsi="Times New Roman"/>
                <w:sz w:val="18"/>
                <w:szCs w:val="18"/>
                <w:color w:val="auto"/>
              </w:rPr>
              <w:t>Share-based awards</w:t>
            </w:r>
          </w:p>
        </w:tc>
        <w:tc>
          <w:tcPr>
            <w:tcW w:w="8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306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4"/>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8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8"/>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8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Accumulated other comprehensive income (loss) at December 31,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jc w:val="right"/>
              <w:ind w:right="417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0" w:type="dxa"/>
            <w:vAlign w:val="bottom"/>
          </w:tcPr>
          <w:p>
            <w:pPr>
              <w:spacing w:after="0"/>
              <w:rPr>
                <w:sz w:val="1"/>
                <w:szCs w:val="1"/>
                <w:color w:val="auto"/>
              </w:rPr>
            </w:pP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(33,593)</w:t>
            </w:r>
          </w:p>
        </w:tc>
        <w:tc>
          <w:tcPr>
            <w:tcW w:w="0" w:type="dxa"/>
            <w:vAlign w:val="bottom"/>
          </w:tcPr>
          <w:p>
            <w:pPr>
              <w:spacing w:after="0"/>
              <w:rPr>
                <w:sz w:val="1"/>
                <w:szCs w:val="1"/>
                <w:color w:val="auto"/>
              </w:rPr>
            </w:pPr>
          </w:p>
        </w:tc>
      </w:tr>
      <w:tr>
        <w:trPr>
          <w:trHeight w:val="175"/>
        </w:trPr>
        <w:tc>
          <w:tcPr>
            <w:tcW w:w="4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(loss)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(33,561)</w:t>
            </w:r>
          </w:p>
        </w:tc>
        <w:tc>
          <w:tcPr>
            <w:tcW w:w="0" w:type="dxa"/>
            <w:vAlign w:val="bottom"/>
          </w:tcPr>
          <w:p>
            <w:pPr>
              <w:spacing w:after="0"/>
              <w:rPr>
                <w:sz w:val="1"/>
                <w:szCs w:val="1"/>
                <w:color w:val="auto"/>
              </w:rPr>
            </w:pPr>
          </w:p>
        </w:tc>
      </w:tr>
      <w:tr>
        <w:trPr>
          <w:trHeight w:val="155"/>
        </w:trPr>
        <w:tc>
          <w:tcPr>
            <w:tcW w:w="48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income (loss) at September 30,</w:t>
            </w:r>
          </w:p>
        </w:tc>
        <w:tc>
          <w:tcPr>
            <w:tcW w:w="1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jc w:val="right"/>
              <w:ind w:right="41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gridSpan w:val="2"/>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4"/>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gridSpan w:val="8"/>
          </w:tcPr>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8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Accumulated other comprehensive income (loss) at December 31,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jc w:val="right"/>
              <w:ind w:right="417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0" w:type="dxa"/>
            <w:vAlign w:val="bottom"/>
          </w:tcPr>
          <w:p>
            <w:pPr>
              <w:spacing w:after="0"/>
              <w:rPr>
                <w:sz w:val="1"/>
                <w:szCs w:val="1"/>
                <w:color w:val="auto"/>
              </w:rPr>
            </w:pP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0" w:type="dxa"/>
            <w:vAlign w:val="bottom"/>
          </w:tcPr>
          <w:p>
            <w:pPr>
              <w:spacing w:after="0"/>
              <w:rPr>
                <w:sz w:val="1"/>
                <w:szCs w:val="1"/>
                <w:color w:val="auto"/>
              </w:rPr>
            </w:pPr>
          </w:p>
        </w:tc>
      </w:tr>
      <w:tr>
        <w:trPr>
          <w:trHeight w:val="175"/>
        </w:trPr>
        <w:tc>
          <w:tcPr>
            <w:tcW w:w="4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(loss)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0" w:type="dxa"/>
            <w:vAlign w:val="bottom"/>
          </w:tcPr>
          <w:p>
            <w:pPr>
              <w:spacing w:after="0"/>
              <w:rPr>
                <w:sz w:val="1"/>
                <w:szCs w:val="1"/>
                <w:color w:val="auto"/>
              </w:rPr>
            </w:pPr>
          </w:p>
        </w:tc>
      </w:tr>
      <w:tr>
        <w:trPr>
          <w:trHeight w:val="155"/>
        </w:trPr>
        <w:tc>
          <w:tcPr>
            <w:tcW w:w="48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income (loss) at September 30,</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0" w:type="dxa"/>
            <w:vAlign w:val="bottom"/>
          </w:tcPr>
          <w:p>
            <w:pPr>
              <w:spacing w:after="0"/>
              <w:rPr>
                <w:sz w:val="1"/>
                <w:szCs w:val="1"/>
                <w:color w:val="auto"/>
              </w:rPr>
            </w:pPr>
          </w:p>
        </w:tc>
      </w:tr>
      <w:tr>
        <w:trPr>
          <w:trHeight w:val="236"/>
        </w:trPr>
        <w:tc>
          <w:tcPr>
            <w:tcW w:w="4880" w:type="dxa"/>
            <w:vAlign w:val="bottom"/>
            <w:shd w:val="clear" w:color="auto" w:fill="CCEEFF"/>
          </w:tcPr>
          <w:p>
            <w:pPr>
              <w:jc w:val="right"/>
              <w:ind w:right="417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gridSpan w:val="2"/>
            <w:vMerge w:val="continue"/>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other (income) expense, net (Note 3).</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5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a component of net periodic pension cost (Note 12) or other (income) expense, net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available-for-sale debt investments as of September 30, 2022 are available to fund current operations and are recorded at fair value (Note 14).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equivalents and available-for-sale debt investments: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77,220</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48,961</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202,733</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306,454</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303,923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24,561</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279,362</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293,858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284,171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273,251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30,691</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247,259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231,796</w:t>
            </w:r>
          </w:p>
        </w:tc>
        <w:tc>
          <w:tcPr>
            <w:tcW w:w="0" w:type="dxa"/>
            <w:vAlign w:val="bottom"/>
          </w:tcPr>
          <w:p>
            <w:pPr>
              <w:spacing w:after="0"/>
              <w:rPr>
                <w:sz w:val="1"/>
                <w:szCs w:val="1"/>
                <w:color w:val="auto"/>
              </w:rPr>
            </w:pPr>
          </w:p>
        </w:tc>
      </w:tr>
      <w:tr>
        <w:trPr>
          <w:trHeight w:val="223"/>
        </w:trPr>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531,430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288,285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242,711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available-for-sale debt investments as of September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60" w:type="dxa"/>
            <w:vAlign w:val="bottom"/>
          </w:tcPr>
          <w:p>
            <w:pPr>
              <w:spacing w:after="0"/>
              <w:rPr>
                <w:sz w:val="16"/>
                <w:szCs w:val="16"/>
                <w:color w:val="auto"/>
              </w:rPr>
            </w:pPr>
          </w:p>
        </w:tc>
        <w:tc>
          <w:tcPr>
            <w:tcW w:w="12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330,547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328,619</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52,523</w:t>
            </w:r>
          </w:p>
        </w:tc>
      </w:tr>
      <w:tr>
        <w:trPr>
          <w:trHeight w:val="248"/>
        </w:trPr>
        <w:tc>
          <w:tcPr>
            <w:tcW w:w="7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381,142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maturities can differ from contractual maturities due to various factors including the issuers may have the right to call or prepay obligations without call or prepayment penalties.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 amortized cost and the fair market value of our held-to-maturity government bond (Level 1) maturing within a year was $4.1 million. As of December 31, 2021, the amortized cost and the fair market value of our held-to-maturity government bond (Level 1) maturing within a year was $4.7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Factoring of Accounts Receivable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and nine months ended September 30, 2022, we sold receivables totaling $82.3 million and $247.8 million, net of discounts and fees of $0.2 million and $0.6 million, respectively. For the three and nine months ended September 30, 2021, we sold receivables totaling $107.5 million and $319.4 million, net of discounts and fees of $0.2 million and $0.8 million, respectively.</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58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212,483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218,140</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1,748,036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1,711,560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6,663,498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6,277,684</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232,251</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22,125</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74,662</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9,162,463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8,641,716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(6,075,402)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(5,770,658)</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3,087,061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2,871,058</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w:t>
            </w: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6"/>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60" w:type="dxa"/>
            <w:vAlign w:val="bottom"/>
            <w:gridSpan w:val="8"/>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156,192</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145,826</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455,230</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420,503</w:t>
            </w:r>
          </w:p>
        </w:tc>
        <w:tc>
          <w:tcPr>
            <w:tcW w:w="0" w:type="dxa"/>
            <w:vAlign w:val="bottom"/>
          </w:tcPr>
          <w:p>
            <w:pPr>
              <w:spacing w:after="0"/>
              <w:rPr>
                <w:sz w:val="1"/>
                <w:szCs w:val="1"/>
                <w:color w:val="auto"/>
              </w:rPr>
            </w:pPr>
          </w:p>
        </w:tc>
      </w:tr>
      <w:tr>
        <w:trPr>
          <w:trHeight w:val="702"/>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24"/>
                <w:szCs w:val="24"/>
                <w:color w:val="auto"/>
              </w:rPr>
            </w:pPr>
          </w:p>
        </w:tc>
        <w:tc>
          <w:tcPr>
            <w:tcW w:w="158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38,957</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severance plan obligations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65,409</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381,012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422,892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short-term borrowings and long-term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4"/>
          </w:tcPr>
          <w:p>
            <w:pPr>
              <w:jc w:val="right"/>
              <w:ind w:right="125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Amkor Technology, Inc.:</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notes: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6.625% Senior notes, due September 2027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of subsidiaries: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$30.0 million revolving credit facility, applicable bank rate plus 1.11% (1)</w:t>
            </w: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applicable bank rate plus 1.77%, due April 2023</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47,064</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1.85%, due April 2024 (2)</w:t>
            </w: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applicable bank rate plus 1.98%, due December 2028</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2.12%, due December 2028 (3)</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term loans, variable rate (4)</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0.86%, due June 2022</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0.60%, due July 2022</w:t>
            </w: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1.30%, due July 2023</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79,075</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1.35%, due December 2024</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148,592</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1.20%, due December 2025</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75,773</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1.23%, due December 2026</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113,834</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loans, LIBOR plus 1.10%, due March 2024 (5)</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loans, LIBOR plus 0.80%, due June 2025 (6)</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loans, LIBOR plus 0.75%, due 2025 (7)</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75"/>
        </w:trPr>
        <w:tc>
          <w:tcPr>
            <w:tcW w:w="764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$250.0 million senior secured revolving credit facility, LIBOR plus 1.25% - 1.75%, due July 2023</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7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(Singapore) (8)</w:t>
            </w:r>
          </w:p>
        </w:tc>
        <w:tc>
          <w:tcPr>
            <w:tcW w:w="2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Credit facility, TAIFX plus the applicable bank rate, due December 2024 (Taiwan) (9)</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64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$600.0 million senior secured revolving credit facility, applicable bank rate plus 1.75%, due March</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7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2027 (Singapore) (8)</w:t>
            </w:r>
          </w:p>
        </w:tc>
        <w:tc>
          <w:tcPr>
            <w:tcW w:w="2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1,146,775</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deferred debt costs,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(8,779)</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(153,008)</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984,988</w:t>
            </w: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6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we renewed our revolving credit facility agreement for a one-year term with availability of $30.0 million. Principal is payable at maturity or six months after draw of funds, whichever is sooner, and interest is payable monthly in arrears. As of September 30, 2022, $30.0 million was available to be 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left="660" w:hanging="328"/>
        <w:spacing w:after="0" w:line="281"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2021, we entered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 billion term loan agreement with the option to borrow and re-borrow the funds up to six times per year through April 2024. Principal is payable at maturity, and interest is payable monthly, at a fixed rate of 1.85%. As of September 30, 2022, </w:t>
      </w:r>
      <w:r>
        <w:rPr>
          <w:rFonts w:ascii="Arial" w:cs="Arial" w:eastAsia="Arial" w:hAnsi="Arial"/>
          <w:sz w:val="18"/>
          <w:szCs w:val="18"/>
          <w:color w:val="auto"/>
        </w:rPr>
        <w:t>₩</w:t>
      </w:r>
      <w:r>
        <w:rPr>
          <w:rFonts w:ascii="Times New Roman" w:cs="Times New Roman" w:eastAsia="Times New Roman" w:hAnsi="Times New Roman"/>
          <w:sz w:val="18"/>
          <w:szCs w:val="18"/>
          <w:color w:val="auto"/>
        </w:rPr>
        <w:t>80.0 billion, or approximately $56 million, was available to be drawn.</w:t>
      </w:r>
    </w:p>
    <w:p>
      <w:pPr>
        <w:spacing w:after="0" w:line="10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we entered into a term loan agreement with availability of $200.0 million. The loan will mature seven years from the date of the first drawdown, which occurred in December 2021 for $50.0 million. During the nine months ended September 30, 2022, we borrowed the remaining $150.0 million under this loan. Principal is payable in semiannual installments after a three-year grace period from the date of the first drawdown. Interest is payable quarterly at a fixed rate of 2.12%.</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various short-term term loans which mature semiannually. Principal and interest are payable in monthly installments. Interest as of September 30, 2022 is at an annual base rate equal to the Tokyo Interbank Offered Rate plus 0.18% to 0.30% (weighted average of 0.30% as of September 30, 2022). As of September 30, 2022, $4.7 million was available to be drawn.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entered into a borrowing arrangement which includes a $20.0 million term loan and a $30.0 million term loan. For each term loan, principal is payable in semiannual installments of $0.5 million, with the remaining balance due at maturity. Interest is payable quarterly at an annual base rate equal to the London Interbank Offered Rate, as administered by the International Exchange Benchmark Administration (“LIBOR”), plus 1.10% (weighted average of 4.58% as of September 30, 2022).</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we borrowed $40.0 million under two $20.0 million term loans. For each term loan, principal is payable in semiannual installments of $0.5 million, with the remaining balance due at maturity. Interest is payable quarterly at an annual base rate equal to LIBOR plus 0.80% (weighted average of 4.25% as of September 30, 2022).</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and September 2022, we borrowed $60.0 million under two $30.0 million term loans with each maturing in three years. For each term loan, principal is payable in semiannual installments of $0.5 million, with the remaining balance due at maturity. Interest is payable quarterly at an annual base rate equal to LIBOR plus 0.75% (weighted average of 4.16% as of September 30, 2022).</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2018, our subsidiary, Amkor Technology Singapore Holding Pte. Ltd. (“ATSH”), entered into a $250.0 million senior secured revolving credit facility. In March 2022, this agreement was terminated and replaced with a $600.0 million senior secured revolving credit facility entered into by ATSH (the “2022 Singapore Revolver”). The 2022 Singapore Revolver is guaranteed by Amkor Technology, Inc. (“ATI”), Amkor Technology Taiwan Ltd. (“ATT”) and Amkor Advanced Technology Taiwan, Inc. (“AATT”). The maximum borrowing capacity under the 2022 Singapore Revolver is limited to a base amount equal to the lesser of: (1) $600.0 million; and (2) $250.0 million plus a variable amount equal to 37.5% of our consolidated accounts receivable balance. As of September 30, 2022, $600.0 million was available for future borrowings under the 2022 Singapore Revolver.</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our subsidiary, ATT, entered into a $56.0 million borrowing arrangement (the “ATT Loan”). This arrangement included a $20.0 million term loan and a $36.0 million revolving credit facility. In March 2022, in connection with our entry into the 2022 Singapore Revolver, the ATT Loan was amended to reduce the availability of the revolving credit facility from $36.0 million to $15.0 million. As of September 30, 2022, $15.0 million was available for future borrowings under such credit facility.</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our foreign debt is collateralized by the land, buildings, equipment and accounts receivable in the respective locations. As of September 30, 2022 the collateralized debt balance was $561.5 million, of which $382.5 million of assets were pledged as collateral.</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debt of ATI is structurally subordinated in right of payment to all existing and future debt and other liabilities of our subsidiaries. From time to time, ATI, ATT, AATT and ATSH guarantee certain debt of our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governing our indebtedness contain affirmative and negative covenants which restrict our ability to pay dividends and could restrict our operations. These restrictions are determined in part by calculations based upon cumulative net income and do not currently have a material impact on our ability to make dividend payments or stock repurchases.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at September 30, 2022.</w:t>
      </w:r>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Pension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Defined Benefit Pension Plans</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3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0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4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20,083</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8"/>
        </w:trPr>
        <w:tc>
          <w:tcPr>
            <w:tcW w:w="4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(income) expense, net in our Consolidated Statements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sponsor defined contribution pension plans in Korea, Malaysia, Taiwan and the U.S. The following table summarizes our defined contribution expense:</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0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4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40" w:type="dxa"/>
            <w:vAlign w:val="bottom"/>
            <w:gridSpan w:val="4"/>
          </w:tcPr>
          <w:p>
            <w:pPr>
              <w:jc w:val="right"/>
              <w:ind w:right="108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4,893</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18,395</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w:t>
            </w:r>
          </w:p>
        </w:tc>
      </w:tr>
    </w:tbl>
    <w:p>
      <w:pPr>
        <w:spacing w:after="0" w:line="200" w:lineRule="exact"/>
        <w:rPr>
          <w:sz w:val="20"/>
          <w:szCs w:val="20"/>
          <w:color w:val="auto"/>
        </w:rPr>
      </w:pPr>
    </w:p>
    <w:p>
      <w:pPr>
        <w:spacing w:after="0" w:line="2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and December 31, 2021, our foreign exchange forward contracts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660" w:type="dxa"/>
            <w:vAlign w:val="bottom"/>
            <w:gridSpan w:val="2"/>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20" w:type="dxa"/>
            <w:vAlign w:val="bottom"/>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218,940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expenses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396,946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60" w:type="dxa"/>
            <w:vAlign w:val="bottom"/>
          </w:tcPr>
          <w:p>
            <w:pPr>
              <w:spacing w:after="0"/>
              <w:rPr>
                <w:sz w:val="19"/>
                <w:szCs w:val="19"/>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21"/>
                <w:szCs w:val="21"/>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 dollar</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9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forward contracts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2022, the derivatives resulted in a net loss of $29.1 million and $94.2 million, respectively, which were offset by the foreign currency gains associated with the underlying net liabilities. For the three and nine months ended September 30, 2021, the derivatives resulted in a net loss of $11.2 million and $47.0 million, respectively, which were offset by the foreign currency gains associated with the underlying net liabilities.</w:t>
      </w:r>
    </w:p>
    <w:p>
      <w:pPr>
        <w:spacing w:after="0" w:line="3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derivative financial instruments are valued using quoted market prices for similar assets. Counterparties to these derivative contracts are highly rated financial institutions.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measure certain assets and liabilities, including property, plant and equipment and goodwill,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the fair value of our debt for disclosure purposes. The following table presents the fair value of our debt: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20" w:type="dxa"/>
            <w:vAlign w:val="bottom"/>
          </w:tcPr>
          <w:p>
            <w:pPr>
              <w:spacing w:after="0"/>
              <w:rPr>
                <w:sz w:val="16"/>
                <w:szCs w:val="16"/>
                <w:color w:val="auto"/>
              </w:rPr>
            </w:pPr>
          </w:p>
        </w:tc>
        <w:tc>
          <w:tcPr>
            <w:tcW w:w="272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0"/>
        </w:trPr>
        <w:tc>
          <w:tcPr>
            <w:tcW w:w="48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96"/>
        </w:trPr>
        <w:tc>
          <w:tcPr>
            <w:tcW w:w="4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(Level 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520,940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520,436</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facilities and term loans (Level 2)</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627,883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617,560</w:t>
            </w:r>
          </w:p>
        </w:tc>
      </w:tr>
      <w:tr>
        <w:trPr>
          <w:trHeight w:val="248"/>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1,183,538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1,137,996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warrant that our services will be performed in a professional and workmanlike manner and in compliance with our customers’ specifications.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accrue costs for known warranty issues. Historically, our warranty costs have been immaterial.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we have entered into additional lease agreements that have not yet commenced of approximately $24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Amkor is one of the world’s leading providers of outsourced semiconductor packaging and test services. Our financial goal is profitable sales growth. To achieve this goal, we are focused on leveraging our leadership position in services for advanced technologies, optimizing utilization of existing assets, broadening our customer base and selectively growing our scale and scope through strategic investments.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industry leader in developing and commercializing advanced packaging and test technologies, which we believe provide substantial value to our customers. Advanced packages are the preferred choice in both the high-end and the mid-range segments of the smartphone market, which together account for a high portion of mobile phone semiconductor value. The use of advanced packages in automotive applications is growing as well, largely due to new, data-intensive applications, which require increased pin count and performance. In consumer devices, further miniaturization and the integration of new functionality within IoT devices also requires the use of advanced packaging. With the trend towards cloud-based computing, increased speed, performance and power requirements are achieved with innovative advanced packaging solutions. We believe that our technology leadership and this technology transition create significant growth opportunities for us.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look for opportunities in the advanced packaging and test areas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In addition, we are seeking to add new customers and to deepen our engagement with existing customers. This includes an expanded emphasis on the automotive and industrial end market, where semiconductor content continues to grow, and in the analog area for our mainstream wirebond technologies.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identify attractive opportunities to grow our customer base and broaden the markets we serve through expansion of our operations, joint ventures, acquisitions and other strategic investments. For example, we are making preparations to deliver advanced system-in-package (“SiP”) modules and other packaging solutions from a new factory under development in Bac Ninh, Vietnam. We believe that the Bac Ninh site will provide customers with a cost-competitive high-volume manufacturing location and will be attractive to them for supply chain diversification. We believe that taking advantage of these opportunities helps to diversify our revenue streams, improve our profits, broaden our portfolio of services and maintain our technological leadership.</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correction, economic slowdown, recession or subsequent economic recovery.</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full effect of the ongoing Covid-19 pandemic is unknown, and there remains uncertainty related to the prolonged impact that the Covid-19 pandemic will have on the global economy, the semiconductor industry and our business, results of operations and financial condition. As previously disclosed, the Chinese government, as part of a broad effort to mitigate a rising number of Covid-19 cases in Shanghai, mandated a lockdown of our Shanghai factory beginning in March 2022. The Shanghai facility reopened during the second quarter and returned to normal operating levels in late June 2022, which resulted in higher than seasonal growth in net sales for the third quarter compared to the second quarter. Additionally, other national, regional and local governments have implemented, and are likely to continue to implement,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 and we expect these industry constraints and external pressures to persist throughout 2022. For additional information regarding the potential impact of macroeconomic factors, the Covid-19 pandemic and other risks on our business, results of operations and financial condition, please refer to the “Risk Factors” section in Part II, Item 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September 30, 2022, we had cash and cash equivalents and short-term investments of $624.1 million and $308.1 million, respectively.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the “Risk Factors” section in Part II, Item 1A of this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increased $402.7 million, or 24.0%, to $2,083.7 million for the three months ended September 30, 2022, compared to $1,681.0 million for the three months ended September 30, 2021. The increase was primarily due to higher sales of advanced products across all end markets, partially offset by unfavorable foreign currency exchange rate movements.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for the three months ended September 30, 2022 increased to 20.2%, compared to 19.3% for the three months ended September 30, 2021. The increase in gross margin was primarily due to the increase in net sales and favorable foreign currency exchange rate movements, partially offset by an increase in the mix of products sold with higher material content.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margin expanded 270 basis points to 15.3% for the three months ended September 30, 2022 from 12.6% for the three months ended September 30, 2021. The increase in our operating income margin was primarily due to the increase in our gross margin discussed above along with a decrease in research and development expenses due to projects that moved into production.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totaled $575.5 million for the nine months ended September 30, 2022, compared to $491.4 million for the nine months ended September 30, 2021. Our spending was primarily focused on investments in advanced packaging and test equipment.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$545.8 million for the nine months ended September 30, 2022, compared to $631.6 million for the nine months ended September 30, 2021. This decrease was primarily due to changes in working capital and changes in advanced payments to our vendors and from our customers, offset by higher net sales and operating profits.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net sales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35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3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54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0"/>
        </w:trPr>
        <w:tc>
          <w:tcPr>
            <w:tcW w:w="436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Materials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45.6 %</w:t>
            </w: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manufacturing costs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22.1 %</w:t>
            </w: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Amkor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60" w:type="dxa"/>
            <w:vAlign w:val="bottom"/>
            <w:gridSpan w:val="5"/>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00" w:type="dxa"/>
            <w:vAlign w:val="bottom"/>
            <w:gridSpan w:val="5"/>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680" w:type="dxa"/>
            <w:vAlign w:val="bottom"/>
          </w:tcPr>
          <w:p>
            <w:pPr>
              <w:spacing w:after="0"/>
              <w:rPr>
                <w:sz w:val="16"/>
                <w:szCs w:val="16"/>
                <w:color w:val="auto"/>
              </w:rPr>
            </w:pPr>
          </w:p>
        </w:tc>
      </w:tr>
      <w:tr>
        <w:trPr>
          <w:trHeight w:val="23"/>
        </w:trPr>
        <w:tc>
          <w:tcPr>
            <w:tcW w:w="1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1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gridSpan w:val="5"/>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2"/>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2,083,691</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1,681,000</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6"/>
                <w:szCs w:val="16"/>
                <w:color w:val="auto"/>
              </w:rPr>
              <w:t>402,691</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24.0 %  $</w:t>
            </w:r>
          </w:p>
        </w:tc>
        <w:tc>
          <w:tcPr>
            <w:tcW w:w="8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5,185,375</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4,413,685</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rPr>
              <w:t>771,690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17.5 %</w:t>
            </w: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net sales for the three and nine months ended September 30, 2022 compared to the three and nine months ended September 30, 2021, was primarily due to higher sales of advanced products across all end markets, partially offset by unfavorable foreign currency exchange rate movements. The communications end market represented 63% and 46% of the increase for the three and nine months ended September 30, 2022, respectively, driven primarily by content and market share gains within 5G smartphones. The computing end market represented 14% and 23% of the increase for the three and nine months ended September 30, 2022, respectively, driven primarily by a shift to cloud-based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 w:type="dxa"/>
            <w:vAlign w:val="bottom"/>
          </w:tcPr>
          <w:p>
            <w:pPr>
              <w:spacing w:after="0"/>
              <w:rPr>
                <w:sz w:val="16"/>
                <w:szCs w:val="16"/>
                <w:color w:val="auto"/>
              </w:rPr>
            </w:pPr>
          </w:p>
        </w:tc>
        <w:tc>
          <w:tcPr>
            <w:tcW w:w="3620" w:type="dxa"/>
            <w:vAlign w:val="bottom"/>
            <w:gridSpan w:val="5"/>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4"/>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421,228</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324,832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96,396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995,713</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863,186</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132,527</w:t>
            </w: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34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19.3 %</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19.2 %</w:t>
            </w:r>
          </w:p>
        </w:tc>
        <w:tc>
          <w:tcPr>
            <w:tcW w:w="34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19.6 %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bl>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upon product mix, utilization, foreign currency exchange rate movements and seasonality. We have expanded our business in advanced SiP modules, which tend to have higher material costs when compared to our other products. As we continue to increase production of these higher material cost modules, there could be an impact on our profitability, depending on overall utilization.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and gross margin increased for the three months ended September 30, 2022 compared to the three months ended September 30, 2021, primarily due to the increase in net sales and favorable foreign currency exchange rate movements, partially offset by an increase in the mix of products sold with higher material content. While gross profit increased for the nine months ended September 30, 2022 compared to the nine months ended September 30, 2021, gross margin decreased, primarily due to an increase in the mix of products sold with higher material content and the government-mandated lockdown and related underutilization of our Shanghai factory during the second quarter of 2022. The decrease in gross margin was partially offset by the increase in net sales and favorable foreign currency exchange rate movements.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gridSpan w:val="5"/>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80" w:type="dxa"/>
            <w:vAlign w:val="bottom"/>
            <w:gridSpan w:val="5"/>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2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Selling, general and</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67,947</w:t>
            </w:r>
          </w:p>
        </w:tc>
        <w:tc>
          <w:tcPr>
            <w:tcW w:w="3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72,581</w:t>
            </w:r>
          </w:p>
        </w:tc>
        <w:tc>
          <w:tcPr>
            <w:tcW w:w="3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rPr>
              <w:t>(4,634)</w:t>
            </w:r>
          </w:p>
        </w:tc>
        <w:tc>
          <w:tcPr>
            <w:tcW w:w="10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  $</w:t>
            </w:r>
          </w:p>
        </w:tc>
        <w:tc>
          <w:tcPr>
            <w:tcW w:w="84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213,774</w:t>
            </w:r>
          </w:p>
        </w:tc>
        <w:tc>
          <w:tcPr>
            <w:tcW w:w="28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223,538</w:t>
            </w:r>
          </w:p>
        </w:tc>
        <w:tc>
          <w:tcPr>
            <w:tcW w:w="4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shd w:val="clear" w:color="auto" w:fill="CCEEFF"/>
          </w:tcPr>
          <w:p>
            <w:pPr>
              <w:jc w:val="right"/>
              <w:ind w:right="504"/>
              <w:spacing w:after="0"/>
              <w:rPr>
                <w:sz w:val="20"/>
                <w:szCs w:val="20"/>
                <w:color w:val="auto"/>
              </w:rPr>
            </w:pPr>
            <w:r>
              <w:rPr>
                <w:rFonts w:ascii="Times New Roman" w:cs="Times New Roman" w:eastAsia="Times New Roman" w:hAnsi="Times New Roman"/>
                <w:sz w:val="16"/>
                <w:szCs w:val="16"/>
                <w:color w:val="auto"/>
              </w:rPr>
              <w:t>(9,764)</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administrative</w:t>
            </w: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for the three and nine months ended September 30, 2022 compared to the three and nine months ended September 30, 2021, primarily due to favorable foreign currency exchange rate movements. Additionally, a portion of the decrease for the nine months ended September 30, 2022 compared to the nine months ended September 30, 2021 was due to costs incurred for factory consolidation efforts in Japan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5"/>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40" w:type="dxa"/>
            <w:vAlign w:val="bottom"/>
            <w:gridSpan w:val="5"/>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720" w:type="dxa"/>
            <w:vAlign w:val="bottom"/>
          </w:tcPr>
          <w:p>
            <w:pPr>
              <w:spacing w:after="0"/>
              <w:rPr>
                <w:sz w:val="16"/>
                <w:szCs w:val="16"/>
                <w:color w:val="auto"/>
              </w:rPr>
            </w:pPr>
          </w:p>
        </w:tc>
      </w:tr>
      <w:tr>
        <w:trPr>
          <w:trHeight w:val="23"/>
        </w:trPr>
        <w:tc>
          <w:tcPr>
            <w:tcW w:w="2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r>
      <w:tr>
        <w:trPr>
          <w:trHeight w:val="196"/>
        </w:trPr>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33,994</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40,790</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6"/>
                <w:szCs w:val="16"/>
                <w:color w:val="auto"/>
              </w:rPr>
              <w:t>(6,796)</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(16.7)%  $</w:t>
            </w:r>
          </w:p>
        </w:tc>
        <w:tc>
          <w:tcPr>
            <w:tcW w:w="8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109,835</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128,624</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6"/>
                <w:szCs w:val="16"/>
                <w:color w:val="auto"/>
              </w:rPr>
              <w:t>(18,789)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 Research and development expenses for the three and nine months ended September 30, 2022 decreased compared to the three and nine months ended September 30, 2021 due to projects that moved into production, partially offset by new development projects in advanced packaging technologies.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80" w:type="dxa"/>
            <w:vAlign w:val="bottom"/>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740" w:type="dxa"/>
            <w:vAlign w:val="bottom"/>
          </w:tcPr>
          <w:p>
            <w:pPr>
              <w:spacing w:after="0"/>
              <w:rPr>
                <w:sz w:val="16"/>
                <w:szCs w:val="16"/>
                <w:color w:val="auto"/>
              </w:rPr>
            </w:pPr>
          </w:p>
        </w:tc>
      </w:tr>
      <w:tr>
        <w:trPr>
          <w:trHeight w:val="23"/>
        </w:trPr>
        <w:tc>
          <w:tcPr>
            <w:tcW w:w="2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2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96"/>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(12,815)</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debt retirement</w:t>
            </w: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r>
      <w:tr>
        <w:trPr>
          <w:trHeight w:val="212"/>
        </w:trPr>
        <w:tc>
          <w:tcPr>
            <w:tcW w:w="2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expense, net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9,187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24,791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37,825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(13,034)</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
        </w:trPr>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for the three and nine months ended September 30, 2022 compared to the three and nine months ended September 30, 2021, primarily due to an increase in our finance lease obligation balance.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for the three and nine months ended September 30, 2022 compared to the three and nine months ended September 30, 2021, primarily due to higher interest rates on our available-for-sale debt investments.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foreign currency (gain) loss, net for the three and nine months ended September 30, 2022 compared to the three and nine months ended September 30, 2021 were primarily due to the strengthening of the U.S. dollar compared to the foreign currencies of our subsidiaries and the associated impact on our net monetary exposure.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20" w:type="dxa"/>
            <w:vAlign w:val="bottom"/>
          </w:tcPr>
          <w:p>
            <w:pPr>
              <w:spacing w:after="0"/>
              <w:rPr>
                <w:sz w:val="16"/>
                <w:szCs w:val="16"/>
                <w:color w:val="auto"/>
              </w:rPr>
            </w:pPr>
          </w:p>
        </w:tc>
        <w:tc>
          <w:tcPr>
            <w:tcW w:w="3280" w:type="dxa"/>
            <w:vAlign w:val="bottom"/>
            <w:gridSpan w:val="5"/>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3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3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3,643</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17,219</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44,159</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44,875</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for the three and nine months ended September 30, 2022 was reduced by foreign currency exchange rate movements and the inclusion of a $16.2 million income tax benefit from the recognition of deferred tax assets we expect to utilize in the future years.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and 2021, our subsidiaries in Korea and Singapore operated under various tax holidays. The tax holiday granted in the Philippines expired in December 2021. As these tax holidays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 income earned in these jurisdictions will be subject to higher statutory income tax rates, which may cause our effective tax rate to increase.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and debt repurchases,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twelve months.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is affected by, among other factors, volatility in the global economy and credit markets, the performance of our business, our capital expenditure levels, other uses of our cash including any dividends and purchases of stock under any stock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Form 10-Q.</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2022, we had cash and cash equivalents and short-term investments of $932.1 million. Included in our cash and short-term investments balances as of September 30, 2022 is $789.8 million held offshore by our foreign subsidiaries. We have the ability to access cash held offshore by our foreign subsidiaries primarily through the repayment of intercompany debt obligations. If we were to distribute this offshore cash to the U.S. as dividends from our foreign subsidiaries, the dividends generally would not be subject to U.S. federal income tax, but the distributions may be subject to foreign withholding and state income taxes.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2022, our net liability associated with unrecognized tax benefits is $35.0 million. Due to the uncertainty regarding the amount and timing of any future cash outflows associated with our unrecognized tax benefits, we are unable to reasonably estimate the amount and period of ultimate settlement, if any, with the various taxing authorities.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nine months ended September 30, 2022 and 2021, we sold accounts receivable totaling $247.8 million and $319.4 million, net of discounts and fees of $0.6 million and $0.8 million, respectively.</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borrowing capacity under the 2022 Singapore Revolver is limited to a base amount equal to the lesser of: (1) $600.0 million; and (2) $250 million plus a variable amount equal to 37.5% of our consolidated accounts receivable balance. As of September 30, 2022, we had availability of $600.0 million. As of September 30, 2022, our foreign subsidiaries had $645.0 million available for future borrowings under revolving credit facilities, including the 2022 Singapore Revolver, and $60.7 million available to be borrowed under term loan credit facilities for working capital purposes and capital expenditures. For additional information regarding the 2022 Singapore Revolver, please refer to Note 11 to our Consolidated Financial Statements in Part 1,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2022, we had debt of $1,125.1 million, with $123.5 million payable within 12 months. As of September 30, 2022, the interest payment obligations, based on stated coupon rates for fixed rate debt and interest rates applicable at September 30, 2022 for variable rate debt, were $213.7 million during the remaining term of the debt. Interest payment obligations payable within 12 months is $48.0 million. We were in compliance with all debt covenants as of September 30, 2022, and we expect to remain in compliance with these covenants for at least the next twelve months. For additional information regarding our debt arrangements, please refer to Note 11 to our Consolidated Financial Statements in Part 1, Item 1 of this Form 10-Q.</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debt agreements have restrictions on dividend payments and the repurchase of stock and subordinated securities. These restrictions are determined in part by our covenant compliance and on calculations based upon cumulative net income and do not currently have a material impact on our ability to make dividend payments or stock repurchases.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debt of ATI is structurally subordinated in right of payment to all existing and future debt and other liabilities of our subsidiaries. From time to time, ATI, ATT, AATT and ATSH guarantee certain debt of our subsidiaries.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would be subject to the terms of our indentures and other debt agreements, market conditions and other factors.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that covers certain employees that were employed prior to August 1, 2015. As of September 30, 2022, the severance liability was $63.0 million, with $7.1 million payable within 12 months.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us to fund the converted portion of the liability. In addition, as of September 30, 2022, we had foreign pension plan obligations of $48.2 million, for which the timing and actual amount of impact on our future cash flow is uncertain. For additional information regarding our pension and severance plans, please refer to Note 12 to our Consolidated Financial Statements in Part 1, Item 1 of this Form 10-Q and in Note 12 to the 2021 Form 10-K.</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As of September 30, 2022, our total remaining operating lease obligations and finance lease obligations were $155.8 million and $126.0 million, respectively, with $73.1 million and $58.9 million payable within 12 months, respectively. The lease obligations represent our future minimum lease payments including interest payments.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off-balance sheet purchase obligations for capital expenditures, long-term supply contracts and other contractual commitments. As of September 30, 2022, the purchase obligations were $521.0 million, with $501.8 million payable within 12 months.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we paid total quarterly cash dividends of $36.7 million.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previously adopted a stock repurchase program (the “Stock Repurchase Program”) authorizing the repurchase of up to $300.0 million of our common stock, exclusive of any fees, commissions or other expenses. Under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Stock Repurchase Program since 2012. At September 30, 2022, approximately $91.6 million was available to repurchase common stock pursuant to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make significant capital expenditures in order to service the demand of our customers, which are primarily focused on investments in advanced packaging and test equipment. During the nine months ended September 30, 2022, our capital expenditures totaled $575.5 million.</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that our 2022 capital expenditures will be approximately $900 million, approximately $60 million of which we expect to spend on the construction of our new Vietnam factory. Ultimately, the amount of our 2022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subject to risks associated with our capital expenditures, including those discussed in the “Risk Factors” section in Part II, Item 1A of this Form 10-Q under the caption “We make substantial investments in equipment and facilities to support the demand of our customers, which may materially and adversely affect our business if the demand of our customers does not develop as we expect or is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nine months ended September 30, 2022 and 2021,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7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2"/>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7"/>
                <w:szCs w:val="17"/>
                <w:color w:val="auto"/>
              </w:rPr>
            </w:pPr>
          </w:p>
        </w:tc>
      </w:tr>
      <w:tr>
        <w:trPr>
          <w:trHeight w:val="23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545,764</w:t>
            </w:r>
          </w:p>
        </w:tc>
        <w:tc>
          <w:tcPr>
            <w:tcW w:w="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631,619</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(723,216)</w:t>
            </w:r>
          </w:p>
        </w:tc>
        <w:tc>
          <w:tcPr>
            <w:tcW w:w="640" w:type="dxa"/>
            <w:vAlign w:val="bottom"/>
          </w:tcPr>
          <w:p>
            <w:pPr>
              <w:spacing w:after="0"/>
              <w:rPr>
                <w:sz w:val="19"/>
                <w:szCs w:val="19"/>
                <w:color w:val="auto"/>
              </w:rPr>
            </w:pPr>
          </w:p>
        </w:tc>
        <w:tc>
          <w:tcPr>
            <w:tcW w:w="124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rPr>
              <w:t>(636,369)</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6,741</w:t>
            </w: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(136,648)</w:t>
            </w:r>
          </w:p>
        </w:tc>
      </w:tr>
    </w:tbl>
    <w:p>
      <w:pPr>
        <w:spacing w:after="0" w:line="14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cash flow provided by operating activities for the nine months ended September 30, 2022 decreased by $85.9 million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nine months ended September 30, 2021, primarily due to changes in working capital and changes in advanced payments to our vendors and from our customers, offset by higher net sales and operating profits.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cash flow used in investing activities for the nine months ended September 30, 2022 increased by $86.8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2021, primarily due to increased purchases of property, plant and equipment and increased net payments for foreign exchange forward contracts, offset by higher net proceeds from short-term investments. Payments for property, plant and equipment can fluctuate based on timing of purchase, receipt and acceptance of equipment.</w:t>
      </w:r>
    </w:p>
    <w:p>
      <w:pPr>
        <w:spacing w:after="0" w:line="12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net cash provided by financing activities for the nine months ended September 30, 2022 was primarily due to net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in China and Korea, offset by net debt repayments in Japan and the payment of our quarterly dividends. The net cash used in financing activities for the nine months ended September 30, 2021 was primarily due to net debt repayments in Japan and the payment of our quarterly dividends.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prepared in accordance with U.S. GAAP, such as net cash provided by operating activities. Furthermore, our definition of free cash flow may not be comparable to similarly titled measures reported by other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760" w:type="dxa"/>
            <w:vAlign w:val="bottom"/>
            <w:gridSpan w:val="5"/>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7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7"/>
                <w:szCs w:val="17"/>
                <w:color w:val="auto"/>
              </w:rPr>
            </w:pPr>
          </w:p>
        </w:tc>
      </w:tr>
      <w:tr>
        <w:trPr>
          <w:trHeight w:val="23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545,764</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631,619</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(575,502)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(491,425)</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Free cash flow</w:t>
            </w:r>
          </w:p>
        </w:tc>
        <w:tc>
          <w:tcPr>
            <w:tcW w:w="10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(27,047)</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142,916</w:t>
            </w:r>
          </w:p>
        </w:tc>
      </w:tr>
      <w:tr>
        <w:trPr>
          <w:trHeight w:val="20"/>
        </w:trPr>
        <w:tc>
          <w:tcPr>
            <w:tcW w:w="7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dollar is our reporting and functional currency for our subsidiaries, except for our Japan operations, where the Japanese yen is the functional currency. In order to reduce our exposure to foreign currency gains and losses, we generally use natural hedging techniques to reduce foreign currency rate risk. We also use forward contracts to mitigate foreign currency risk of certain monetary assets or liabilities denominated in foreign currencies.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September 30, 2022 to assess the potential impact of fluctuations in exchange rates for all foreign denominated assets and liabilities. Assuming that all foreign currencies appreciated 10% against the U.S. dollar, taking into account our foreign currency forward contracts, our income before taxes for the nine months ended September 30, 2022 would have been approximately $10 million lower, due to the remeasurement of monetary assets and liabilities.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have foreign currency exchange rate exposure on our results of operations. For the nine months ended September 30, 2022, approximately 85% of our net sales were denominated in U.S. dollars. Our remaining net sales were principally denominated in Japanese yen. For the nine months ended September 30, 2022, approximately 55%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September 30, 2022 to assess the potential impact of fluctuations in exchange rates for all foreign denominated sales and operating expenses. Assuming that all foreign currencies appreciated 10% against the U.S. dollar, our operating income for the nine months ended September 30, 2022 would have been approximately $100 million lower.</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impacted by changes in exchange rates at the entity where the local currency is the functional currency. The effect of foreign exchange rate translation for these entities was a loss of $31.5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$11.3 million for the nine months ended September 30, 2022 and 2021, respectively, and was recognized as an adjustment to equity through other comprehensive income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interest rate risk with respect to our available-for-sale debt investments. Our investment portfolio consists of various security types and maturities, with a significant portion of our portfolio having maturity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7 to our Consolidated Financial Statements in Part I, Item 1 of this Form 10-Q.</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interest rates, maturities and fair value of our fixed and variable rate debt as of September 30, 2022:</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1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2022 - Remaining</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1"/>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7"/>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 debt</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27,118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99,489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72,544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83,163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68,101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625,000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975,415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929,453</w:t>
            </w:r>
          </w:p>
        </w:tc>
      </w:tr>
      <w:tr>
        <w:trPr>
          <w:trHeight w:val="195"/>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rate debt</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7,889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9,661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48,000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90,500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156,050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155,879</w:t>
            </w:r>
          </w:p>
        </w:tc>
      </w:tr>
      <w:tr>
        <w:trPr>
          <w:trHeight w:val="196"/>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7"/>
                <w:szCs w:val="17"/>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maturities</w:t>
            </w: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35,007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109,150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120,544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173,663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68,101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625,000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1,131,465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1,085,332</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the fair value of our long-term debt, see Note 14 to our Consolidated Financial Statements in Part I, Item 1 of this Form 10-Q.</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September 30, 2022 and concluded those disclosure controls and procedures were effective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September 30, 2022. There have been no changes in our internal control over financial reporting that occurred during the three months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about legal proceedings is set forth in Note 15 to our Consolidated Financial Statements in Part I, Item 1 of this Form 10-Q and in Note 17 to the 2021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section of this Form 10-Q. You should carefully consider the risks and uncertainties described below, together with all of the other information included in this Form 10-Q, in considering our business and prospects. Many of the following risks and uncertainties have been, and may continue to be, exacerbated by the Covid-19 pandemic and any worsening of the global business and economic environment as a result.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Company-Specific Risk Factors</w:t>
      </w:r>
    </w:p>
    <w:p>
      <w:pPr>
        <w:spacing w:after="0" w:line="175"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cyclical and volatile semiconductor industry and vulnerability to industry downturns and declines in global economic and financial conditions;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quality, availability and delivery times of raw materials, components and equipment;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results and cash 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factories and operations, and risks relating to our customers’ and vendors’ international operations;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established competitors in the packaging and test business, the internal capabilities of integrated device manufacturers (“IDMs”), and new competitors, including foundries;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investments in equipment and facilities to support the demand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difficulty achieving the relatively high-capacity utilization rates necessary to realize satisfactory gross margins given our high percentage of fixed costs;</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absence of backlog and the short-term nature of our customers’ commitments;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downward pressure on the prices of our packaging and test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0"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develop new proprietary technology, protect our proprietary technology, operate without infringing the proprietary rights of others, and implement new technologies;</w:t>
      </w:r>
    </w:p>
    <w:p>
      <w:pPr>
        <w:spacing w:after="0" w:line="108"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warranty claims, product return and liability risks, and the risk of negative publicity if our products fail, as well as the risk of litigation incident to our business;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restrictive covenants in the indentures and agreements governing our current and future indebtedness;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the possibility that we may decrease or suspend our quarterly dividend;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severance plan obligations associated with our manufacturing operations in Korea; and</w:t>
      </w:r>
    </w:p>
    <w:p>
      <w:pPr>
        <w:spacing w:after="0" w:line="14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certain of our stockholders to effectively determine or substantially influence the outcome of matters requiring stockholder approval.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5"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conditions or pandemics, such as the Covid-19 pandemic, impacting labor availability and operating capacity, capital availability, the supply chain and consumer demand for our customers’ products and services;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other governments, such as tariffs, customs, duties, export controls, sanctions and other restrictive trade barriers and national security, data privacy and cybersecurity, antitrust and competition, tax, currency and banking, labor and environmental, health and safety laws;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changes in credit risk;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funding our liquidity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retaining or replacing qualified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development and implementation of changes to, and maintenance and security of, our information technology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integrating diverse operations;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laws, taxing authorities not agreeing with our interpretation of applicable tax laws, including whether we continue to qualify for tax holidays, or any requirements to establish or adjust valuation allowances on deferred tax assets;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health conditions or pandemics, political instability, hostilities or other disruptions.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Company-Specific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packaging and test services are used in volatile industries and industry downturns, and declines in global economic and financial conditions could harm our performance.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consumer electronics, or computing,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declines in global economic and financial conditions have harmed our business in the past, and future global downturns could materially and adversely affect our business. The Covid-19 pandemic and the effects of governmental initiatives to control the pandemic have adversely affected, and may continue to adversely affect, the economies and financial markets of many countries. Although the magnitude of any potential future impact of the Covid-19 pandemic on our business and operations remains uncertain, the continued spread, new variants or potential re-emergence of the Covid-19 pandemic or the occurrence of other epidemics or pandemics, and the imposition of related public health measures and travel and business restrictions may materially and adversely impact our business, financial condition, operating results and cash flows. In addition, we have experienced, and will continue to experience, disruptions to our business operations resulting from quarantines, self-isolations, or other movement and restrictions on the ability of our employees to perform their jobs that may impact our ability to meet customer commitments. As previously disclosed, the Chinese government, as part of a broad effort to mitigate a rising number of Covid-19 cases in Shanghai, mandated a lockdown of our Shanghai factory beginning in March 2022. The Shanghai facility reopened during the second quarter and returned to normal operating levels in late June 2022. Additionally, other national, regional, and local governments have implemented, and may continue to implement,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 and we expect these industry constraints and external pressures to persist throughout 2022.</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difficult to predict the timing, strength or duration of any economic disruption caused by the Covid-19 pandemic or which end markets will experience a slowdown or subsequent economic recovery which, in turn, makes it more challenging for us to forecast our operating results, make business decisions and identify risks that may materially affect our business, sources and uses of cash, financial condition and results of operations. Additionally, if industry conditions deteriorate, we could suffer significant losses, as we have in the past, that could materially and adversely impact our business, liquidity, results of operations, financial condition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the cost, quality or supply of materials or equipment changes adversely.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and the Covid-19 pandemic has created extended lead times for some materials and equipment. To the extent the impact of the Covid-19 pandemic continues or worsens, we anticipate having greater difficulty obtaining, or waiting longer to obtain, certain equipment, supplies and other materials necessary for performance of our services or necessary to increase the services we provide to customers. Furthermore, fire, severe weather, earthquakes, flooding and tsunamis in the past have impacted the supply of specialty chemicals, substrates, silicon wafers, equipment and other supplies to the electronics industry.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 in Ukraine, could have a material adverse effect on our business, financial condition, results of operations and cash flows.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may move their business to other suppliers, and our reputation and business could be materially and adversely affected.</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purchase new packaging and test equipment to maintain and expand our operations. From time to time, increased demand for new equipment may cause lead times to extend beyond those normally required by equipment vendors, and the Covid-19 pandemic has created extended lead times for some equipment.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any of which could have a material adverse effect on our results of operations.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cash flows have varied and may vary significantly as a result of factors that we cannot control.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108" w:lineRule="exact"/>
        <w:rPr>
          <w:sz w:val="20"/>
          <w:szCs w:val="20"/>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quality, availability and delivery times of raw materials, components, equipment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wage inflation, and fluctuations in commodity prices, including gold, copper and other precious metals;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major growth objectives, including transitioning second-wave customers to advanced packages and increasing our share of the automotive and industrial end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capacity and capacity utilization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currency exchange rates, including the current rising interest rate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selling prices which can occur quickly due to the absence of long-term agreements 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the semiconductor packaging and test services that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effective tax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transactions and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product liability claims and the impact of quality excursions and customer disputes and returns;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legal claims, indemnification obligations, judgments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conflicts and government shutdowns, civil disturbances or international events;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natural disasters such as earthquakes, typhoons and volcanic eruptions;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widespread illnesses that may impact our labor force, operations, liquidity, supply chain and end-user demand for products which incorporate semiconductors, such as the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acquisitions and divestitures and difficulties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to support our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end markets or expand our business in existing end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asset write-offs and impairments.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above factors, restrictive trade barriers adopted by U.S. and foreign governments applicable to the semiconductor supply chain, including the recent export rules and regulations adopted by the U.S. government regarding the sale of certain semiconductor chip and chipmaking equipment products to customers in China,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factories and operations in various foreign jurisdictions and many of our customers’ and vendors’ operations are also located outside of the U.S.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packaging and test services through our factories and other operations located in China, Japan, Korea, Malaysia, the Philippines, Portugal, Singapore and Taiwan. Additionally, we are preparing to offer packaging and test services from a new factory under development in Vietnam. Substantially all of our property, plant and equipment is located outside of the United States, and many of our customers and the vendors in our supply chain are also located outside the U.S. The following are some of the risks we face in doing business internationally:</w:t>
      </w:r>
    </w:p>
    <w:p>
      <w:pPr>
        <w:spacing w:after="0" w:line="126" w:lineRule="exact"/>
        <w:rPr>
          <w:sz w:val="20"/>
          <w:szCs w:val="20"/>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recent export rules and regulations applicable to U.S. companies that sell certain semiconductor and chipmaking equipment products to customers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concerns, including widespread outbreak of infectious diseases, such as Covid-19, and governmental responses thereto;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resulting from current or expected inflation or other variations in local economies;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foreign governments in areas such as data privacy, cybersecurity, antitrust and competition, tax, currency and banking, labor, environmental, and health and safety;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other payments by non-U.S. subsidiaries may be subject to prohibitions, limitations or taxes in local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particularly the U.S. dollar to Japanese yen exchange rate for our operations in Japan;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conditions, and the potential for civil unrest, terrorism or other hostilities;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caused by customs brokers or government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 managing foreign operations, including foreign labor disruptions;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contractual rights and protecting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resulting from tax laws in the U.S. and in other jurisdictions;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U.S. Bureau of Industry and Security announced new export control regulations applicable to U.S. semiconductor technology sold in China. The new regulations place limitations on the ability of companies to export certain advanced computing semiconductor chips, as well as chipmaking equipment, by requiring companies to obtain licenses to export such products and equipment into China. Certain of the Company’s competitors may be exempt from the new regulations by virtue of being non-U.S. manufacturers. To the extent required, Amkor would pursue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new restrictions, particularly if our competitors have, or are not required to have, required licenses or authorizations that we have not obtained. It is also possible that government agencies in China or in other countries may adopt retaliatory export control rules in response to the new U.S. regulations, which could further impact our business, liquidity, results of operations, financial condition and cash flows.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Covid-19 pandemic has impacted, and may continue to impact, our operations and the operations of our customers and suppliers as a result of illness, quarantines, facility closures and travel and logistics restrictions in connection with the outbreak. For example, quarantine orders and orders restricting movement have adversely affected, and may in the future adversely affect, our operations in China, the Philippines and Malaysia. Additionally, other national, regional, and local governments have implemented, and may continue to implement,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financial condition. We also remain subject to industry-wide supply constraints and inflationary price pressures, which have resulted in long lead times, rising prices and supply chain disruptions, and we expect these industry constraints and external pressures to persist throughout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competitors in the packaging and test business as well as internal capabilities of IDMs and face competition from new competitors, including foundries.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in the future against our existing or potential competitors, that our customers will not rely on internal sources or foundries for packaging and test services or that our business, liquidity, results of operations, financial condition or cash flows will not be materially and adversely affected by such increased competition.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purchased may not be readily usable to support other customers. If demand is insufficient to fill our capacity, or we are unable to efficiently redeploy such equipment, our capacity utilization and gross profit could be negatively impacted.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high percentage of fixed costs, we may be unable to maintain satisfactory gross margins if we are unable to achieve relatively high-capacity utilization rates.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contractually committed customer demand may materially and adversely affect our sales.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while we generally purchase materials based on Amkor’s commitments to customer forecasts, and our customers are generally responsible for any unused materials we purchase based on such commitments, due to the Covid-19 pandemic and the resulting supply chain constraints and extended lead times, we have been placing an increasing number of our orders for materials in advance of customer forecasts. If we are unable to timely fulfill our customers’ orders, or if we are required to bear the cost of a substantial amount of unused materials, our margins, operating results, financial condition and cash flows could be materially and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there has been downward pressure on the prices of our packaging and test services.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reducing our manufacturing costs, our business, liquidity, results of operations, financial condition and cash flows could be materially and adversely affected.</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2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contaminants in the manufacturing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processes to address environmental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raw materials;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plating services.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and may be challenged, invalidated or circumvented. As a result, such patents may not offer us meaningful protection or provide the commercial advantage for which they were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2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processes or cease to provide the services at issue, which could curtail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non-infringing technologies, which may not be feasible;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warranty claims, product return and liability risks, the risk of economic damage claims and the risk of negative publicity if our packages fail</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packages are incorporated into a number of end products, and our business may be exposed to warranty claims, product return and liability risks, the risk of economic damage claims and the risk of negative publicity if our packages fail.</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the indentures and agreements governing our current and future indebtedness could restrict our operating flexibility.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decrease or suspend our quarterly dividend, and any decrease in or suspension of the dividend could cause our stock price to decline.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October 2020, we have paid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under which we have an accrued liability of $63.0 million as of September 30, 2022.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We have made, and may in the future make, offers to some or all of the covered employees the option to convert from the severance plan to the defined contribution plan. Some employees have accepted previous offers, and future offers to make similar conversions could impact the timing of future payments, reducing our cash flow and materially and adversely affecting our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J. Kim and members of his family can effectively determine or substantially influence the outcome of all matters requiring stockholder approval.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James J. Kim, the Executive Chairman of our Board of Directors, Susan Y. Kim, the Executive Vice Chairman of our Board of Directors, and members of the Kim family and affiliates owned approximately 142.3 million shares, or approximately 58%, of our outstanding common stock. The Kim family also has options to acquire approximately 0.6 million shares. If the options are exercised, the Kim family’s total ownership would be an aggregate of approximately 142.9 million shares, or approximately 58% of our outstanding common stock.</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2013, the Kim family exchanged convertible notes issued by Amkor in 2009 for approximately 49.6 million shares of common stock (the “Convert Shares”). The Convert Shares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impacted, and may continue to impact, the supply chain and consumer demand for our customers’ products and services, and the continued impact on the supply chain and consumer demand may ultimately have a material and adverse effect on our business, results of operations, and financial condition.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impacts of the Covid-19 pandemic have varied, and likely will continue to vary, by location, by industry and by end market. We, our suppliers and our customers have been and may continue to be disrupted by worker illness and absenteeism, quarantines and restrictions on employees’ ability to work, office and factory closures, disruptions to ports and other shipping infrastructure and border closures or other travel or health-related restrictions. There is considerable uncertainty regarding such restrictions and potential future governmental restrictions. Restrictions on our workforce or access to our manufacturing facilities, or similar limitations for our suppliers, or restrictions or disruptions of transportation, such as reduced availability of air transport, port closures, and increased border controls, could limit our capacity to meet customer demand and have a material adverse effect on our business, results of operations and financial condition. Such restrictions and efforts to contain the spread of Covid-19 have caused and may continue to cause disruptions to our supply chain in connection with the sourcing of equipment, supplies and other materials. The resumption of normal business operations after any such restrictions are lifted may be delayed or constrained by lingering effects of the Covid-19 pandemic on our suppliers or customers or both, and additional restrictions may be implemented in response to the emergence of new variants or re-emergence of Covid-19. Additionally, other national, regional, and local governments have implemented, and may continue to implement,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 and we expect these industry constraints and external pressures to persist throughout 2022.</w:t>
      </w:r>
    </w:p>
    <w:p>
      <w:pPr>
        <w:spacing w:after="0" w:line="14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The spread of Covid-19 has caused us to modify our business practices (including corporate hygiene protocols at factories, restricting employee travel and employee work locations and cancelling physical participation in meetings, events and conferences), and we may take further actions as may be required by government authorities or that we determine to be in the best interests of our employees, customers and suppliers. There is no certainty that such measures will be sufficient to mitigate the current or future impacts of the Covid-19 pandemic, and our ability to perform critical functions could be harmed.</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this time, we are unable to predict the future impacts that the Covid-19 pandemic will have on our business, financial condition or results of operations due to various uncertainties, including the duration of the outbreak and the actions that may be taken by governmental authorities and other businesses in response to the Covid-19 pandemic.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have a material adverse effect on our financial condition and prevent us from fulfilling our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substantial amount of debt, and the terms of the agreements governing our indebtedness allow us and our subsidiaries to incur more debt, subject to certain limitations. As of September 30, 2022, our total debt balance was $1,125.1 million, of which $123.5 million was classified as a current liability and $561.5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w:t>
      </w:r>
    </w:p>
    <w:p>
      <w:pPr>
        <w:spacing w:after="0" w:line="171"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fund future working capital, capital expenditures, research and development and other business opportunities, including joint ventures and acquisitions;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volatility of the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any of our competitors that have less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covenants in our indebtedness, our ability to borrow additional funds;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funding liquidity needs.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our current and future customers requires that we incur significant operating expenses and continue to make significant capital expenditures and other investments, and the amount of our capital expenditures for 2022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 of the worldwide banking system and capital markets also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The U.S. Federal Reserve has raised interest rates several times during 2022 and has signaled further rate increases in the near term.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certain customers or reduced orders or pricing from existing customers may have a material adverse effect on our operations and financial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63% of our net sales for the year ended December 31, 2021.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as seen in the automotive end market in 2020, the Covid-19 pandemic and restrictions imposed by governmental authorities to mitigate the spread of Covid-19 in our customers’ end markets may decrease demand for our customers’ products and services, thereby adversely impacting their demand for our services.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trying to attract, retain or replace qualified employees to support our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Other than the agreement with our Chief Executive Officer,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financial results or prevent fraud.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There is a risk that deficiencies may occur that could constitute significant deficiencies or, in the aggregate, a material weakness.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or disruptions to our operations. While we have not experienced a material information security breach in the past, we cannot be sure that such a breach will not occur in the future.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our Japan operations’ information technology systems into our existing systems and processes. We face risks in connection with current and future projects to install or integrate new information technology systems or upgrade our existing systems. These risks include:</w:t>
      </w:r>
    </w:p>
    <w:p>
      <w:pPr>
        <w:spacing w:after="0" w:line="13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design and implementation of the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may exceed our plans and expectations;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as we integrate diverse operations.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2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an acquired company’s standards, practices, systems and controls with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complexity from combining recent acquisitions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losses of key employees or customers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operations, technologies or products;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other resources from other parts of our operations and adverse effects on existing business relationships with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personnel reductions and voluntary retirement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restructuring charges to cover costs associated with facility consolidations and related cost reduction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significant portion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may dilute the ownership of current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known or unknown contingent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new proposals including establishing a global minimum corporate income tax (tested on a jurisdictional basis). Changes in U.S. or foreign tax laws, including new or modified guidance with respect to existing tax laws, could have a material adverse impact on our liquidity, results of operations, financial condition and cash flows.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tax holidays, which will expire in whole or in part at various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future. As those tax holidays expire, we expect that our tax expense will increase as income from those jurisdictions becomes subject to higher statutory income tax rates, thereby reducing our liquidity and cash flow.</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and adversely affect our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liabilities and expenditures could have a material adverse effect on our business, results of operation and financial condition.</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and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gasses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greenhouse gas emissions, reductions in waste and wastewater from operations, additional reporting on the materials and components used in the products for which we perform our services, and the use of renewable energy sources in our factory operations. To comply with these additional requirements, we may need to procure additional equipment or make factory or process changes and our operating costs may increase.</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condition has been adversely affected, and could be adversely affected in the future, by natural disasters and other calamities, health conditions or pandemics, political instability, hostilities or other disruptions.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significant packaging and test services and other operations in China, Japan, Korea, Malaysia, the Philippines, Portugal, Singapore and Taiwan, and we have a new factory under development in Vietnam.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armed conflict, terrorist incidents and other hostilities in regions where we have facilities; and industrial accidents and other events, that could disrupt or even shutdown our operations. While our global manufacturing footprint allows us to shift production to other factories without substantial cost or production delays, certain of our services are currently performed using equipment located in one or a subset of our factories.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September 30, 2022.</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0" w:type="dxa"/>
            <w:vAlign w:val="bottom"/>
          </w:tcPr>
          <w:p>
            <w:pPr>
              <w:spacing w:after="0"/>
              <w:rPr>
                <w:sz w:val="1"/>
                <w:szCs w:val="1"/>
                <w:color w:val="auto"/>
              </w:rPr>
            </w:pPr>
          </w:p>
        </w:tc>
      </w:tr>
      <w:tr>
        <w:trPr>
          <w:trHeight w:val="190"/>
        </w:trPr>
        <w:tc>
          <w:tcPr>
            <w:tcW w:w="1220" w:type="dxa"/>
            <w:vAlign w:val="bottom"/>
            <w:vMerge w:val="continue"/>
          </w:tcPr>
          <w:p>
            <w:pPr>
              <w:spacing w:after="0"/>
              <w:rPr>
                <w:sz w:val="16"/>
                <w:szCs w:val="16"/>
                <w:color w:val="auto"/>
              </w:rPr>
            </w:pP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 Share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46"/>
        </w:trPr>
        <w:tc>
          <w:tcPr>
            <w:tcW w:w="19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4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37"/>
        </w:trPr>
        <w:tc>
          <w:tcPr>
            <w:tcW w:w="198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940" w:type="dxa"/>
            <w:vAlign w:val="bottom"/>
          </w:tcPr>
          <w:p>
            <w:pPr>
              <w:jc w:val="center"/>
              <w:ind w:left="28"/>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190"/>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Programs ($) (b)</w:t>
            </w:r>
          </w:p>
        </w:tc>
      </w:tr>
    </w:tbl>
    <w:p>
      <w:pPr>
        <w:spacing w:after="0" w:line="33" w:lineRule="exact"/>
        <w:rPr>
          <w:sz w:val="20"/>
          <w:szCs w:val="20"/>
          <w:color w:val="auto"/>
        </w:rPr>
      </w:pPr>
    </w:p>
    <w:p>
      <w:pPr>
        <w:sectPr>
          <w:pgSz w:w="11900" w:h="16838" w:orient="portrait"/>
          <w:cols w:equalWidth="0" w:num="2">
            <w:col w:w="6700" w:space="540"/>
            <w:col w:w="40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91,586,032</w:t>
            </w:r>
          </w:p>
        </w:tc>
      </w:tr>
      <w:tr>
        <w:trPr>
          <w:trHeight w:val="23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August 31</w:t>
            </w:r>
          </w:p>
        </w:tc>
        <w:tc>
          <w:tcPr>
            <w:tcW w:w="20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91,586,032</w:t>
            </w:r>
          </w:p>
        </w:tc>
      </w:tr>
      <w:tr>
        <w:trPr>
          <w:trHeight w:val="22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w:t>
            </w:r>
          </w:p>
        </w:tc>
        <w:tc>
          <w:tcPr>
            <w:tcW w:w="206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91,586,032</w:t>
            </w:r>
          </w:p>
        </w:tc>
      </w:tr>
      <w:tr>
        <w:trPr>
          <w:trHeight w:val="22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4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surrendered to us to satisfy tax withholding obligations associated with the shares issued to employees in connection with share-based compensation.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2011, we announced that our Board of Directors had authorized the repurchase of up to $150.0 million of our common stock, exclusive of any fees, commissions or other expenses, under the Stock Repurchase Program. On February 1, 2012, we announced that our Board of Directors had authorized an additional $150.0 million for the repurchase of our common stock under the Stock Repurchase Program, resulting in a total repurchase authorization under the Stock Repurchase Program of $300.0 million. Pursuant to the Stock Repurchase Program, we made no common stock purchases for the three months ended September 30, 2022, and at September 30, 2022, approximately $91.6 million was available for repurchase. Repurchases of our common stock under the Stock Repurchase Program are funded with available cash, and the Stock Repurchase Program may be suspended or discontinued at any time.</w:t>
      </w:r>
    </w:p>
    <w:p>
      <w:pPr>
        <w:spacing w:after="0" w:line="37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62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5"/>
        </w:trPr>
        <w:tc>
          <w:tcPr>
            <w:tcW w:w="114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2060" w:type="dxa"/>
            <w:vAlign w:val="bottom"/>
            <w:tcBorders>
              <w:bottom w:val="single" w:sz="8" w:color="auto"/>
            </w:tcBorders>
          </w:tcPr>
          <w:p>
            <w:pPr>
              <w:jc w:val="center"/>
              <w:ind w:left="1014"/>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22"/>
        </w:trPr>
        <w:tc>
          <w:tcPr>
            <w:tcW w:w="1140" w:type="dxa"/>
            <w:vAlign w:val="bottom"/>
            <w:gridSpan w:val="2"/>
            <w:vMerge w:val="continue"/>
          </w:tcPr>
          <w:p>
            <w:pPr>
              <w:spacing w:after="0"/>
              <w:rPr>
                <w:sz w:val="10"/>
                <w:szCs w:val="10"/>
                <w:color w:val="auto"/>
              </w:rPr>
            </w:pPr>
          </w:p>
        </w:tc>
        <w:tc>
          <w:tcPr>
            <w:tcW w:w="5060" w:type="dxa"/>
            <w:vAlign w:val="bottom"/>
            <w:gridSpan w:val="10"/>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1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60" w:type="dxa"/>
            <w:vAlign w:val="bottom"/>
            <w:tcBorders>
              <w:bottom w:val="single" w:sz="8" w:color="auto"/>
            </w:tcBorders>
            <w:gridSpan w:val="10"/>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5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color w:val="auto"/>
              </w:rPr>
              <w:t>31.1</w:t>
            </w:r>
          </w:p>
        </w:tc>
        <w:tc>
          <w:tcPr>
            <w:tcW w:w="5060" w:type="dxa"/>
            <w:vAlign w:val="bottom"/>
            <w:gridSpan w:val="10"/>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Guillaume Marie Jean Rutten, Chief Executive</w:t>
            </w: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60" w:type="dxa"/>
            <w:vAlign w:val="bottom"/>
          </w:tcPr>
          <w:p>
            <w:pPr>
              <w:jc w:val="center"/>
              <w:ind w:left="1014"/>
              <w:spacing w:after="0" w:line="18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5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8"/>
              </w:rPr>
              <w:t>Officer of Amkor Technology, Inc., pursuant to Rule 13a-14(a)</w:t>
            </w:r>
          </w:p>
        </w:tc>
        <w:tc>
          <w:tcPr>
            <w:tcW w:w="540" w:type="dxa"/>
            <w:vAlign w:val="bottom"/>
            <w:gridSpan w:val="6"/>
          </w:tcPr>
          <w:p>
            <w:pPr>
              <w:ind w:left="60"/>
              <w:spacing w:after="0" w:line="156" w:lineRule="exact"/>
              <w:rPr>
                <w:sz w:val="20"/>
                <w:szCs w:val="20"/>
                <w:color w:val="auto"/>
              </w:rPr>
            </w:pPr>
            <w:r>
              <w:rPr>
                <w:rFonts w:ascii="Times New Roman" w:cs="Times New Roman" w:eastAsia="Times New Roman" w:hAnsi="Times New Roman"/>
                <w:sz w:val="18"/>
                <w:szCs w:val="18"/>
                <w:color w:val="0000FF"/>
              </w:rPr>
              <w:t>under</w:t>
            </w: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98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the Securities Exchange Act of 1934, as amended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31.2</w:t>
            </w:r>
          </w:p>
        </w:tc>
        <w:tc>
          <w:tcPr>
            <w:tcW w:w="5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Megan Faust, Chief Financial Officer of Amkor</w:t>
            </w: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6"/>
              </w:rPr>
              <w:t>Technology, Inc., pursuant to Rule 13a-14(a) under the Securities</w:t>
            </w:r>
          </w:p>
        </w:tc>
        <w:tc>
          <w:tcPr>
            <w:tcW w:w="100" w:type="dxa"/>
            <w:vAlign w:val="bottom"/>
            <w:tcBorders>
              <w:bottom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0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5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92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pursuant to 18 U.S.C. Section 1350, as Adopted Pursuant to Section</w:t>
            </w:r>
          </w:p>
        </w:tc>
        <w:tc>
          <w:tcPr>
            <w:tcW w:w="1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90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6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50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60" w:type="dxa"/>
            <w:vAlign w:val="bottom"/>
          </w:tcPr>
          <w:p>
            <w:pPr>
              <w:jc w:val="center"/>
              <w:ind w:left="1014"/>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6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101.SCH</w:t>
            </w:r>
          </w:p>
        </w:tc>
        <w:tc>
          <w:tcPr>
            <w:tcW w:w="5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101.CAL</w:t>
            </w:r>
          </w:p>
        </w:tc>
        <w:tc>
          <w:tcPr>
            <w:tcW w:w="5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101.LAB</w:t>
            </w:r>
          </w:p>
        </w:tc>
        <w:tc>
          <w:tcPr>
            <w:tcW w:w="5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101.PRE</w:t>
            </w:r>
          </w:p>
        </w:tc>
        <w:tc>
          <w:tcPr>
            <w:tcW w:w="5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101.DEF</w:t>
            </w:r>
          </w:p>
        </w:tc>
        <w:tc>
          <w:tcPr>
            <w:tcW w:w="5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560" w:type="dxa"/>
            <w:vAlign w:val="bottom"/>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506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60" w:type="dxa"/>
            <w:vAlign w:val="bottom"/>
          </w:tcPr>
          <w:p>
            <w:pPr>
              <w:jc w:val="center"/>
              <w:ind w:left="1014"/>
              <w:spacing w:after="0" w:line="181"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management compensatory plan, contract or arrangement.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AMKOR TECHNOLOGY, INC.</w:t>
      </w:r>
    </w:p>
    <w:p>
      <w:pPr>
        <w:spacing w:after="0" w:line="200" w:lineRule="exact"/>
        <w:rPr>
          <w:sz w:val="20"/>
          <w:szCs w:val="20"/>
          <w:color w:val="auto"/>
        </w:rPr>
      </w:pPr>
    </w:p>
    <w:p>
      <w:pPr>
        <w:spacing w:after="0" w:line="214"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Megan Faust</w:t>
            </w:r>
          </w:p>
        </w:tc>
      </w:tr>
      <w:tr>
        <w:trPr>
          <w:trHeight w:val="218"/>
        </w:trPr>
        <w:tc>
          <w:tcPr>
            <w:tcW w:w="7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Megan Faust</w:t>
            </w:r>
          </w:p>
        </w:tc>
      </w:tr>
      <w:tr>
        <w:trPr>
          <w:trHeight w:val="229"/>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57"/>
        </w:trPr>
        <w:tc>
          <w:tcPr>
            <w:tcW w:w="700" w:type="dxa"/>
            <w:vAlign w:val="bottom"/>
          </w:tcPr>
          <w:p>
            <w:pPr>
              <w:spacing w:after="0"/>
              <w:rPr>
                <w:sz w:val="22"/>
                <w:szCs w:val="22"/>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17" w:right="339" w:bottom="1440" w:gutter="0" w:footer="0" w:header="0"/>
        </w:sectPr>
      </w:pPr>
    </w:p>
    <w:bookmarkStart w:id="52" w:name="page53"/>
    <w:bookmarkEnd w:id="52"/>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Guillaume Marie Jean Rutten, certify that:</w:t>
      </w:r>
    </w:p>
    <w:p>
      <w:pPr>
        <w:spacing w:after="0" w:line="9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Megan Faust</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2022</w:t>
      </w:r>
    </w:p>
    <w:p>
      <w:pPr>
        <w:sectPr>
          <w:pgSz w:w="11900" w:h="16838" w:orient="portrait"/>
          <w:cols w:equalWidth="0" w:num="1">
            <w:col w:w="11240"/>
          </w:cols>
          <w:pgMar w:left="320" w:top="144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17" w:lineRule="exact"/>
        <w:rPr>
          <w:sz w:val="20"/>
          <w:szCs w:val="20"/>
          <w:color w:val="auto"/>
        </w:rPr>
      </w:pPr>
    </w:p>
    <w:p>
      <w:pPr>
        <w:jc w:val="center"/>
        <w:ind w:left="340" w:right="19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88"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September 30, 2022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3" w:lineRule="exact"/>
        <w:rPr>
          <w:sz w:val="20"/>
          <w:szCs w:val="20"/>
          <w:color w:val="auto"/>
        </w:rPr>
      </w:pPr>
    </w:p>
    <w:tbl>
      <w:tblPr>
        <w:tblLayout w:type="fixed"/>
        <w:tblInd w:w="6480" w:type="dxa"/>
        <w:tblCellMar>
          <w:top w:w="0" w:type="dxa"/>
          <w:left w:w="0" w:type="dxa"/>
          <w:bottom w:w="0" w:type="dxa"/>
          <w:right w:w="0" w:type="dxa"/>
        </w:tblCellMar>
      </w:tblP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Guillaume Marie Jean Rutten</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3, 2022</w:t>
            </w:r>
          </w:p>
        </w:tc>
      </w:tr>
      <w:tr>
        <w:trPr>
          <w:trHeight w:val="547"/>
        </w:trPr>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Megan Faust</w:t>
            </w:r>
          </w:p>
        </w:tc>
      </w:tr>
      <w:tr>
        <w:trPr>
          <w:trHeight w:val="32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Megan Faust</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600" w:type="dxa"/>
            <w:vAlign w:val="bottom"/>
          </w:tcPr>
          <w:p>
            <w:pPr>
              <w:spacing w:after="0"/>
              <w:rPr>
                <w:sz w:val="23"/>
                <w:szCs w:val="23"/>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3, 2022</w:t>
            </w:r>
          </w:p>
        </w:tc>
      </w:tr>
    </w:tbl>
    <w:p>
      <w:pPr>
        <w:spacing w:after="0" w:line="1" w:lineRule="exact"/>
        <w:rPr>
          <w:sz w:val="20"/>
          <w:szCs w:val="20"/>
          <w:color w:val="auto"/>
        </w:rPr>
      </w:pPr>
    </w:p>
    <w:sectPr>
      <w:pgSz w:w="11900" w:h="16838" w:orient="portrait"/>
      <w:cols w:equalWidth="0" w:num="1">
        <w:col w:w="11240"/>
      </w:cols>
      <w:pgMar w:left="320" w:top="1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6"/>
    </w:lvl>
  </w:abstractNum>
  <w:abstractNum w:abstractNumId="3">
    <w:nsid w:val="41A7C4C9"/>
    <w:multiLevelType w:val="hybridMultilevel"/>
    <w:lvl w:ilvl="0">
      <w:lvlJc w:val="left"/>
      <w:lvlText w:val="(%1)"/>
      <w:numFmt w:val="decimal"/>
      <w:start w:val="22"/>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2"/>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2022-11-03T14:44:14Z</dcterms:created>
  <dcterms:modified xsi:type="dcterms:W3CDTF">2022-11-03T14:44:14Z</dcterms:modified>
</cp:coreProperties>
</file>