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166370</wp:posOffset>
            </wp:positionH>
            <wp:positionV relativeFrom="page">
              <wp:posOffset>474980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380365</wp:posOffset>
            </wp:positionV>
            <wp:extent cx="72294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
                    </a:xfrm>
                    <a:prstGeom prst="rect">
                      <a:avLst/>
                    </a:prstGeom>
                    <a:noFill/>
                  </pic:spPr>
                </pic:pic>
              </a:graphicData>
            </a:graphic>
          </wp:anchor>
        </w:drawing>
        <w:t>UNITED STATES SECURITIES AND EXCHANGE COMMISSION</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315" w:lineRule="exact"/>
        <w:rPr>
          <w:sz w:val="24"/>
          <w:szCs w:val="24"/>
          <w:color w:val="auto"/>
        </w:rPr>
      </w:pPr>
    </w:p>
    <w:p>
      <w:pPr>
        <w:ind w:left="1820" w:right="1280" w:hanging="705"/>
        <w:spacing w:after="0" w:line="256" w:lineRule="auto"/>
        <w:tabs>
          <w:tab w:leader="none" w:pos="1820" w:val="left"/>
        </w:tabs>
        <w:numPr>
          <w:ilvl w:val="0"/>
          <w:numId w:val="1"/>
        </w:numPr>
        <w:rPr>
          <w:rFonts w:ascii="MS PGothic" w:cs="MS PGothic" w:eastAsia="MS PGothic" w:hAnsi="MS PGothic"/>
          <w:sz w:val="18"/>
          <w:szCs w:val="18"/>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 w:lineRule="exact"/>
        <w:rPr>
          <w:sz w:val="24"/>
          <w:szCs w:val="24"/>
          <w:color w:val="auto"/>
        </w:rPr>
      </w:pPr>
    </w:p>
    <w:p>
      <w:pPr>
        <w:ind w:left="182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1820" w:right="1260" w:hanging="705"/>
        <w:spacing w:after="0" w:line="256" w:lineRule="auto"/>
        <w:tabs>
          <w:tab w:leader="none" w:pos="182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ind w:left="1820"/>
              <w:spacing w:after="0"/>
              <w:rPr>
                <w:sz w:val="20"/>
                <w:szCs w:val="20"/>
                <w:color w:val="auto"/>
              </w:rPr>
            </w:pPr>
            <w:r>
              <w:rPr>
                <w:rFonts w:ascii="Arial" w:cs="Arial" w:eastAsia="Arial" w:hAnsi="Arial"/>
                <w:sz w:val="18"/>
                <w:szCs w:val="18"/>
                <w:b w:val="1"/>
                <w:bCs w:val="1"/>
                <w:color w:val="auto"/>
                <w:w w:val="91"/>
              </w:rPr>
              <w:t>For the transition period from</w:t>
            </w:r>
          </w:p>
        </w:tc>
        <w:tc>
          <w:tcPr>
            <w:tcW w:w="2760" w:type="dxa"/>
            <w:vAlign w:val="bottom"/>
          </w:tcPr>
          <w:p>
            <w:pPr>
              <w:ind w:left="440"/>
              <w:spacing w:after="0"/>
              <w:rPr>
                <w:sz w:val="20"/>
                <w:szCs w:val="20"/>
                <w:color w:val="auto"/>
              </w:rPr>
            </w:pPr>
            <w:r>
              <w:rPr>
                <w:rFonts w:ascii="Arial" w:cs="Arial" w:eastAsia="Arial" w:hAnsi="Arial"/>
                <w:sz w:val="18"/>
                <w:szCs w:val="18"/>
                <w:b w:val="1"/>
                <w:bCs w:val="1"/>
                <w:color w:val="auto"/>
              </w:rPr>
              <w:t>to</w:t>
            </w: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160" w:type="dxa"/>
            <w:vAlign w:val="bottom"/>
          </w:tcPr>
          <w:p>
            <w:pPr>
              <w:spacing w:after="0"/>
              <w:rPr>
                <w:sz w:val="24"/>
                <w:szCs w:val="24"/>
                <w:color w:val="auto"/>
              </w:rPr>
            </w:pPr>
          </w:p>
        </w:tc>
        <w:tc>
          <w:tcPr>
            <w:tcW w:w="7260" w:type="dxa"/>
            <w:vAlign w:val="bottom"/>
            <w:gridSpan w:val="2"/>
          </w:tcPr>
          <w:p>
            <w:pPr>
              <w:jc w:val="center"/>
              <w:ind w:right="4057"/>
              <w:spacing w:after="0"/>
              <w:rPr>
                <w:sz w:val="20"/>
                <w:szCs w:val="20"/>
                <w:color w:val="auto"/>
              </w:rPr>
            </w:pPr>
            <w:r>
              <w:rPr>
                <w:rFonts w:ascii="Arial" w:cs="Arial" w:eastAsia="Arial" w:hAnsi="Arial"/>
                <w:sz w:val="18"/>
                <w:szCs w:val="18"/>
                <w:b w:val="1"/>
                <w:bCs w:val="1"/>
                <w:color w:val="auto"/>
                <w:w w:val="90"/>
              </w:rPr>
              <w:t>Commission File Number 000-29472</w:t>
            </w:r>
          </w:p>
        </w:tc>
        <w:tc>
          <w:tcPr>
            <w:tcW w:w="0" w:type="dxa"/>
            <w:vAlign w:val="bottom"/>
          </w:tcPr>
          <w:p>
            <w:pPr>
              <w:spacing w:after="0"/>
              <w:rPr>
                <w:sz w:val="1"/>
                <w:szCs w:val="1"/>
                <w:color w:val="auto"/>
              </w:rPr>
            </w:pPr>
          </w:p>
        </w:tc>
      </w:tr>
      <w:tr>
        <w:trPr>
          <w:trHeight w:val="576"/>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rPr>
              <w:t>AMKOR TECHNOLOGY, INC.</w:t>
            </w: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7260" w:type="dxa"/>
            <w:vAlign w:val="bottom"/>
            <w:gridSpan w:val="2"/>
          </w:tcPr>
          <w:p>
            <w:pPr>
              <w:jc w:val="center"/>
              <w:ind w:right="4077"/>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0" w:type="dxa"/>
            <w:vAlign w:val="bottom"/>
          </w:tcPr>
          <w:p>
            <w:pPr>
              <w:spacing w:after="0"/>
              <w:rPr>
                <w:sz w:val="1"/>
                <w:szCs w:val="1"/>
                <w:color w:val="auto"/>
              </w:rPr>
            </w:pPr>
          </w:p>
        </w:tc>
      </w:tr>
      <w:tr>
        <w:trPr>
          <w:trHeight w:val="358"/>
        </w:trPr>
        <w:tc>
          <w:tcPr>
            <w:tcW w:w="4160" w:type="dxa"/>
            <w:vAlign w:val="bottom"/>
            <w:vMerge w:val="restart"/>
          </w:tcPr>
          <w:p>
            <w:pPr>
              <w:jc w:val="center"/>
              <w:ind w:right="377"/>
              <w:spacing w:after="0"/>
              <w:rPr>
                <w:sz w:val="20"/>
                <w:szCs w:val="20"/>
                <w:color w:val="auto"/>
              </w:rPr>
            </w:pPr>
            <w:r>
              <w:rPr>
                <w:rFonts w:ascii="Arial" w:cs="Arial" w:eastAsia="Arial" w:hAnsi="Arial"/>
                <w:sz w:val="18"/>
                <w:szCs w:val="18"/>
                <w:b w:val="1"/>
                <w:bCs w:val="1"/>
                <w:color w:val="auto"/>
                <w:w w:val="91"/>
              </w:rPr>
              <w:t>Delaware</w:t>
            </w:r>
          </w:p>
        </w:tc>
        <w:tc>
          <w:tcPr>
            <w:tcW w:w="2760" w:type="dxa"/>
            <w:vAlign w:val="bottom"/>
          </w:tcPr>
          <w:p>
            <w:pPr>
              <w:spacing w:after="0"/>
              <w:rPr>
                <w:sz w:val="24"/>
                <w:szCs w:val="24"/>
                <w:color w:val="auto"/>
              </w:rPr>
            </w:pPr>
          </w:p>
        </w:tc>
        <w:tc>
          <w:tcPr>
            <w:tcW w:w="4500" w:type="dxa"/>
            <w:vAlign w:val="bottom"/>
          </w:tcPr>
          <w:p>
            <w:pPr>
              <w:jc w:val="center"/>
              <w:ind w:left="897"/>
              <w:spacing w:after="0"/>
              <w:rPr>
                <w:sz w:val="20"/>
                <w:szCs w:val="20"/>
                <w:color w:val="auto"/>
              </w:rPr>
            </w:pPr>
            <w:r>
              <w:rPr>
                <w:rFonts w:ascii="Arial" w:cs="Arial" w:eastAsia="Arial" w:hAnsi="Arial"/>
                <w:sz w:val="18"/>
                <w:szCs w:val="18"/>
                <w:b w:val="1"/>
                <w:bCs w:val="1"/>
                <w:color w:val="auto"/>
                <w:w w:val="91"/>
              </w:rPr>
              <w:t>23-1722724</w:t>
            </w:r>
          </w:p>
        </w:tc>
        <w:tc>
          <w:tcPr>
            <w:tcW w:w="0" w:type="dxa"/>
            <w:vAlign w:val="bottom"/>
          </w:tcPr>
          <w:p>
            <w:pPr>
              <w:spacing w:after="0"/>
              <w:rPr>
                <w:sz w:val="1"/>
                <w:szCs w:val="1"/>
                <w:color w:val="auto"/>
              </w:rPr>
            </w:pPr>
          </w:p>
        </w:tc>
      </w:tr>
      <w:tr>
        <w:trPr>
          <w:trHeight w:val="149"/>
        </w:trPr>
        <w:tc>
          <w:tcPr>
            <w:tcW w:w="416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4500" w:type="dxa"/>
            <w:vAlign w:val="bottom"/>
          </w:tcPr>
          <w:p>
            <w:pPr>
              <w:jc w:val="center"/>
              <w:ind w:left="897"/>
              <w:spacing w:after="0" w:line="149" w:lineRule="exact"/>
              <w:rPr>
                <w:sz w:val="20"/>
                <w:szCs w:val="20"/>
                <w:color w:val="auto"/>
              </w:rPr>
            </w:pPr>
            <w:r>
              <w:rPr>
                <w:rFonts w:ascii="Arial" w:cs="Arial" w:eastAsia="Arial" w:hAnsi="Arial"/>
                <w:sz w:val="14"/>
                <w:szCs w:val="14"/>
                <w:i w:val="1"/>
                <w:iCs w:val="1"/>
                <w:color w:val="auto"/>
                <w:w w:val="93"/>
              </w:rPr>
              <w:t>(I.R.S. Employer</w:t>
            </w:r>
          </w:p>
        </w:tc>
        <w:tc>
          <w:tcPr>
            <w:tcW w:w="0" w:type="dxa"/>
            <w:vAlign w:val="bottom"/>
          </w:tcPr>
          <w:p>
            <w:pPr>
              <w:spacing w:after="0"/>
              <w:rPr>
                <w:sz w:val="1"/>
                <w:szCs w:val="1"/>
                <w:color w:val="auto"/>
              </w:rPr>
            </w:pPr>
          </w:p>
        </w:tc>
      </w:tr>
      <w:tr>
        <w:trPr>
          <w:trHeight w:val="182"/>
        </w:trPr>
        <w:tc>
          <w:tcPr>
            <w:tcW w:w="4160" w:type="dxa"/>
            <w:vAlign w:val="bottom"/>
          </w:tcPr>
          <w:p>
            <w:pPr>
              <w:jc w:val="center"/>
              <w:ind w:right="377"/>
              <w:spacing w:after="0"/>
              <w:rPr>
                <w:sz w:val="20"/>
                <w:szCs w:val="20"/>
                <w:color w:val="auto"/>
              </w:rPr>
            </w:pPr>
            <w:r>
              <w:rPr>
                <w:rFonts w:ascii="Arial" w:cs="Arial" w:eastAsia="Arial" w:hAnsi="Arial"/>
                <w:sz w:val="14"/>
                <w:szCs w:val="14"/>
                <w:i w:val="1"/>
                <w:iCs w:val="1"/>
                <w:color w:val="auto"/>
                <w:w w:val="95"/>
              </w:rPr>
              <w:t>(State of incorporation)</w:t>
            </w:r>
          </w:p>
        </w:tc>
        <w:tc>
          <w:tcPr>
            <w:tcW w:w="2760" w:type="dxa"/>
            <w:vAlign w:val="bottom"/>
            <w:vMerge w:val="restart"/>
          </w:tcPr>
          <w:p>
            <w:pPr>
              <w:jc w:val="center"/>
              <w:ind w:left="255"/>
              <w:spacing w:after="0"/>
              <w:rPr>
                <w:sz w:val="20"/>
                <w:szCs w:val="20"/>
                <w:color w:val="auto"/>
              </w:rPr>
            </w:pPr>
            <w:r>
              <w:rPr>
                <w:rFonts w:ascii="Arial" w:cs="Arial" w:eastAsia="Arial" w:hAnsi="Arial"/>
                <w:sz w:val="18"/>
                <w:szCs w:val="18"/>
                <w:b w:val="1"/>
                <w:bCs w:val="1"/>
                <w:color w:val="auto"/>
                <w:w w:val="91"/>
              </w:rPr>
              <w:t>2045 East Innovation Circle</w:t>
            </w:r>
          </w:p>
        </w:tc>
        <w:tc>
          <w:tcPr>
            <w:tcW w:w="4500" w:type="dxa"/>
            <w:vAlign w:val="bottom"/>
          </w:tcPr>
          <w:p>
            <w:pPr>
              <w:jc w:val="center"/>
              <w:ind w:left="897"/>
              <w:spacing w:after="0"/>
              <w:rPr>
                <w:sz w:val="20"/>
                <w:szCs w:val="20"/>
                <w:color w:val="auto"/>
              </w:rPr>
            </w:pPr>
            <w:r>
              <w:rPr>
                <w:rFonts w:ascii="Arial" w:cs="Arial" w:eastAsia="Arial" w:hAnsi="Arial"/>
                <w:sz w:val="14"/>
                <w:szCs w:val="14"/>
                <w:i w:val="1"/>
                <w:iCs w:val="1"/>
                <w:color w:val="auto"/>
                <w:w w:val="96"/>
              </w:rPr>
              <w:t>Identification Number)</w:t>
            </w:r>
          </w:p>
        </w:tc>
        <w:tc>
          <w:tcPr>
            <w:tcW w:w="0" w:type="dxa"/>
            <w:vAlign w:val="bottom"/>
          </w:tcPr>
          <w:p>
            <w:pPr>
              <w:spacing w:after="0"/>
              <w:rPr>
                <w:sz w:val="1"/>
                <w:szCs w:val="1"/>
                <w:color w:val="auto"/>
              </w:rPr>
            </w:pPr>
          </w:p>
        </w:tc>
      </w:tr>
      <w:tr>
        <w:trPr>
          <w:trHeight w:val="210"/>
        </w:trPr>
        <w:tc>
          <w:tcPr>
            <w:tcW w:w="416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spacing w:after="0"/>
              <w:rPr>
                <w:sz w:val="18"/>
                <w:szCs w:val="18"/>
                <w:color w:val="auto"/>
              </w:rPr>
            </w:pPr>
          </w:p>
        </w:tc>
        <w:tc>
          <w:tcPr>
            <w:tcW w:w="2760" w:type="dxa"/>
            <w:vAlign w:val="bottom"/>
          </w:tcPr>
          <w:p>
            <w:pPr>
              <w:jc w:val="center"/>
              <w:ind w:left="255"/>
              <w:spacing w:after="0"/>
              <w:rPr>
                <w:sz w:val="20"/>
                <w:szCs w:val="20"/>
                <w:color w:val="auto"/>
              </w:rPr>
            </w:pPr>
            <w:r>
              <w:rPr>
                <w:rFonts w:ascii="Arial" w:cs="Arial" w:eastAsia="Arial" w:hAnsi="Arial"/>
                <w:sz w:val="18"/>
                <w:szCs w:val="18"/>
                <w:b w:val="1"/>
                <w:bCs w:val="1"/>
                <w:color w:val="auto"/>
                <w:w w:val="91"/>
              </w:rPr>
              <w:t>Tempe, AZ 85284</w:t>
            </w:r>
          </w:p>
        </w:tc>
        <w:tc>
          <w:tcPr>
            <w:tcW w:w="4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60" w:type="dxa"/>
            <w:vAlign w:val="bottom"/>
          </w:tcPr>
          <w:p>
            <w:pPr>
              <w:spacing w:after="0"/>
              <w:rPr>
                <w:sz w:val="15"/>
                <w:szCs w:val="15"/>
                <w:color w:val="auto"/>
              </w:rPr>
            </w:pPr>
          </w:p>
        </w:tc>
        <w:tc>
          <w:tcPr>
            <w:tcW w:w="7260" w:type="dxa"/>
            <w:vAlign w:val="bottom"/>
            <w:gridSpan w:val="2"/>
          </w:tcPr>
          <w:p>
            <w:pPr>
              <w:jc w:val="center"/>
              <w:ind w:right="4077"/>
              <w:spacing w:after="0"/>
              <w:rPr>
                <w:sz w:val="20"/>
                <w:szCs w:val="20"/>
                <w:color w:val="auto"/>
              </w:rPr>
            </w:pPr>
            <w:r>
              <w:rPr>
                <w:rFonts w:ascii="Arial" w:cs="Arial" w:eastAsia="Arial" w:hAnsi="Arial"/>
                <w:sz w:val="14"/>
                <w:szCs w:val="14"/>
                <w:i w:val="1"/>
                <w:iCs w:val="1"/>
                <w:color w:val="auto"/>
                <w:w w:val="93"/>
              </w:rPr>
              <w:t>(Address of principal executive offices and zip code)</w:t>
            </w:r>
          </w:p>
        </w:tc>
        <w:tc>
          <w:tcPr>
            <w:tcW w:w="0" w:type="dxa"/>
            <w:vAlign w:val="bottom"/>
          </w:tcPr>
          <w:p>
            <w:pPr>
              <w:spacing w:after="0"/>
              <w:rPr>
                <w:sz w:val="1"/>
                <w:szCs w:val="1"/>
                <w:color w:val="auto"/>
              </w:rPr>
            </w:pPr>
          </w:p>
        </w:tc>
      </w:tr>
      <w:tr>
        <w:trPr>
          <w:trHeight w:val="323"/>
        </w:trPr>
        <w:tc>
          <w:tcPr>
            <w:tcW w:w="4160" w:type="dxa"/>
            <w:vAlign w:val="bottom"/>
          </w:tcPr>
          <w:p>
            <w:pPr>
              <w:spacing w:after="0"/>
              <w:rPr>
                <w:sz w:val="24"/>
                <w:szCs w:val="24"/>
                <w:color w:val="auto"/>
              </w:rPr>
            </w:pPr>
          </w:p>
        </w:tc>
        <w:tc>
          <w:tcPr>
            <w:tcW w:w="2760" w:type="dxa"/>
            <w:vAlign w:val="bottom"/>
          </w:tcPr>
          <w:p>
            <w:pPr>
              <w:jc w:val="center"/>
              <w:ind w:left="275"/>
              <w:spacing w:after="0"/>
              <w:rPr>
                <w:sz w:val="20"/>
                <w:szCs w:val="20"/>
                <w:color w:val="auto"/>
              </w:rPr>
            </w:pPr>
            <w:r>
              <w:rPr>
                <w:rFonts w:ascii="Arial" w:cs="Arial" w:eastAsia="Arial" w:hAnsi="Arial"/>
                <w:sz w:val="18"/>
                <w:szCs w:val="18"/>
                <w:b w:val="1"/>
                <w:bCs w:val="1"/>
                <w:color w:val="auto"/>
                <w:w w:val="90"/>
              </w:rPr>
              <w:t>(480) 821-5000</w:t>
            </w:r>
          </w:p>
        </w:tc>
        <w:tc>
          <w:tcPr>
            <w:tcW w:w="4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4160" w:type="dxa"/>
            <w:vAlign w:val="bottom"/>
          </w:tcPr>
          <w:p>
            <w:pPr>
              <w:spacing w:after="0"/>
              <w:rPr>
                <w:sz w:val="18"/>
                <w:szCs w:val="18"/>
                <w:color w:val="auto"/>
              </w:rPr>
            </w:pPr>
          </w:p>
        </w:tc>
        <w:tc>
          <w:tcPr>
            <w:tcW w:w="7260" w:type="dxa"/>
            <w:vAlign w:val="bottom"/>
            <w:gridSpan w:val="2"/>
          </w:tcPr>
          <w:p>
            <w:pPr>
              <w:jc w:val="center"/>
              <w:ind w:right="4077"/>
              <w:spacing w:after="0"/>
              <w:rPr>
                <w:sz w:val="20"/>
                <w:szCs w:val="20"/>
                <w:color w:val="auto"/>
              </w:rPr>
            </w:pPr>
            <w:r>
              <w:rPr>
                <w:rFonts w:ascii="Arial" w:cs="Arial" w:eastAsia="Arial" w:hAnsi="Arial"/>
                <w:sz w:val="14"/>
                <w:szCs w:val="14"/>
                <w:i w:val="1"/>
                <w:iCs w:val="1"/>
                <w:color w:val="auto"/>
                <w:w w:val="92"/>
              </w:rPr>
              <w:t>(Registrant’s telephone number, including area code)</w:t>
            </w:r>
          </w:p>
        </w:tc>
        <w:tc>
          <w:tcPr>
            <w:tcW w:w="0" w:type="dxa"/>
            <w:vAlign w:val="bottom"/>
          </w:tcPr>
          <w:p>
            <w:pPr>
              <w:spacing w:after="0"/>
              <w:rPr>
                <w:sz w:val="1"/>
                <w:szCs w:val="1"/>
                <w:color w:val="auto"/>
              </w:rPr>
            </w:pPr>
          </w:p>
        </w:tc>
      </w:tr>
      <w:tr>
        <w:trPr>
          <w:trHeight w:val="216"/>
        </w:trPr>
        <w:tc>
          <w:tcPr>
            <w:tcW w:w="114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0" w:type="dxa"/>
            <w:vAlign w:val="bottom"/>
          </w:tcPr>
          <w:p>
            <w:pPr>
              <w:spacing w:after="0"/>
              <w:rPr>
                <w:sz w:val="1"/>
                <w:szCs w:val="1"/>
                <w:color w:val="auto"/>
              </w:rPr>
            </w:pPr>
          </w:p>
        </w:tc>
      </w:tr>
      <w:tr>
        <w:trPr>
          <w:trHeight w:val="431"/>
        </w:trPr>
        <w:tc>
          <w:tcPr>
            <w:tcW w:w="4160" w:type="dxa"/>
            <w:vAlign w:val="bottom"/>
          </w:tcPr>
          <w:p>
            <w:pPr>
              <w:jc w:val="center"/>
              <w:ind w:right="57"/>
              <w:spacing w:after="0"/>
              <w:rPr>
                <w:sz w:val="20"/>
                <w:szCs w:val="20"/>
                <w:color w:val="auto"/>
              </w:rPr>
            </w:pPr>
            <w:r>
              <w:rPr>
                <w:rFonts w:ascii="Arial" w:cs="Arial" w:eastAsia="Arial" w:hAnsi="Arial"/>
                <w:sz w:val="18"/>
                <w:szCs w:val="18"/>
                <w:b w:val="1"/>
                <w:bCs w:val="1"/>
                <w:color w:val="auto"/>
                <w:w w:val="89"/>
              </w:rPr>
              <w:t>Title of Each Class</w:t>
            </w:r>
          </w:p>
        </w:tc>
        <w:tc>
          <w:tcPr>
            <w:tcW w:w="2760" w:type="dxa"/>
            <w:vAlign w:val="bottom"/>
          </w:tcPr>
          <w:p>
            <w:pPr>
              <w:jc w:val="center"/>
              <w:ind w:right="795"/>
              <w:spacing w:after="0"/>
              <w:rPr>
                <w:sz w:val="20"/>
                <w:szCs w:val="20"/>
                <w:color w:val="auto"/>
              </w:rPr>
            </w:pPr>
            <w:r>
              <w:rPr>
                <w:rFonts w:ascii="Arial" w:cs="Arial" w:eastAsia="Arial" w:hAnsi="Arial"/>
                <w:sz w:val="18"/>
                <w:szCs w:val="18"/>
                <w:b w:val="1"/>
                <w:bCs w:val="1"/>
                <w:color w:val="auto"/>
                <w:w w:val="91"/>
              </w:rPr>
              <w:t>Trading Symbol</w:t>
            </w:r>
          </w:p>
        </w:tc>
        <w:tc>
          <w:tcPr>
            <w:tcW w:w="4500" w:type="dxa"/>
            <w:vAlign w:val="bottom"/>
          </w:tcPr>
          <w:p>
            <w:pPr>
              <w:jc w:val="center"/>
              <w:ind w:right="657"/>
              <w:spacing w:after="0"/>
              <w:rPr>
                <w:sz w:val="20"/>
                <w:szCs w:val="20"/>
                <w:color w:val="auto"/>
              </w:rPr>
            </w:pPr>
            <w:r>
              <w:rPr>
                <w:rFonts w:ascii="Arial" w:cs="Arial" w:eastAsia="Arial" w:hAnsi="Arial"/>
                <w:sz w:val="18"/>
                <w:szCs w:val="18"/>
                <w:b w:val="1"/>
                <w:bCs w:val="1"/>
                <w:color w:val="auto"/>
                <w:w w:val="89"/>
              </w:rPr>
              <w:t>Name of Each Exchange on Which Registered</w:t>
            </w:r>
          </w:p>
        </w:tc>
        <w:tc>
          <w:tcPr>
            <w:tcW w:w="0" w:type="dxa"/>
            <w:vAlign w:val="bottom"/>
          </w:tcPr>
          <w:p>
            <w:pPr>
              <w:spacing w:after="0"/>
              <w:rPr>
                <w:sz w:val="1"/>
                <w:szCs w:val="1"/>
                <w:color w:val="auto"/>
              </w:rPr>
            </w:pPr>
          </w:p>
        </w:tc>
      </w:tr>
      <w:tr>
        <w:trPr>
          <w:trHeight w:val="27"/>
        </w:trPr>
        <w:tc>
          <w:tcPr>
            <w:tcW w:w="4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4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160" w:type="dxa"/>
            <w:vAlign w:val="bottom"/>
          </w:tcPr>
          <w:p>
            <w:pPr>
              <w:jc w:val="center"/>
              <w:ind w:right="37"/>
              <w:spacing w:after="0"/>
              <w:rPr>
                <w:sz w:val="20"/>
                <w:szCs w:val="20"/>
                <w:color w:val="auto"/>
              </w:rPr>
            </w:pPr>
            <w:r>
              <w:rPr>
                <w:rFonts w:ascii="Arial" w:cs="Arial" w:eastAsia="Arial" w:hAnsi="Arial"/>
                <w:sz w:val="18"/>
                <w:szCs w:val="18"/>
                <w:color w:val="auto"/>
                <w:w w:val="90"/>
              </w:rPr>
              <w:t>Common Stock, $0.001 par value</w:t>
            </w:r>
          </w:p>
        </w:tc>
        <w:tc>
          <w:tcPr>
            <w:tcW w:w="2760" w:type="dxa"/>
            <w:vAlign w:val="bottom"/>
          </w:tcPr>
          <w:p>
            <w:pPr>
              <w:jc w:val="center"/>
              <w:ind w:right="815"/>
              <w:spacing w:after="0"/>
              <w:rPr>
                <w:sz w:val="20"/>
                <w:szCs w:val="20"/>
                <w:color w:val="auto"/>
              </w:rPr>
            </w:pPr>
            <w:r>
              <w:rPr>
                <w:rFonts w:ascii="Arial" w:cs="Arial" w:eastAsia="Arial" w:hAnsi="Arial"/>
                <w:sz w:val="18"/>
                <w:szCs w:val="18"/>
                <w:color w:val="auto"/>
              </w:rPr>
              <w:t>AMKR</w:t>
            </w:r>
          </w:p>
        </w:tc>
        <w:tc>
          <w:tcPr>
            <w:tcW w:w="4500" w:type="dxa"/>
            <w:vAlign w:val="bottom"/>
          </w:tcPr>
          <w:p>
            <w:pPr>
              <w:jc w:val="center"/>
              <w:ind w:right="657"/>
              <w:spacing w:after="0"/>
              <w:rPr>
                <w:sz w:val="20"/>
                <w:szCs w:val="20"/>
                <w:color w:val="auto"/>
              </w:rPr>
            </w:pPr>
            <w:r>
              <w:rPr>
                <w:rFonts w:ascii="Arial" w:cs="Arial" w:eastAsia="Arial" w:hAnsi="Arial"/>
                <w:sz w:val="18"/>
                <w:szCs w:val="18"/>
                <w:color w:val="auto"/>
                <w:w w:val="92"/>
              </w:rPr>
              <w:t>The NASDAQ Global Select Market</w:t>
            </w:r>
          </w:p>
        </w:tc>
        <w:tc>
          <w:tcPr>
            <w:tcW w:w="0" w:type="dxa"/>
            <w:vAlign w:val="bottom"/>
          </w:tcPr>
          <w:p>
            <w:pPr>
              <w:spacing w:after="0"/>
              <w:rPr>
                <w:sz w:val="1"/>
                <w:szCs w:val="1"/>
                <w:color w:val="auto"/>
              </w:rPr>
            </w:pPr>
          </w:p>
        </w:tc>
      </w:tr>
    </w:tbl>
    <w:p>
      <w:pPr>
        <w:spacing w:after="0" w:line="67"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8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p>
      <w:pPr>
        <w:jc w:val="both"/>
        <w:ind w:right="20" w:firstLine="230"/>
        <w:spacing w:after="0" w:line="241"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 Emerging growth company o 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75" w:lineRule="exact"/>
        <w:rPr>
          <w:sz w:val="24"/>
          <w:szCs w:val="24"/>
          <w:color w:val="auto"/>
        </w:rPr>
      </w:pPr>
    </w:p>
    <w:p>
      <w:pPr>
        <w:ind w:right="2240"/>
        <w:spacing w:after="0" w:line="300"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o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outstanding shares of the registrant’s Common Stock as of April 26, 2019 was 239,627,109.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172085</wp:posOffset>
            </wp:positionV>
            <wp:extent cx="72294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714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86360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103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2019</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77" w:lineRule="exact"/>
        <w:rPr>
          <w:sz w:val="20"/>
          <w:szCs w:val="20"/>
          <w:color w:val="auto"/>
        </w:rPr>
      </w:pPr>
    </w:p>
    <w:tbl>
      <w:tblPr>
        <w:tblLayout w:type="fixed"/>
        <w:tblInd w:w="136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r>
      <w:tr>
        <w:trPr>
          <w:trHeight w:val="189"/>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160" w:type="dxa"/>
            <w:vAlign w:val="bottom"/>
            <w:gridSpan w:val="11"/>
          </w:tcPr>
          <w:p>
            <w:pPr>
              <w:jc w:val="center"/>
              <w:ind w:right="2780"/>
              <w:spacing w:after="0" w:line="189" w:lineRule="exact"/>
              <w:rPr>
                <w:rFonts w:ascii="Arial" w:cs="Arial" w:eastAsia="Arial" w:hAnsi="Arial"/>
                <w:sz w:val="18"/>
                <w:szCs w:val="18"/>
                <w:b w:val="1"/>
                <w:bCs w:val="1"/>
                <w:color w:val="0000FF"/>
                <w:w w:val="94"/>
              </w:rPr>
            </w:pPr>
            <w:hyperlink w:anchor="page3">
              <w:r>
                <w:rPr>
                  <w:rFonts w:ascii="Arial" w:cs="Arial" w:eastAsia="Arial" w:hAnsi="Arial"/>
                  <w:sz w:val="18"/>
                  <w:szCs w:val="18"/>
                  <w:b w:val="1"/>
                  <w:bCs w:val="1"/>
                  <w:color w:val="0000FF"/>
                  <w:w w:val="94"/>
                </w:rPr>
                <w:t>PART I. Financial Information</w:t>
              </w:r>
            </w:hyperlink>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Item 1.</w:t>
              </w:r>
            </w:hyperlink>
          </w:p>
        </w:tc>
        <w:tc>
          <w:tcPr>
            <w:tcW w:w="240" w:type="dxa"/>
            <w:vAlign w:val="bottom"/>
            <w:gridSpan w:val="2"/>
          </w:tcPr>
          <w:p>
            <w:pPr>
              <w:spacing w:after="0"/>
              <w:rPr>
                <w:sz w:val="21"/>
                <w:szCs w:val="21"/>
                <w:color w:val="auto"/>
              </w:rPr>
            </w:pPr>
          </w:p>
        </w:tc>
        <w:tc>
          <w:tcPr>
            <w:tcW w:w="2400" w:type="dxa"/>
            <w:vAlign w:val="bottom"/>
            <w:gridSpan w:val="7"/>
          </w:tcPr>
          <w:p>
            <w:pPr>
              <w:spacing w:after="0"/>
              <w:rPr>
                <w:rFonts w:ascii="Arial" w:cs="Arial" w:eastAsia="Arial" w:hAnsi="Arial"/>
                <w:sz w:val="18"/>
                <w:szCs w:val="18"/>
                <w:color w:val="0000FF"/>
                <w:w w:val="90"/>
              </w:rPr>
            </w:pPr>
            <w:hyperlink w:anchor="page3">
              <w:r>
                <w:rPr>
                  <w:rFonts w:ascii="Arial" w:cs="Arial" w:eastAsia="Arial" w:hAnsi="Arial"/>
                  <w:sz w:val="18"/>
                  <w:szCs w:val="18"/>
                  <w:color w:val="0000FF"/>
                  <w:w w:val="90"/>
                </w:rPr>
                <w:t>Financial Statements (unaudited)</w:t>
              </w:r>
            </w:hyperlink>
          </w:p>
        </w:tc>
        <w:tc>
          <w:tcPr>
            <w:tcW w:w="2380" w:type="dxa"/>
            <w:vAlign w:val="bottom"/>
            <w:tcBorders>
              <w:top w:val="single" w:sz="8" w:color="0000FF"/>
            </w:tcBorders>
            <w:gridSpan w:val="5"/>
          </w:tcPr>
          <w:p>
            <w:pPr>
              <w:spacing w:after="0"/>
              <w:rPr>
                <w:sz w:val="21"/>
                <w:szCs w:val="21"/>
                <w:color w:val="auto"/>
              </w:rPr>
            </w:pPr>
          </w:p>
        </w:tc>
        <w:tc>
          <w:tcPr>
            <w:tcW w:w="2780" w:type="dxa"/>
            <w:vAlign w:val="bottom"/>
            <w:gridSpan w:val="6"/>
          </w:tcPr>
          <w:p>
            <w:pPr>
              <w:spacing w:after="0"/>
              <w:rPr>
                <w:sz w:val="21"/>
                <w:szCs w:val="21"/>
                <w:color w:val="auto"/>
              </w:rPr>
            </w:pPr>
          </w:p>
        </w:tc>
        <w:tc>
          <w:tcPr>
            <w:tcW w:w="42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140" w:type="dxa"/>
            <w:vAlign w:val="bottom"/>
            <w:gridSpan w:val="14"/>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Consolidated Statements of Income - Three Months Ended March 31, 2019 and 2018</w:t>
              </w:r>
            </w:hyperlink>
          </w:p>
        </w:tc>
        <w:tc>
          <w:tcPr>
            <w:tcW w:w="1420" w:type="dxa"/>
            <w:vAlign w:val="bottom"/>
            <w:gridSpan w:val="4"/>
          </w:tcPr>
          <w:p>
            <w:pPr>
              <w:spacing w:after="0"/>
              <w:rPr>
                <w:sz w:val="21"/>
                <w:szCs w:val="21"/>
                <w:color w:val="auto"/>
              </w:rPr>
            </w:pPr>
          </w:p>
        </w:tc>
        <w:tc>
          <w:tcPr>
            <w:tcW w:w="420" w:type="dxa"/>
            <w:vAlign w:val="bottom"/>
            <w:gridSpan w:val="4"/>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Consolidated Statements of Comprehensive Income - Three Months Ended March 31, 2019 and 2018</w:t>
              </w:r>
            </w:hyperlink>
          </w:p>
        </w:tc>
        <w:tc>
          <w:tcPr>
            <w:tcW w:w="420" w:type="dxa"/>
            <w:vAlign w:val="bottom"/>
            <w:gridSpan w:val="4"/>
          </w:tcPr>
          <w:p>
            <w:pPr>
              <w:jc w:val="right"/>
              <w:ind w:right="40"/>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160" w:type="dxa"/>
            <w:vAlign w:val="bottom"/>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Balance Sheets - March 31, 2019 and December 31, 2018</w:t>
              </w:r>
            </w:hyperlink>
          </w:p>
        </w:tc>
        <w:tc>
          <w:tcPr>
            <w:tcW w:w="2120" w:type="dxa"/>
            <w:vAlign w:val="bottom"/>
            <w:gridSpan w:val="4"/>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gridSpan w:val="4"/>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EE"/>
                <w:w w:val="94"/>
              </w:rPr>
            </w:pPr>
            <w:hyperlink w:anchor="page6">
              <w:r>
                <w:rPr>
                  <w:rFonts w:ascii="Arial" w:cs="Arial" w:eastAsia="Arial" w:hAnsi="Arial"/>
                  <w:sz w:val="18"/>
                  <w:szCs w:val="18"/>
                  <w:color w:val="0000EE"/>
                  <w:w w:val="94"/>
                </w:rPr>
                <w:t>Consolidated Statements of Stockholders’ Equity — Three Months Ended March 31, 2019 and 2018</w:t>
              </w:r>
            </w:hyperlink>
          </w:p>
        </w:tc>
        <w:tc>
          <w:tcPr>
            <w:tcW w:w="420" w:type="dxa"/>
            <w:vAlign w:val="bottom"/>
            <w:gridSpan w:val="4"/>
          </w:tcPr>
          <w:p>
            <w:pPr>
              <w:jc w:val="right"/>
              <w:ind w:right="40"/>
              <w:spacing w:after="0"/>
              <w:rPr>
                <w:rFonts w:ascii="Arial" w:cs="Arial" w:eastAsia="Arial" w:hAnsi="Arial"/>
                <w:sz w:val="18"/>
                <w:szCs w:val="18"/>
                <w:color w:val="0000EE"/>
              </w:rPr>
            </w:pPr>
            <w:hyperlink w:anchor="page6">
              <w:r>
                <w:rPr>
                  <w:rFonts w:ascii="Arial" w:cs="Arial" w:eastAsia="Arial" w:hAnsi="Arial"/>
                  <w:sz w:val="18"/>
                  <w:szCs w:val="18"/>
                  <w:color w:val="0000EE"/>
                </w:rPr>
                <w:t>5</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EE"/>
                <w:w w:val="92"/>
              </w:rPr>
            </w:pPr>
            <w:hyperlink w:anchor="page7">
              <w:r>
                <w:rPr>
                  <w:rFonts w:ascii="Arial" w:cs="Arial" w:eastAsia="Arial" w:hAnsi="Arial"/>
                  <w:sz w:val="18"/>
                  <w:szCs w:val="18"/>
                  <w:color w:val="0000EE"/>
                  <w:w w:val="92"/>
                </w:rPr>
                <w:t>Condensed Consolidated Statements of Cash Flows - Three Months Ended March 31, 2019 and 2018</w:t>
              </w:r>
            </w:hyperlink>
          </w:p>
        </w:tc>
        <w:tc>
          <w:tcPr>
            <w:tcW w:w="420" w:type="dxa"/>
            <w:vAlign w:val="bottom"/>
            <w:gridSpan w:val="4"/>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160" w:type="dxa"/>
            <w:vAlign w:val="bottom"/>
            <w:gridSpan w:val="9"/>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4120" w:type="dxa"/>
            <w:vAlign w:val="bottom"/>
            <w:gridSpan w:val="8"/>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gridSpan w:val="4"/>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Item 2.</w:t>
              </w:r>
            </w:hyperlink>
          </w:p>
        </w:tc>
        <w:tc>
          <w:tcPr>
            <w:tcW w:w="120" w:type="dxa"/>
            <w:vAlign w:val="bottom"/>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FF"/>
              </w:rPr>
            </w:pPr>
            <w:hyperlink w:anchor="page19">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FF"/>
              </w:rPr>
            </w:pPr>
            <w:hyperlink w:anchor="page19">
              <w:r>
                <w:rPr>
                  <w:rFonts w:ascii="Arial" w:cs="Arial" w:eastAsia="Arial" w:hAnsi="Arial"/>
                  <w:sz w:val="18"/>
                  <w:szCs w:val="18"/>
                  <w:color w:val="0000FF"/>
                </w:rPr>
                <w:t>18</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shd w:val="clear" w:color="auto" w:fill="0000FF"/>
          </w:tcPr>
          <w:p>
            <w:pPr>
              <w:spacing w:after="0" w:line="20" w:lineRule="exact"/>
              <w:rPr>
                <w:sz w:val="1"/>
                <w:szCs w:val="1"/>
                <w:color w:val="auto"/>
              </w:rPr>
            </w:pPr>
          </w:p>
        </w:tc>
        <w:tc>
          <w:tcPr>
            <w:tcW w:w="1780" w:type="dxa"/>
            <w:vAlign w:val="bottom"/>
            <w:gridSpan w:val="4"/>
            <w:shd w:val="clear" w:color="auto" w:fill="0000FF"/>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6">
              <w:r>
                <w:rPr>
                  <w:rFonts w:ascii="Arial" w:cs="Arial" w:eastAsia="Arial" w:hAnsi="Arial"/>
                  <w:sz w:val="18"/>
                  <w:szCs w:val="18"/>
                  <w:color w:val="0000FF"/>
                  <w:w w:val="90"/>
                </w:rPr>
                <w:t>Item 3.</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FF"/>
              </w:rPr>
            </w:pPr>
            <w:hyperlink w:anchor="page26">
              <w:r>
                <w:rPr>
                  <w:rFonts w:ascii="Arial" w:cs="Arial" w:eastAsia="Arial" w:hAnsi="Arial"/>
                  <w:sz w:val="18"/>
                  <w:szCs w:val="18"/>
                  <w:color w:val="0000FF"/>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8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27">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38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26</w:t>
              </w:r>
            </w:hyperlink>
          </w:p>
        </w:tc>
        <w:tc>
          <w:tcPr>
            <w:tcW w:w="40" w:type="dxa"/>
            <w:vAlign w:val="bottom"/>
          </w:tcPr>
          <w:p>
            <w:pPr>
              <w:spacing w:after="0"/>
              <w:rPr>
                <w:sz w:val="21"/>
                <w:szCs w:val="21"/>
                <w:color w:val="auto"/>
              </w:rPr>
            </w:pPr>
          </w:p>
        </w:tc>
      </w:tr>
      <w:tr>
        <w:trPr>
          <w:trHeight w:val="574"/>
        </w:trPr>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10"/>
          </w:tcPr>
          <w:p>
            <w:pPr>
              <w:jc w:val="center"/>
              <w:ind w:right="2880"/>
              <w:spacing w:after="0"/>
              <w:rPr>
                <w:rFonts w:ascii="Arial" w:cs="Arial" w:eastAsia="Arial" w:hAnsi="Arial"/>
                <w:sz w:val="18"/>
                <w:szCs w:val="18"/>
                <w:b w:val="1"/>
                <w:bCs w:val="1"/>
                <w:color w:val="0000FF"/>
                <w:w w:val="96"/>
              </w:rPr>
            </w:pPr>
            <w:hyperlink w:anchor="page28">
              <w:r>
                <w:rPr>
                  <w:rFonts w:ascii="Arial" w:cs="Arial" w:eastAsia="Arial" w:hAnsi="Arial"/>
                  <w:sz w:val="18"/>
                  <w:szCs w:val="18"/>
                  <w:b w:val="1"/>
                  <w:bCs w:val="1"/>
                  <w:color w:val="0000FF"/>
                  <w:w w:val="96"/>
                </w:rPr>
                <w:t>PART II. Other Information</w:t>
              </w:r>
            </w:hyperlink>
          </w:p>
        </w:tc>
        <w:tc>
          <w:tcPr>
            <w:tcW w:w="20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250"/>
        </w:trPr>
        <w:tc>
          <w:tcPr>
            <w:tcW w:w="640" w:type="dxa"/>
            <w:vAlign w:val="bottom"/>
            <w:gridSpan w:val="2"/>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w:t>
              </w:r>
            </w:hyperlink>
          </w:p>
        </w:tc>
        <w:tc>
          <w:tcPr>
            <w:tcW w:w="120" w:type="dxa"/>
            <w:vAlign w:val="bottom"/>
          </w:tcPr>
          <w:p>
            <w:pPr>
              <w:spacing w:after="0"/>
              <w:rPr>
                <w:sz w:val="21"/>
                <w:szCs w:val="21"/>
                <w:color w:val="auto"/>
              </w:rPr>
            </w:pPr>
          </w:p>
        </w:tc>
        <w:tc>
          <w:tcPr>
            <w:tcW w:w="2500" w:type="dxa"/>
            <w:vAlign w:val="bottom"/>
            <w:gridSpan w:val="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2180" w:type="dxa"/>
            <w:vAlign w:val="bottom"/>
            <w:tcBorders>
              <w:top w:val="single" w:sz="8" w:color="0000FF"/>
            </w:tcBorders>
            <w:gridSpan w:val="3"/>
          </w:tcPr>
          <w:p>
            <w:pPr>
              <w:spacing w:after="0"/>
              <w:rPr>
                <w:sz w:val="21"/>
                <w:szCs w:val="21"/>
                <w:color w:val="auto"/>
              </w:rPr>
            </w:pPr>
          </w:p>
        </w:tc>
        <w:tc>
          <w:tcPr>
            <w:tcW w:w="2880" w:type="dxa"/>
            <w:vAlign w:val="bottom"/>
            <w:gridSpan w:val="7"/>
          </w:tcPr>
          <w:p>
            <w:pPr>
              <w:spacing w:after="0"/>
              <w:rPr>
                <w:sz w:val="21"/>
                <w:szCs w:val="21"/>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760" w:type="dxa"/>
            <w:vAlign w:val="bottom"/>
            <w:gridSpan w:val="3"/>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1A.</w:t>
              </w:r>
            </w:hyperlink>
          </w:p>
        </w:tc>
        <w:tc>
          <w:tcPr>
            <w:tcW w:w="7560" w:type="dxa"/>
            <w:vAlign w:val="bottom"/>
            <w:gridSpan w:val="18"/>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Risk Factors</w:t>
              </w:r>
            </w:hyperlink>
          </w:p>
        </w:tc>
        <w:tc>
          <w:tcPr>
            <w:tcW w:w="38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27</w:t>
              </w:r>
            </w:hyperlink>
          </w:p>
        </w:tc>
        <w:tc>
          <w:tcPr>
            <w:tcW w:w="40" w:type="dxa"/>
            <w:vAlign w:val="bottom"/>
          </w:tcPr>
          <w:p>
            <w:pPr>
              <w:spacing w:after="0"/>
              <w:rPr>
                <w:sz w:val="21"/>
                <w:szCs w:val="2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2.</w:t>
              </w:r>
            </w:hyperlink>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tcBorders>
              <w:left w:val="single" w:sz="8" w:color="0000FF"/>
            </w:tcBorders>
            <w:gridSpan w:val="4"/>
            <w:shd w:val="clear" w:color="auto" w:fill="0000FF"/>
          </w:tcPr>
          <w:p>
            <w:pPr>
              <w:spacing w:after="0" w:line="20" w:lineRule="exact"/>
              <w:rPr>
                <w:sz w:val="1"/>
                <w:szCs w:val="1"/>
                <w:color w:val="auto"/>
              </w:rPr>
            </w:pPr>
          </w:p>
        </w:tc>
        <w:tc>
          <w:tcPr>
            <w:tcW w:w="3200" w:type="dxa"/>
            <w:vAlign w:val="bottom"/>
            <w:gridSpan w:val="8"/>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3.</w:t>
              </w:r>
            </w:hyperlink>
          </w:p>
        </w:tc>
        <w:tc>
          <w:tcPr>
            <w:tcW w:w="240" w:type="dxa"/>
            <w:vAlign w:val="bottom"/>
            <w:gridSpan w:val="2"/>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Defaults Upon Senior Securities</w:t>
              </w:r>
            </w:hyperlink>
          </w:p>
        </w:tc>
        <w:tc>
          <w:tcPr>
            <w:tcW w:w="3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524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4.</w:t>
              </w:r>
            </w:hyperlink>
          </w:p>
        </w:tc>
        <w:tc>
          <w:tcPr>
            <w:tcW w:w="240" w:type="dxa"/>
            <w:vAlign w:val="bottom"/>
            <w:gridSpan w:val="2"/>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Mine Safety Disclosures</w:t>
              </w:r>
            </w:hyperlink>
          </w:p>
        </w:tc>
        <w:tc>
          <w:tcPr>
            <w:tcW w:w="3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40" w:type="dxa"/>
            <w:vAlign w:val="bottom"/>
          </w:tcPr>
          <w:p>
            <w:pPr>
              <w:spacing w:after="0"/>
              <w:rPr>
                <w:sz w:val="21"/>
                <w:szCs w:val="21"/>
                <w:color w:val="auto"/>
              </w:rPr>
            </w:pP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780" w:type="dxa"/>
            <w:vAlign w:val="bottom"/>
            <w:gridSpan w:val="1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4">
              <w:r>
                <w:rPr>
                  <w:rFonts w:ascii="Arial" w:cs="Arial" w:eastAsia="Arial" w:hAnsi="Arial"/>
                  <w:sz w:val="18"/>
                  <w:szCs w:val="18"/>
                  <w:color w:val="0000FF"/>
                  <w:w w:val="90"/>
                </w:rPr>
                <w:t>Item 5.</w:t>
              </w:r>
            </w:hyperlink>
          </w:p>
        </w:tc>
        <w:tc>
          <w:tcPr>
            <w:tcW w:w="240" w:type="dxa"/>
            <w:vAlign w:val="bottom"/>
            <w:gridSpan w:val="2"/>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Other Information</w:t>
              </w:r>
            </w:hyperlink>
          </w:p>
        </w:tc>
        <w:tc>
          <w:tcPr>
            <w:tcW w:w="380" w:type="dxa"/>
            <w:vAlign w:val="bottom"/>
            <w:gridSpan w:val="3"/>
          </w:tcPr>
          <w:p>
            <w:pPr>
              <w:jc w:val="right"/>
              <w:spacing w:after="0"/>
              <w:rPr>
                <w:rFonts w:ascii="Arial" w:cs="Arial" w:eastAsia="Arial" w:hAnsi="Arial"/>
                <w:sz w:val="18"/>
                <w:szCs w:val="18"/>
                <w:color w:val="0000FF"/>
              </w:rPr>
            </w:pPr>
            <w:hyperlink w:anchor="page44">
              <w:r>
                <w:rPr>
                  <w:rFonts w:ascii="Arial" w:cs="Arial" w:eastAsia="Arial" w:hAnsi="Arial"/>
                  <w:sz w:val="18"/>
                  <w:szCs w:val="18"/>
                  <w:color w:val="0000FF"/>
                </w:rPr>
                <w:t>43</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 w:type="dxa"/>
            <w:vAlign w:val="bottom"/>
          </w:tcPr>
          <w:p>
            <w:pPr>
              <w:spacing w:after="0"/>
              <w:rPr>
                <w:rFonts w:ascii="Arial" w:cs="Arial" w:eastAsia="Arial" w:hAnsi="Arial"/>
                <w:sz w:val="18"/>
                <w:szCs w:val="18"/>
                <w:color w:val="0000FF"/>
                <w:w w:val="90"/>
              </w:rPr>
            </w:pPr>
            <w:hyperlink w:anchor="page45">
              <w:r>
                <w:rPr>
                  <w:rFonts w:ascii="Arial" w:cs="Arial" w:eastAsia="Arial" w:hAnsi="Arial"/>
                  <w:sz w:val="18"/>
                  <w:szCs w:val="18"/>
                  <w:color w:val="0000FF"/>
                  <w:w w:val="90"/>
                </w:rPr>
                <w:t>Item 6.</w:t>
              </w:r>
            </w:hyperlink>
          </w:p>
        </w:tc>
        <w:tc>
          <w:tcPr>
            <w:tcW w:w="240" w:type="dxa"/>
            <w:vAlign w:val="bottom"/>
            <w:gridSpan w:val="2"/>
          </w:tcPr>
          <w:p>
            <w:pPr>
              <w:spacing w:after="0"/>
              <w:rPr>
                <w:sz w:val="21"/>
                <w:szCs w:val="21"/>
                <w:color w:val="auto"/>
              </w:rPr>
            </w:pPr>
          </w:p>
        </w:tc>
        <w:tc>
          <w:tcPr>
            <w:tcW w:w="7560" w:type="dxa"/>
            <w:vAlign w:val="bottom"/>
            <w:gridSpan w:val="18"/>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Exhibits</w:t>
              </w:r>
            </w:hyperlink>
          </w:p>
        </w:tc>
        <w:tc>
          <w:tcPr>
            <w:tcW w:w="380" w:type="dxa"/>
            <w:vAlign w:val="bottom"/>
            <w:gridSpan w:val="3"/>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44</w:t>
              </w:r>
            </w:hyperlink>
          </w:p>
        </w:tc>
        <w:tc>
          <w:tcPr>
            <w:tcW w:w="40" w:type="dxa"/>
            <w:vAlign w:val="bottom"/>
          </w:tcPr>
          <w:p>
            <w:pPr>
              <w:spacing w:after="0"/>
              <w:rPr>
                <w:sz w:val="21"/>
                <w:szCs w:val="2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gridSpan w:val="3"/>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6960" w:type="dxa"/>
            <w:vAlign w:val="bottom"/>
            <w:gridSpan w:val="16"/>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800" w:type="dxa"/>
            <w:vAlign w:val="bottom"/>
            <w:tcBorders>
              <w:bottom w:val="single" w:sz="8" w:color="0000FF"/>
            </w:tcBorders>
            <w:gridSpan w:val="4"/>
          </w:tcPr>
          <w:p>
            <w:pPr>
              <w:spacing w:after="0"/>
              <w:rPr>
                <w:rFonts w:ascii="Arial" w:cs="Arial" w:eastAsia="Arial" w:hAnsi="Arial"/>
                <w:sz w:val="18"/>
                <w:szCs w:val="18"/>
                <w:color w:val="0000FF"/>
                <w:w w:val="88"/>
              </w:rPr>
            </w:pPr>
            <w:hyperlink w:anchor="page46">
              <w:r>
                <w:rPr>
                  <w:rFonts w:ascii="Arial" w:cs="Arial" w:eastAsia="Arial" w:hAnsi="Arial"/>
                  <w:sz w:val="18"/>
                  <w:szCs w:val="18"/>
                  <w:color w:val="0000FF"/>
                  <w:w w:val="88"/>
                </w:rPr>
                <w:t>Signatures</w:t>
              </w:r>
            </w:hyperlink>
          </w:p>
        </w:tc>
        <w:tc>
          <w:tcPr>
            <w:tcW w:w="7520" w:type="dxa"/>
            <w:vAlign w:val="bottom"/>
            <w:gridSpan w:val="17"/>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46">
              <w:r>
                <w:rPr>
                  <w:rFonts w:ascii="Arial" w:cs="Arial" w:eastAsia="Arial" w:hAnsi="Arial"/>
                  <w:sz w:val="18"/>
                  <w:szCs w:val="18"/>
                  <w:color w:val="0000FF"/>
                  <w:w w:val="79"/>
                </w:rPr>
                <w:t>45</w:t>
              </w:r>
            </w:hyperlink>
          </w:p>
        </w:tc>
        <w:tc>
          <w:tcPr>
            <w:tcW w:w="40" w:type="dxa"/>
            <w:vAlign w:val="bottom"/>
          </w:tcPr>
          <w:p>
            <w:pPr>
              <w:spacing w:after="0"/>
              <w:rPr>
                <w:sz w:val="21"/>
                <w:szCs w:val="21"/>
                <w:color w:val="auto"/>
              </w:rPr>
            </w:pPr>
          </w:p>
        </w:tc>
      </w:tr>
    </w:tbl>
    <w:p>
      <w:pPr>
        <w:spacing w:after="0" w:line="2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report contains forward-looking statements within the meaning of the federal securities laws, including but not limited to statements regarding: (1) the amount, timing and focus of our expected capital investments in 2019 including expenditures in support of advanced packaging and test equipment, (2) our ability to fund our operating activities and financial requirements for the next twelve months, (3) the effect of changes in revenue levels and capacity utilization on our gross margin, (4) the focus of our research and development activities, (5) the anticipated impact of the Tax Cuts and Jobs Act (the "Tax Act") on our taxes, (6) the grant and expiration of tax holidays in jurisdictions in which we operate and expectations regarding our effective tax rate and the availability of tax incentives, (7) the creation or release of valuation allowances related to taxes in the future, (8) our repurchase or repayment of outstanding debt or the conversion of debt in the future, (9) payment of dividends, (10) compliance with our covenants, (11) expected contributions to foreign pension plans,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in mobile and automotive devices and our technology leadership and potential growth in this market, and (18) other statements that are not historical facts. In some cases, you can identify forward-looking statements by terminology such as “may,” “will,” “should,” “expects,” “plans,” “anticipates,” “believes,” “estimates,” “predicts,” “potential,” “continue,” “intend” or the negative of these terms or other comparable terminology. Because such statements include risks and uncertainties, actual results may differ materially from those anticipated in such forward-looking statements as a result of various factors, including those set forth in the following report as well as in Part II, Item 1A of this Quarterly Report on Form 10-Q.</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53"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7480" w:type="dxa"/>
            <w:vAlign w:val="bottom"/>
          </w:tcPr>
          <w:p>
            <w:pPr>
              <w:jc w:val="center"/>
              <w:ind w:left="213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75"/>
        </w:trPr>
        <w:tc>
          <w:tcPr>
            <w:tcW w:w="8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4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4"/>
        </w:trPr>
        <w:tc>
          <w:tcPr>
            <w:tcW w:w="860" w:type="dxa"/>
            <w:vAlign w:val="bottom"/>
          </w:tcPr>
          <w:p>
            <w:pPr>
              <w:spacing w:after="0"/>
              <w:rPr>
                <w:sz w:val="24"/>
                <w:szCs w:val="24"/>
                <w:color w:val="auto"/>
              </w:rPr>
            </w:pPr>
          </w:p>
        </w:tc>
        <w:tc>
          <w:tcPr>
            <w:tcW w:w="7480" w:type="dxa"/>
            <w:vAlign w:val="bottom"/>
          </w:tcPr>
          <w:p>
            <w:pPr>
              <w:jc w:val="center"/>
              <w:ind w:left="2150"/>
              <w:spacing w:after="0"/>
              <w:rPr>
                <w:sz w:val="20"/>
                <w:szCs w:val="20"/>
                <w:color w:val="auto"/>
              </w:rPr>
            </w:pPr>
            <w:r>
              <w:rPr>
                <w:rFonts w:ascii="Arial" w:cs="Arial" w:eastAsia="Arial" w:hAnsi="Arial"/>
                <w:sz w:val="18"/>
                <w:szCs w:val="18"/>
                <w:b w:val="1"/>
                <w:bCs w:val="1"/>
                <w:color w:val="auto"/>
              </w:rPr>
              <w:t>AMKOR TECHNOLOGY, INC.</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860" w:type="dxa"/>
            <w:vAlign w:val="bottom"/>
          </w:tcPr>
          <w:p>
            <w:pPr>
              <w:spacing w:after="0"/>
              <w:rPr>
                <w:sz w:val="18"/>
                <w:szCs w:val="18"/>
                <w:color w:val="auto"/>
              </w:rPr>
            </w:pPr>
          </w:p>
        </w:tc>
        <w:tc>
          <w:tcPr>
            <w:tcW w:w="7480" w:type="dxa"/>
            <w:vAlign w:val="bottom"/>
          </w:tcPr>
          <w:p>
            <w:pPr>
              <w:jc w:val="center"/>
              <w:ind w:left="2150"/>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7480" w:type="dxa"/>
            <w:vAlign w:val="bottom"/>
          </w:tcPr>
          <w:p>
            <w:pPr>
              <w:jc w:val="center"/>
              <w:ind w:left="213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9"/>
        </w:trPr>
        <w:tc>
          <w:tcPr>
            <w:tcW w:w="8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4"/>
        </w:trPr>
        <w:tc>
          <w:tcPr>
            <w:tcW w:w="86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6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9"/>
              </w:rPr>
              <w:t>(In thousands, except per share data)</w:t>
            </w:r>
          </w:p>
        </w:tc>
      </w:tr>
      <w:tr>
        <w:trPr>
          <w:trHeight w:val="256"/>
        </w:trPr>
        <w:tc>
          <w:tcPr>
            <w:tcW w:w="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74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894,964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1,025,319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774,203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867,548</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120,761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157,771</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71,587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80,723</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35,754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40,929</w:t>
            </w: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107,341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121,652</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36,119</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19,273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20,011</w:t>
            </w: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3,432</w:t>
            </w:r>
          </w:p>
        </w:tc>
      </w:tr>
      <w:tr>
        <w:trPr>
          <w:trHeight w:val="237"/>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Total other expense, net</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14,708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23,443</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Income (loss) before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12,676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21,380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2,481</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10,195</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9,544</w:t>
            </w:r>
          </w:p>
        </w:tc>
      </w:tr>
      <w:tr>
        <w:trPr>
          <w:trHeight w:val="20"/>
        </w:trPr>
        <w:tc>
          <w:tcPr>
            <w:tcW w:w="8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 per common share: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304"/>
        </w:trPr>
        <w:tc>
          <w:tcPr>
            <w:tcW w:w="8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74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0.04</w:t>
            </w:r>
          </w:p>
        </w:tc>
      </w:tr>
      <w:tr>
        <w:trPr>
          <w:trHeight w:val="251"/>
        </w:trPr>
        <w:tc>
          <w:tcPr>
            <w:tcW w:w="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9"/>
              </w:rPr>
              <w:t>Diluted</w:t>
            </w:r>
          </w:p>
        </w:tc>
        <w:tc>
          <w:tcPr>
            <w:tcW w:w="7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0.04</w:t>
            </w:r>
          </w:p>
        </w:tc>
      </w:tr>
      <w:tr>
        <w:trPr>
          <w:trHeight w:val="20"/>
        </w:trPr>
        <w:tc>
          <w:tcPr>
            <w:tcW w:w="834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11"/>
        </w:trPr>
        <w:tc>
          <w:tcPr>
            <w:tcW w:w="86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Shares used in computing per common share amounts: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60" w:type="dxa"/>
            <w:vAlign w:val="bottom"/>
          </w:tcPr>
          <w:p>
            <w:pPr>
              <w:ind w:left="280"/>
              <w:spacing w:after="0"/>
              <w:rPr>
                <w:sz w:val="20"/>
                <w:szCs w:val="20"/>
                <w:color w:val="auto"/>
              </w:rPr>
            </w:pPr>
            <w:r>
              <w:rPr>
                <w:rFonts w:ascii="Arial" w:cs="Arial" w:eastAsia="Arial" w:hAnsi="Arial"/>
                <w:sz w:val="18"/>
                <w:szCs w:val="18"/>
                <w:color w:val="auto"/>
              </w:rPr>
              <w:t>Basic</w:t>
            </w:r>
          </w:p>
        </w:tc>
        <w:tc>
          <w:tcPr>
            <w:tcW w:w="7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239,414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239,214</w:t>
            </w:r>
          </w:p>
        </w:tc>
      </w:tr>
      <w:tr>
        <w:trPr>
          <w:trHeight w:val="27"/>
        </w:trPr>
        <w:tc>
          <w:tcPr>
            <w:tcW w:w="860" w:type="dxa"/>
            <w:vAlign w:val="bottom"/>
          </w:tcPr>
          <w:p>
            <w:pPr>
              <w:spacing w:after="0"/>
              <w:rPr>
                <w:sz w:val="2"/>
                <w:szCs w:val="2"/>
                <w:color w:val="auto"/>
              </w:rPr>
            </w:pPr>
          </w:p>
        </w:tc>
        <w:tc>
          <w:tcPr>
            <w:tcW w:w="7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Diluted</w:t>
            </w:r>
          </w:p>
        </w:tc>
        <w:tc>
          <w:tcPr>
            <w:tcW w:w="74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239,414</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239,816</w:t>
            </w:r>
          </w:p>
        </w:tc>
      </w:tr>
      <w:tr>
        <w:trPr>
          <w:trHeight w:val="27"/>
        </w:trPr>
        <w:tc>
          <w:tcPr>
            <w:tcW w:w="860" w:type="dxa"/>
            <w:vAlign w:val="bottom"/>
            <w:shd w:val="clear" w:color="auto" w:fill="CCEEFF"/>
          </w:tcPr>
          <w:p>
            <w:pPr>
              <w:spacing w:after="0"/>
              <w:rPr>
                <w:sz w:val="2"/>
                <w:szCs w:val="2"/>
                <w:color w:val="auto"/>
              </w:rPr>
            </w:pPr>
          </w:p>
        </w:tc>
        <w:tc>
          <w:tcPr>
            <w:tcW w:w="7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For the Three Months Ended March</w:t>
      </w:r>
    </w:p>
    <w:p>
      <w:pPr>
        <w:spacing w:after="0" w:line="4"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13335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w w:val="89"/>
              </w:rPr>
              <w:t>2018</w:t>
            </w:r>
          </w:p>
        </w:tc>
      </w:tr>
      <w:tr>
        <w:trPr>
          <w:trHeight w:val="250"/>
        </w:trPr>
        <w:tc>
          <w:tcPr>
            <w:tcW w:w="9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21"/>
                <w:szCs w:val="21"/>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(22,668)</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10,195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Adjustments to unrealized components of defined benefit pension plans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9020" w:type="dxa"/>
            <w:vAlign w:val="bottom"/>
          </w:tcPr>
          <w:p>
            <w:pPr>
              <w:ind w:left="28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Arial" w:cs="Arial" w:eastAsia="Arial" w:hAnsi="Arial"/>
                <w:sz w:val="18"/>
                <w:szCs w:val="18"/>
                <w:color w:val="auto"/>
              </w:rPr>
              <w:t>15,091</w:t>
            </w:r>
          </w:p>
        </w:tc>
      </w:tr>
      <w:tr>
        <w:trPr>
          <w:trHeight w:val="27"/>
        </w:trPr>
        <w:tc>
          <w:tcPr>
            <w:tcW w:w="90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90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15,052</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(25,024)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25,247</w:t>
            </w:r>
          </w:p>
        </w:tc>
      </w:tr>
      <w:tr>
        <w:trPr>
          <w:trHeight w:val="27"/>
        </w:trPr>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57"/>
        </w:trPr>
        <w:tc>
          <w:tcPr>
            <w:tcW w:w="9020" w:type="dxa"/>
            <w:vAlign w:val="bottom"/>
          </w:tcPr>
          <w:p>
            <w:pPr>
              <w:ind w:left="40"/>
              <w:spacing w:after="0"/>
              <w:rPr>
                <w:sz w:val="20"/>
                <w:szCs w:val="20"/>
                <w:color w:val="auto"/>
              </w:rPr>
            </w:pPr>
            <w:r>
              <w:rPr>
                <w:rFonts w:ascii="Arial" w:cs="Arial" w:eastAsia="Arial" w:hAnsi="Arial"/>
                <w:sz w:val="18"/>
                <w:szCs w:val="18"/>
                <w:color w:val="auto"/>
              </w:rPr>
              <w:t>Comprehensive income (loss) attributable to Amkor</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(25,235)</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24,596</w:t>
            </w:r>
          </w:p>
        </w:tc>
      </w:tr>
      <w:tr>
        <w:trPr>
          <w:trHeight w:val="20"/>
        </w:trPr>
        <w:tc>
          <w:tcPr>
            <w:tcW w:w="90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1"/>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25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1,055,402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681,569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2,589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 of allowances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684,914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724,456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227,502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230,589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32,005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2,002,929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1,671,208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2,564,177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2,650,448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Operating lease right of use asset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122,982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3,893</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144,178</w:t>
            </w:r>
          </w:p>
        </w:tc>
      </w:tr>
      <w:tr>
        <w:trPr>
          <w:trHeight w:val="297"/>
        </w:trPr>
        <w:tc>
          <w:tcPr>
            <w:tcW w:w="834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4,847,186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4,495,447</w:t>
            </w:r>
          </w:p>
        </w:tc>
      </w:tr>
      <w:tr>
        <w:trPr>
          <w:trHeight w:val="210"/>
        </w:trPr>
        <w:tc>
          <w:tcPr>
            <w:tcW w:w="8340" w:type="dxa"/>
            <w:vAlign w:val="bottom"/>
            <w:tcBorders>
              <w:bottom w:val="single" w:sz="8" w:color="CCEEFF"/>
            </w:tcBorders>
            <w:shd w:val="clear" w:color="auto" w:fill="CCEEFF"/>
          </w:tcPr>
          <w:p>
            <w:pPr>
              <w:ind w:left="4560"/>
              <w:spacing w:after="0" w:line="203" w:lineRule="exact"/>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and current portion of long-term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114,579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Trade accounts payable</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459,383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530,398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payable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123,737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255,237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245,796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258,209</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1,467,618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1,158,423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1,215,262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1,217,732</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severance obligations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181,826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184,321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operating lease liability</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73,876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79,071</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3,014,604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2,639,547</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$0.001 par value, 10,000 shares authorized, designated Series A,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89"/>
              </w:rPr>
              <w:t>Common stock, $0.001 par value, 500,000 shares authorized; 285,430 and 285,352 shares issued; and 239,458</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8340" w:type="dxa"/>
            <w:vAlign w:val="bottom"/>
          </w:tcPr>
          <w:p>
            <w:pPr>
              <w:ind w:left="520"/>
              <w:spacing w:after="0"/>
              <w:rPr>
                <w:sz w:val="20"/>
                <w:szCs w:val="20"/>
                <w:color w:val="auto"/>
              </w:rPr>
            </w:pPr>
            <w:r>
              <w:rPr>
                <w:rFonts w:ascii="Arial" w:cs="Arial" w:eastAsia="Arial" w:hAnsi="Arial"/>
                <w:sz w:val="18"/>
                <w:szCs w:val="18"/>
                <w:color w:val="auto"/>
              </w:rPr>
              <w:t>and 239,385 shares outstanding in 2019 and 2018, respectively</w:t>
            </w:r>
          </w:p>
        </w:tc>
        <w:tc>
          <w:tcPr>
            <w:tcW w:w="26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285</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1,911,179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1,909,425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90,310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113,189</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21,456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23,812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Treasury stock, at cost, 45,972 and 45,967 shares, in 2019 and 2018, respectively</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(216,219)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(216,171)</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Amkor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1,807,011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1,830,540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Non-controlling interests in subsidiaries</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25,571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25,360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1,832,582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1,855,900</w:t>
            </w:r>
          </w:p>
        </w:tc>
      </w:tr>
      <w:tr>
        <w:trPr>
          <w:trHeight w:val="25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4,847,186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4,495,447</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20" w:type="dxa"/>
            <w:vAlign w:val="bottom"/>
          </w:tcPr>
          <w:p>
            <w:pPr>
              <w:spacing w:after="0"/>
              <w:rPr>
                <w:sz w:val="10"/>
                <w:szCs w:val="10"/>
                <w:color w:val="auto"/>
              </w:rPr>
            </w:pPr>
          </w:p>
        </w:tc>
        <w:tc>
          <w:tcPr>
            <w:tcW w:w="1760" w:type="dxa"/>
            <w:vAlign w:val="bottom"/>
            <w:gridSpan w:val="5"/>
            <w:vMerge w:val="restart"/>
          </w:tcPr>
          <w:p>
            <w:pPr>
              <w:ind w:left="480"/>
              <w:spacing w:after="0"/>
              <w:rPr>
                <w:sz w:val="20"/>
                <w:szCs w:val="20"/>
                <w:color w:val="auto"/>
              </w:rPr>
            </w:pPr>
            <w:r>
              <w:rPr>
                <w:rFonts w:ascii="Arial" w:cs="Arial" w:eastAsia="Arial" w:hAnsi="Arial"/>
                <w:sz w:val="11"/>
                <w:szCs w:val="11"/>
                <w:b w:val="1"/>
                <w:bCs w:val="1"/>
                <w:color w:val="auto"/>
              </w:rPr>
              <w:t>Common Stock</w:t>
            </w: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9"/>
              </w:rPr>
              <w:t>Accumulated</w:t>
            </w:r>
          </w:p>
        </w:tc>
        <w:tc>
          <w:tcPr>
            <w:tcW w:w="1520" w:type="dxa"/>
            <w:vAlign w:val="bottom"/>
            <w:gridSpan w:val="5"/>
            <w:vMerge w:val="restart"/>
          </w:tcPr>
          <w:p>
            <w:pPr>
              <w:ind w:left="28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176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Retained Earnings</w:t>
            </w:r>
          </w:p>
        </w:tc>
        <w:tc>
          <w:tcPr>
            <w:tcW w:w="120" w:type="dxa"/>
            <w:vAlign w:val="bottom"/>
          </w:tcPr>
          <w:p>
            <w:pPr>
              <w:spacing w:after="0"/>
              <w:rPr>
                <w:sz w:val="10"/>
                <w:szCs w:val="10"/>
                <w:color w:val="auto"/>
              </w:rPr>
            </w:pPr>
          </w:p>
        </w:tc>
        <w:tc>
          <w:tcPr>
            <w:tcW w:w="1160" w:type="dxa"/>
            <w:vAlign w:val="bottom"/>
            <w:gridSpan w:val="3"/>
          </w:tcPr>
          <w:p>
            <w:pPr>
              <w:jc w:val="center"/>
              <w:ind w:right="400"/>
              <w:spacing w:after="0" w:line="122" w:lineRule="exact"/>
              <w:rPr>
                <w:sz w:val="20"/>
                <w:szCs w:val="20"/>
                <w:color w:val="auto"/>
              </w:rPr>
            </w:pPr>
            <w:r>
              <w:rPr>
                <w:rFonts w:ascii="Arial" w:cs="Arial" w:eastAsia="Arial" w:hAnsi="Arial"/>
                <w:sz w:val="11"/>
                <w:szCs w:val="11"/>
                <w:b w:val="1"/>
                <w:bCs w:val="1"/>
                <w:color w:val="auto"/>
                <w:w w:val="95"/>
              </w:rPr>
              <w:t>Other</w:t>
            </w:r>
          </w:p>
        </w:tc>
        <w:tc>
          <w:tcPr>
            <w:tcW w:w="15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Total Amkor</w:t>
            </w:r>
          </w:p>
        </w:tc>
        <w:tc>
          <w:tcPr>
            <w:tcW w:w="120" w:type="dxa"/>
            <w:vAlign w:val="bottom"/>
          </w:tcPr>
          <w:p>
            <w:pPr>
              <w:spacing w:after="0"/>
              <w:rPr>
                <w:sz w:val="10"/>
                <w:szCs w:val="10"/>
                <w:color w:val="auto"/>
              </w:rPr>
            </w:pPr>
          </w:p>
        </w:tc>
        <w:tc>
          <w:tcPr>
            <w:tcW w:w="10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6"/>
              </w:rPr>
              <w:t>Noncontrolling</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62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gridSpan w:val="3"/>
          </w:tcPr>
          <w:p>
            <w:pPr>
              <w:jc w:val="center"/>
              <w:ind w:right="120"/>
              <w:spacing w:after="0" w:line="102" w:lineRule="exact"/>
              <w:rPr>
                <w:sz w:val="20"/>
                <w:szCs w:val="20"/>
                <w:color w:val="auto"/>
              </w:rPr>
            </w:pPr>
            <w:r>
              <w:rPr>
                <w:rFonts w:ascii="Arial" w:cs="Arial" w:eastAsia="Arial" w:hAnsi="Arial"/>
                <w:sz w:val="11"/>
                <w:szCs w:val="11"/>
                <w:b w:val="1"/>
                <w:bCs w:val="1"/>
                <w:color w:val="auto"/>
                <w:w w:val="93"/>
              </w:rPr>
              <w:t>Additional Paid-</w:t>
            </w:r>
          </w:p>
        </w:tc>
        <w:tc>
          <w:tcPr>
            <w:tcW w:w="100" w:type="dxa"/>
            <w:vAlign w:val="bottom"/>
          </w:tcPr>
          <w:p>
            <w:pPr>
              <w:spacing w:after="0"/>
              <w:rPr>
                <w:sz w:val="8"/>
                <w:szCs w:val="8"/>
                <w:color w:val="auto"/>
              </w:rPr>
            </w:pPr>
          </w:p>
        </w:tc>
        <w:tc>
          <w:tcPr>
            <w:tcW w:w="1060" w:type="dxa"/>
            <w:vAlign w:val="bottom"/>
            <w:gridSpan w:val="2"/>
          </w:tcPr>
          <w:p>
            <w:pPr>
              <w:jc w:val="center"/>
              <w:ind w:right="220"/>
              <w:spacing w:after="0" w:line="102" w:lineRule="exact"/>
              <w:rPr>
                <w:sz w:val="20"/>
                <w:szCs w:val="20"/>
                <w:color w:val="auto"/>
              </w:rPr>
            </w:pPr>
            <w:r>
              <w:rPr>
                <w:rFonts w:ascii="Arial" w:cs="Arial" w:eastAsia="Arial" w:hAnsi="Arial"/>
                <w:sz w:val="11"/>
                <w:szCs w:val="11"/>
                <w:b w:val="1"/>
                <w:bCs w:val="1"/>
                <w:color w:val="auto"/>
                <w:w w:val="87"/>
              </w:rPr>
              <w:t>(Accumulated</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Comprehensive</w:t>
            </w:r>
          </w:p>
        </w:tc>
        <w:tc>
          <w:tcPr>
            <w:tcW w:w="1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8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88"/>
              </w:rPr>
              <w:t>Stockholders'</w:t>
            </w:r>
          </w:p>
        </w:tc>
        <w:tc>
          <w:tcPr>
            <w:tcW w:w="120" w:type="dxa"/>
            <w:vAlign w:val="bottom"/>
          </w:tcPr>
          <w:p>
            <w:pPr>
              <w:spacing w:after="0"/>
              <w:rPr>
                <w:sz w:val="8"/>
                <w:szCs w:val="8"/>
                <w:color w:val="auto"/>
              </w:rPr>
            </w:pPr>
          </w:p>
        </w:tc>
        <w:tc>
          <w:tcPr>
            <w:tcW w:w="10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91"/>
              </w:rPr>
              <w:t>Interest in</w:t>
            </w:r>
          </w:p>
        </w:tc>
        <w:tc>
          <w:tcPr>
            <w:tcW w:w="120" w:type="dxa"/>
            <w:vAlign w:val="bottom"/>
          </w:tcPr>
          <w:p>
            <w:pPr>
              <w:spacing w:after="0"/>
              <w:rPr>
                <w:sz w:val="8"/>
                <w:szCs w:val="8"/>
                <w:color w:val="auto"/>
              </w:rPr>
            </w:pPr>
          </w:p>
        </w:tc>
        <w:tc>
          <w:tcPr>
            <w:tcW w:w="660" w:type="dxa"/>
            <w:vAlign w:val="bottom"/>
          </w:tcPr>
          <w:p>
            <w:pPr>
              <w:jc w:val="right"/>
              <w:ind w:right="218"/>
              <w:spacing w:after="0" w:line="102" w:lineRule="exact"/>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820" w:type="dxa"/>
            <w:vAlign w:val="bottom"/>
            <w:gridSpan w:val="2"/>
          </w:tcPr>
          <w:p>
            <w:pPr>
              <w:ind w:left="200"/>
              <w:spacing w:after="0"/>
              <w:rPr>
                <w:sz w:val="20"/>
                <w:szCs w:val="20"/>
                <w:color w:val="auto"/>
              </w:rPr>
            </w:pPr>
            <w:r>
              <w:rPr>
                <w:rFonts w:ascii="Arial" w:cs="Arial" w:eastAsia="Arial" w:hAnsi="Arial"/>
                <w:sz w:val="11"/>
                <w:szCs w:val="11"/>
                <w:b w:val="1"/>
                <w:bCs w:val="1"/>
                <w:color w:val="auto"/>
              </w:rPr>
              <w:t>Shares</w:t>
            </w:r>
          </w:p>
        </w:tc>
        <w:tc>
          <w:tcPr>
            <w:tcW w:w="140" w:type="dxa"/>
            <w:vAlign w:val="bottom"/>
          </w:tcPr>
          <w:p>
            <w:pPr>
              <w:spacing w:after="0"/>
              <w:rPr>
                <w:sz w:val="12"/>
                <w:szCs w:val="12"/>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Par Value</w:t>
            </w:r>
          </w:p>
        </w:tc>
        <w:tc>
          <w:tcPr>
            <w:tcW w:w="160" w:type="dxa"/>
            <w:vAlign w:val="bottom"/>
          </w:tcPr>
          <w:p>
            <w:pPr>
              <w:spacing w:after="0"/>
              <w:rPr>
                <w:sz w:val="12"/>
                <w:szCs w:val="12"/>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2"/>
              </w:rPr>
              <w:t>In Capital</w:t>
            </w:r>
          </w:p>
        </w:tc>
        <w:tc>
          <w:tcPr>
            <w:tcW w:w="10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Deficit)</w:t>
            </w:r>
          </w:p>
        </w:tc>
        <w:tc>
          <w:tcPr>
            <w:tcW w:w="120" w:type="dxa"/>
            <w:vAlign w:val="bottom"/>
          </w:tcPr>
          <w:p>
            <w:pPr>
              <w:spacing w:after="0"/>
              <w:rPr>
                <w:sz w:val="12"/>
                <w:szCs w:val="12"/>
                <w:color w:val="auto"/>
              </w:rPr>
            </w:pPr>
          </w:p>
        </w:tc>
        <w:tc>
          <w:tcPr>
            <w:tcW w:w="1160" w:type="dxa"/>
            <w:vAlign w:val="bottom"/>
            <w:gridSpan w:val="3"/>
          </w:tcPr>
          <w:p>
            <w:pPr>
              <w:jc w:val="center"/>
              <w:ind w:right="380"/>
              <w:spacing w:after="0"/>
              <w:rPr>
                <w:sz w:val="20"/>
                <w:szCs w:val="20"/>
                <w:color w:val="auto"/>
              </w:rPr>
            </w:pPr>
            <w:r>
              <w:rPr>
                <w:rFonts w:ascii="Arial" w:cs="Arial" w:eastAsia="Arial" w:hAnsi="Arial"/>
                <w:sz w:val="11"/>
                <w:szCs w:val="11"/>
                <w:b w:val="1"/>
                <w:bCs w:val="1"/>
                <w:color w:val="auto"/>
                <w:w w:val="88"/>
              </w:rPr>
              <w:t>Income (Loss)</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12"/>
                <w:szCs w:val="12"/>
                <w:color w:val="auto"/>
              </w:rPr>
            </w:pPr>
          </w:p>
        </w:tc>
        <w:tc>
          <w:tcPr>
            <w:tcW w:w="740" w:type="dxa"/>
            <w:vAlign w:val="bottom"/>
            <w:gridSpan w:val="2"/>
          </w:tcPr>
          <w:p>
            <w:pPr>
              <w:ind w:left="140"/>
              <w:spacing w:after="0"/>
              <w:rPr>
                <w:sz w:val="20"/>
                <w:szCs w:val="20"/>
                <w:color w:val="auto"/>
              </w:rPr>
            </w:pPr>
            <w:r>
              <w:rPr>
                <w:rFonts w:ascii="Arial" w:cs="Arial" w:eastAsia="Arial" w:hAnsi="Arial"/>
                <w:sz w:val="11"/>
                <w:szCs w:val="11"/>
                <w:b w:val="1"/>
                <w:bCs w:val="1"/>
                <w:color w:val="auto"/>
              </w:rPr>
              <w:t>Cost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5"/>
              </w:rPr>
              <w:t>Equity</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Subsidiaries</w:t>
            </w:r>
          </w:p>
        </w:tc>
        <w:tc>
          <w:tcPr>
            <w:tcW w:w="120" w:type="dxa"/>
            <w:vAlign w:val="bottom"/>
          </w:tcPr>
          <w:p>
            <w:pPr>
              <w:spacing w:after="0"/>
              <w:rPr>
                <w:sz w:val="12"/>
                <w:szCs w:val="12"/>
                <w:color w:val="auto"/>
              </w:rPr>
            </w:pPr>
          </w:p>
        </w:tc>
        <w:tc>
          <w:tcPr>
            <w:tcW w:w="660" w:type="dxa"/>
            <w:vAlign w:val="bottom"/>
          </w:tcPr>
          <w:p>
            <w:pPr>
              <w:jc w:val="right"/>
              <w:ind w:right="178"/>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1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ind w:left="480"/>
              <w:spacing w:after="0"/>
              <w:rPr>
                <w:sz w:val="20"/>
                <w:szCs w:val="20"/>
                <w:color w:val="auto"/>
              </w:rPr>
            </w:pPr>
            <w:r>
              <w:rPr>
                <w:rFonts w:ascii="Arial" w:cs="Arial" w:eastAsia="Arial" w:hAnsi="Arial"/>
                <w:sz w:val="11"/>
                <w:szCs w:val="11"/>
                <w:b w:val="1"/>
                <w:bCs w:val="1"/>
                <w:color w:val="auto"/>
                <w:w w:val="87"/>
              </w:rPr>
              <w:t>(In thousands)</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1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6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2018</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285,352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1,909,425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113,189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23,812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6"/>
              </w:rPr>
              <w:t>(45,967)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(216,171)</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1,830,540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25,360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1,855,900</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Net income (loss)</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tcPr>
          <w:p>
            <w:pPr>
              <w:jc w:val="right"/>
              <w:ind w:right="18"/>
              <w:spacing w:after="0"/>
              <w:rPr>
                <w:sz w:val="20"/>
                <w:szCs w:val="20"/>
                <w:color w:val="auto"/>
              </w:rPr>
            </w:pPr>
            <w:r>
              <w:rPr>
                <w:rFonts w:ascii="Arial" w:cs="Arial" w:eastAsia="Arial" w:hAnsi="Arial"/>
                <w:sz w:val="13"/>
                <w:szCs w:val="13"/>
                <w:color w:val="auto"/>
              </w:rPr>
              <w:t>(22,879)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(22,879)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(22,668)</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(2,356)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(2,356)</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w w:val="87"/>
              </w:rPr>
              <w:t>through surrender of shares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for tax 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through</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9"/>
              </w:rPr>
              <w:t>share-based compensation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286</w:t>
            </w:r>
          </w:p>
        </w:tc>
        <w:tc>
          <w:tcPr>
            <w:tcW w:w="0" w:type="dxa"/>
            <w:vAlign w:val="bottom"/>
          </w:tcPr>
          <w:p>
            <w:pPr>
              <w:spacing w:after="0"/>
              <w:rPr>
                <w:sz w:val="1"/>
                <w:szCs w:val="1"/>
                <w:color w:val="auto"/>
              </w:rPr>
            </w:pPr>
          </w:p>
        </w:tc>
      </w:tr>
      <w:tr>
        <w:trPr>
          <w:trHeight w:val="264"/>
        </w:trPr>
        <w:tc>
          <w:tcPr>
            <w:tcW w:w="1620" w:type="dxa"/>
            <w:vAlign w:val="bottom"/>
          </w:tcPr>
          <w:p>
            <w:pPr>
              <w:ind w:left="40"/>
              <w:spacing w:after="0"/>
              <w:rPr>
                <w:sz w:val="20"/>
                <w:szCs w:val="20"/>
                <w:color w:val="auto"/>
              </w:rPr>
            </w:pPr>
            <w:r>
              <w:rPr>
                <w:rFonts w:ascii="Arial" w:cs="Arial" w:eastAsia="Arial" w:hAnsi="Arial"/>
                <w:sz w:val="13"/>
                <w:szCs w:val="13"/>
                <w:color w:val="auto"/>
                <w:w w:val="98"/>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1,468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1,468</w:t>
            </w:r>
          </w:p>
        </w:tc>
        <w:tc>
          <w:tcPr>
            <w:tcW w:w="0" w:type="dxa"/>
            <w:vAlign w:val="bottom"/>
          </w:tcPr>
          <w:p>
            <w:pPr>
              <w:spacing w:after="0"/>
              <w:rPr>
                <w:sz w:val="1"/>
                <w:szCs w:val="1"/>
                <w:color w:val="auto"/>
              </w:rPr>
            </w:pPr>
          </w:p>
        </w:tc>
      </w:tr>
      <w:tr>
        <w:trPr>
          <w:trHeight w:val="257"/>
        </w:trPr>
        <w:tc>
          <w:tcPr>
            <w:tcW w:w="1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w w:val="96"/>
              </w:rPr>
              <w:t>Balance at March 31, 2019</w:t>
            </w:r>
          </w:p>
        </w:tc>
        <w:tc>
          <w:tcPr>
            <w:tcW w:w="70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285,430</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285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color w:val="auto"/>
              </w:rPr>
              <w:t>1,911,179</w:t>
            </w: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90,310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3"/>
                <w:szCs w:val="13"/>
                <w:color w:val="auto"/>
              </w:rPr>
              <w:t>21,456</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3"/>
                <w:szCs w:val="13"/>
                <w:color w:val="auto"/>
                <w:w w:val="86"/>
              </w:rPr>
              <w:t>(45,972)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(216,219)</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1,807,011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rPr>
              <w:t>25,571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3"/>
                <w:szCs w:val="13"/>
                <w:color w:val="auto"/>
                <w:w w:val="93"/>
              </w:rPr>
              <w:t>1,832,582</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16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Balance at December 31,</w:t>
            </w: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2017</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285,129</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285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1,903,357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(13,903)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22,519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w w:val="86"/>
              </w:rPr>
              <w:t>(45,945)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(215,982)</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1,696,276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23,433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w w:val="93"/>
              </w:rPr>
              <w:t>1,719,709</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960" w:type="dxa"/>
            <w:vAlign w:val="bottom"/>
          </w:tcPr>
          <w:p>
            <w:pPr>
              <w:jc w:val="right"/>
              <w:ind w:right="78"/>
              <w:spacing w:after="0"/>
              <w:rPr>
                <w:sz w:val="20"/>
                <w:szCs w:val="20"/>
                <w:color w:val="auto"/>
              </w:rPr>
            </w:pPr>
            <w:r>
              <w:rPr>
                <w:rFonts w:ascii="Arial" w:cs="Arial" w:eastAsia="Arial" w:hAnsi="Arial"/>
                <w:sz w:val="13"/>
                <w:szCs w:val="13"/>
                <w:color w:val="auto"/>
              </w:rPr>
              <w:t>9,544</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9,544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38"/>
              <w:spacing w:after="0"/>
              <w:rPr>
                <w:sz w:val="20"/>
                <w:szCs w:val="20"/>
                <w:color w:val="auto"/>
              </w:rPr>
            </w:pPr>
            <w:r>
              <w:rPr>
                <w:rFonts w:ascii="Arial" w:cs="Arial" w:eastAsia="Arial" w:hAnsi="Arial"/>
                <w:sz w:val="13"/>
                <w:szCs w:val="13"/>
                <w:color w:val="auto"/>
              </w:rPr>
              <w:t>651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10,195</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w w:val="91"/>
              </w:rPr>
              <w:t>Other comprehensive income</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(loss)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59"/>
              <w:spacing w:after="0"/>
              <w:rPr>
                <w:sz w:val="20"/>
                <w:szCs w:val="20"/>
                <w:color w:val="auto"/>
              </w:rPr>
            </w:pPr>
            <w:r>
              <w:rPr>
                <w:rFonts w:ascii="Arial" w:cs="Arial" w:eastAsia="Arial" w:hAnsi="Arial"/>
                <w:sz w:val="13"/>
                <w:szCs w:val="13"/>
                <w:color w:val="auto"/>
              </w:rPr>
              <w:t>15,052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15,052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15,052</w:t>
            </w:r>
          </w:p>
        </w:tc>
        <w:tc>
          <w:tcPr>
            <w:tcW w:w="0" w:type="dxa"/>
            <w:vAlign w:val="bottom"/>
          </w:tcPr>
          <w:p>
            <w:pPr>
              <w:spacing w:after="0"/>
              <w:rPr>
                <w:sz w:val="1"/>
                <w:szCs w:val="1"/>
                <w:color w:val="auto"/>
              </w:rPr>
            </w:pPr>
          </w:p>
        </w:tc>
      </w:tr>
      <w:tr>
        <w:trPr>
          <w:trHeight w:val="148"/>
        </w:trPr>
        <w:tc>
          <w:tcPr>
            <w:tcW w:w="1620" w:type="dxa"/>
            <w:vAlign w:val="bottom"/>
          </w:tcPr>
          <w:p>
            <w:pPr>
              <w:ind w:left="40"/>
              <w:spacing w:after="0" w:line="148" w:lineRule="exact"/>
              <w:rPr>
                <w:sz w:val="20"/>
                <w:szCs w:val="20"/>
                <w:color w:val="auto"/>
              </w:rPr>
            </w:pPr>
            <w:r>
              <w:rPr>
                <w:rFonts w:ascii="Arial" w:cs="Arial" w:eastAsia="Arial" w:hAnsi="Arial"/>
                <w:sz w:val="13"/>
                <w:szCs w:val="13"/>
                <w:color w:val="auto"/>
              </w:rPr>
              <w:t>Treasury stock acquired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20" w:type="dxa"/>
            <w:vAlign w:val="bottom"/>
          </w:tcPr>
          <w:p>
            <w:pPr>
              <w:ind w:left="200"/>
              <w:spacing w:after="0" w:line="135" w:lineRule="exact"/>
              <w:rPr>
                <w:sz w:val="20"/>
                <w:szCs w:val="20"/>
                <w:color w:val="auto"/>
              </w:rPr>
            </w:pPr>
            <w:r>
              <w:rPr>
                <w:rFonts w:ascii="Arial" w:cs="Arial" w:eastAsia="Arial" w:hAnsi="Arial"/>
                <w:sz w:val="13"/>
                <w:szCs w:val="13"/>
                <w:color w:val="auto"/>
                <w:w w:val="87"/>
              </w:rPr>
              <w:t>through surrender of shares</w:t>
            </w: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20" w:type="dxa"/>
            <w:vAlign w:val="bottom"/>
          </w:tcPr>
          <w:p>
            <w:pPr>
              <w:ind w:left="200"/>
              <w:spacing w:after="0"/>
              <w:rPr>
                <w:sz w:val="20"/>
                <w:szCs w:val="20"/>
                <w:color w:val="auto"/>
              </w:rPr>
            </w:pPr>
            <w:r>
              <w:rPr>
                <w:rFonts w:ascii="Arial" w:cs="Arial" w:eastAsia="Arial" w:hAnsi="Arial"/>
                <w:sz w:val="13"/>
                <w:szCs w:val="13"/>
                <w:color w:val="auto"/>
              </w:rPr>
              <w:t>for tax withholding</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18"/>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Issuance of stock through</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2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w w:val="89"/>
              </w:rPr>
              <w:t>share-based compensation</w:t>
            </w: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plans</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1,022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1,022</w:t>
            </w:r>
          </w:p>
        </w:tc>
        <w:tc>
          <w:tcPr>
            <w:tcW w:w="0" w:type="dxa"/>
            <w:vAlign w:val="bottom"/>
          </w:tcPr>
          <w:p>
            <w:pPr>
              <w:spacing w:after="0"/>
              <w:rPr>
                <w:sz w:val="1"/>
                <w:szCs w:val="1"/>
                <w:color w:val="auto"/>
              </w:rPr>
            </w:pPr>
          </w:p>
        </w:tc>
      </w:tr>
      <w:tr>
        <w:trPr>
          <w:trHeight w:val="262"/>
        </w:trPr>
        <w:tc>
          <w:tcPr>
            <w:tcW w:w="1620" w:type="dxa"/>
            <w:vAlign w:val="bottom"/>
          </w:tcPr>
          <w:p>
            <w:pPr>
              <w:ind w:left="40"/>
              <w:spacing w:after="0"/>
              <w:rPr>
                <w:sz w:val="20"/>
                <w:szCs w:val="20"/>
                <w:color w:val="auto"/>
              </w:rPr>
            </w:pPr>
            <w:r>
              <w:rPr>
                <w:rFonts w:ascii="Arial" w:cs="Arial" w:eastAsia="Arial" w:hAnsi="Arial"/>
                <w:sz w:val="13"/>
                <w:szCs w:val="13"/>
                <w:color w:val="auto"/>
                <w:w w:val="98"/>
              </w:rPr>
              <w:t>Share-based compensation</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1,287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60" w:type="dxa"/>
            <w:vAlign w:val="bottom"/>
            <w:gridSpan w:val="3"/>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60" w:type="dxa"/>
            <w:vAlign w:val="bottom"/>
          </w:tcPr>
          <w:p>
            <w:pPr>
              <w:jc w:val="right"/>
              <w:ind w:right="38"/>
              <w:spacing w:after="0"/>
              <w:rPr>
                <w:sz w:val="20"/>
                <w:szCs w:val="20"/>
                <w:color w:val="auto"/>
              </w:rPr>
            </w:pPr>
            <w:r>
              <w:rPr>
                <w:rFonts w:ascii="Arial" w:cs="Arial" w:eastAsia="Arial" w:hAnsi="Arial"/>
                <w:sz w:val="13"/>
                <w:szCs w:val="13"/>
                <w:color w:val="auto"/>
              </w:rPr>
              <w:t>1,287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8"/>
              <w:spacing w:after="0"/>
              <w:rPr>
                <w:sz w:val="20"/>
                <w:szCs w:val="20"/>
                <w:color w:val="auto"/>
              </w:rPr>
            </w:pPr>
            <w:r>
              <w:rPr>
                <w:rFonts w:ascii="Arial" w:cs="Arial" w:eastAsia="Arial" w:hAnsi="Arial"/>
                <w:sz w:val="13"/>
                <w:szCs w:val="13"/>
                <w:color w:val="auto"/>
              </w:rPr>
              <w:t>1,287</w:t>
            </w:r>
          </w:p>
        </w:tc>
        <w:tc>
          <w:tcPr>
            <w:tcW w:w="0" w:type="dxa"/>
            <w:vAlign w:val="bottom"/>
          </w:tcPr>
          <w:p>
            <w:pPr>
              <w:spacing w:after="0"/>
              <w:rPr>
                <w:sz w:val="1"/>
                <w:szCs w:val="1"/>
                <w:color w:val="auto"/>
              </w:rPr>
            </w:pPr>
          </w:p>
        </w:tc>
      </w:tr>
      <w:tr>
        <w:trPr>
          <w:trHeight w:val="156"/>
        </w:trPr>
        <w:tc>
          <w:tcPr>
            <w:tcW w:w="1620" w:type="dxa"/>
            <w:vAlign w:val="bottom"/>
            <w:shd w:val="clear" w:color="auto" w:fill="CCEEFF"/>
          </w:tcPr>
          <w:p>
            <w:pPr>
              <w:ind w:left="40"/>
              <w:spacing w:after="0"/>
              <w:rPr>
                <w:sz w:val="20"/>
                <w:szCs w:val="20"/>
                <w:color w:val="auto"/>
              </w:rPr>
            </w:pPr>
            <w:r>
              <w:rPr>
                <w:rFonts w:ascii="Arial" w:cs="Arial" w:eastAsia="Arial" w:hAnsi="Arial"/>
                <w:sz w:val="13"/>
                <w:szCs w:val="13"/>
                <w:color w:val="auto"/>
              </w:rPr>
              <w:t>Subsidiary dividends to</w:t>
            </w:r>
          </w:p>
        </w:tc>
        <w:tc>
          <w:tcPr>
            <w:tcW w:w="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2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noncontrolling interests</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16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w:t>
            </w:r>
          </w:p>
        </w:tc>
        <w:tc>
          <w:tcPr>
            <w:tcW w:w="0" w:type="dxa"/>
            <w:vAlign w:val="bottom"/>
          </w:tcPr>
          <w:p>
            <w:pPr>
              <w:spacing w:after="0"/>
              <w:rPr>
                <w:sz w:val="1"/>
                <w:szCs w:val="1"/>
                <w:color w:val="auto"/>
              </w:rPr>
            </w:pPr>
          </w:p>
        </w:tc>
      </w:tr>
      <w:tr>
        <w:trPr>
          <w:trHeight w:val="234"/>
        </w:trPr>
        <w:tc>
          <w:tcPr>
            <w:tcW w:w="1620" w:type="dxa"/>
            <w:vAlign w:val="bottom"/>
          </w:tcPr>
          <w:p>
            <w:pPr>
              <w:ind w:left="40"/>
              <w:spacing w:after="0"/>
              <w:rPr>
                <w:sz w:val="20"/>
                <w:szCs w:val="20"/>
                <w:color w:val="auto"/>
              </w:rPr>
            </w:pPr>
            <w:r>
              <w:rPr>
                <w:rFonts w:ascii="Arial" w:cs="Arial" w:eastAsia="Arial" w:hAnsi="Arial"/>
                <w:sz w:val="13"/>
                <w:szCs w:val="13"/>
                <w:b w:val="1"/>
                <w:bCs w:val="1"/>
                <w:color w:val="auto"/>
                <w:w w:val="96"/>
              </w:rPr>
              <w:t>Balance at March 31, 2018</w:t>
            </w:r>
          </w:p>
        </w:tc>
        <w:tc>
          <w:tcPr>
            <w:tcW w:w="70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285,284</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285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color w:val="auto"/>
              </w:rPr>
              <w:t>1,905,666</w:t>
            </w:r>
          </w:p>
        </w:tc>
        <w:tc>
          <w:tcPr>
            <w:tcW w:w="12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rPr>
              <w:t>(4,359)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Borders>
              <w:top w:val="single" w:sz="8" w:color="auto"/>
            </w:tcBorders>
          </w:tcPr>
          <w:p>
            <w:pPr>
              <w:jc w:val="right"/>
              <w:ind w:right="59"/>
              <w:spacing w:after="0"/>
              <w:rPr>
                <w:sz w:val="20"/>
                <w:szCs w:val="20"/>
                <w:color w:val="auto"/>
              </w:rPr>
            </w:pPr>
            <w:r>
              <w:rPr>
                <w:rFonts w:ascii="Arial" w:cs="Arial" w:eastAsia="Arial" w:hAnsi="Arial"/>
                <w:sz w:val="13"/>
                <w:szCs w:val="13"/>
                <w:color w:val="auto"/>
              </w:rPr>
              <w:t>37,571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8"/>
              <w:spacing w:after="0"/>
              <w:rPr>
                <w:sz w:val="20"/>
                <w:szCs w:val="20"/>
                <w:color w:val="auto"/>
              </w:rPr>
            </w:pPr>
            <w:r>
              <w:rPr>
                <w:rFonts w:ascii="Arial" w:cs="Arial" w:eastAsia="Arial" w:hAnsi="Arial"/>
                <w:sz w:val="13"/>
                <w:szCs w:val="13"/>
                <w:color w:val="auto"/>
                <w:w w:val="86"/>
              </w:rPr>
              <w:t>(45,950)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6"/>
              </w:rPr>
              <w:t>(216,038)</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1,723,125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rPr>
              <w:t>23,949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tcPr>
          <w:p>
            <w:pPr>
              <w:jc w:val="right"/>
              <w:ind w:right="38"/>
              <w:spacing w:after="0"/>
              <w:rPr>
                <w:sz w:val="20"/>
                <w:szCs w:val="20"/>
                <w:color w:val="auto"/>
              </w:rPr>
            </w:pPr>
            <w:r>
              <w:rPr>
                <w:rFonts w:ascii="Arial" w:cs="Arial" w:eastAsia="Arial" w:hAnsi="Arial"/>
                <w:sz w:val="13"/>
                <w:szCs w:val="13"/>
                <w:color w:val="auto"/>
                <w:w w:val="93"/>
              </w:rPr>
              <w:t>1,747,074</w:t>
            </w:r>
          </w:p>
        </w:tc>
        <w:tc>
          <w:tcPr>
            <w:tcW w:w="0" w:type="dxa"/>
            <w:vAlign w:val="bottom"/>
          </w:tcPr>
          <w:p>
            <w:pPr>
              <w:spacing w:after="0"/>
              <w:rPr>
                <w:sz w:val="1"/>
                <w:szCs w:val="1"/>
                <w:color w:val="auto"/>
              </w:rPr>
            </w:pP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8"/>
              </w:rPr>
              <w:t>For the Three Months Ended March 31,</w:t>
            </w:r>
          </w:p>
        </w:tc>
      </w:tr>
      <w:tr>
        <w:trPr>
          <w:trHeight w:val="264"/>
        </w:trPr>
        <w:tc>
          <w:tcPr>
            <w:tcW w:w="8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(22,668)</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10,195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135,835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142,509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operating activities and non-cash items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15,928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(77,038)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52,057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147,631</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for property, plant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(203,216)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(230,603)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insurance recovery for property, plant and equipment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1,538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investing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656</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(202,067)</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(229,605)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short-term debt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29,781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short-term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(10,588)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(17,352)</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Proceeds from issuance of long-term debt</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572,375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(63,636)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(6,220)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Payments of finance lease obligations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financing activities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523,708</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(23,925)</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3,892</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372,869</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(102,007)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cash equivalents and restricted cash,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688,051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602,851</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cash equivalents and restricted cash,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1,060,920</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500,844</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Property, plant and equipment included in capital expenditures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124,547</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224,037</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Right of use assets acquired through finance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Right of use assets acquired through operating lease liabilities</w:t>
            </w:r>
          </w:p>
        </w:tc>
        <w:tc>
          <w:tcPr>
            <w:tcW w:w="22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7,328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6"/>
          <w:szCs w:val="16"/>
          <w:b w:val="1"/>
          <w:bCs w:val="1"/>
          <w:color w:val="auto"/>
        </w:rPr>
        <w:t>Interim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Basis of Presentation. </w:t>
      </w:r>
      <w:r>
        <w:rPr>
          <w:rFonts w:ascii="Arial" w:cs="Arial" w:eastAsia="Arial" w:hAnsi="Arial"/>
          <w:sz w:val="17"/>
          <w:szCs w:val="17"/>
          <w:color w:val="auto"/>
        </w:rPr>
        <w:t>The Consolidated Financial Statements and related disclosures as of March 31, 2019, and for the three months ended March 31, 2019</w:t>
      </w:r>
      <w:r>
        <w:rPr>
          <w:rFonts w:ascii="Arial" w:cs="Arial" w:eastAsia="Arial" w:hAnsi="Arial"/>
          <w:sz w:val="17"/>
          <w:szCs w:val="17"/>
          <w:i w:val="1"/>
          <w:iCs w:val="1"/>
          <w:color w:val="auto"/>
        </w:rPr>
        <w:t xml:space="preserve"> </w:t>
      </w:r>
      <w:r>
        <w:rPr>
          <w:rFonts w:ascii="Arial" w:cs="Arial" w:eastAsia="Arial" w:hAnsi="Arial"/>
          <w:sz w:val="17"/>
          <w:szCs w:val="17"/>
          <w:color w:val="auto"/>
        </w:rPr>
        <w:t>and 2018, are unaudited, pursuant to the rules and regulations of the United States Securities and Exchange Commission (“SEC”). The December 31, 2018, Consolidated Balance Sheet data was derived from audited financial statements but does not include all disclosures required by accounting principles generally accepted in the United States of America (“U.S.”). Certain information and footnote disclosures normally included in financial statements prepared in accordance with U.S. generally accepted accounting principles (“U.S. GAAP”) have been condensed or omitted pursuant to such rules and regulations. In our opinion, these financial statements include all adjustments (consisting only of normal recurring adjustments) necessary for the fair statement of the results for the interim periods. These financial statements should be read in conjunction with the financial statements included in our Annual Report for the year ended December 31, 2018, filed on Form 10-K with the SEC on February 22, 2019. The results of operations for the three months ended March 31, 2019, are not necessarily indicative of the results to be expected for the full year. Unless the context otherwise requires, all references to “Amkor,” “we,” “us,” “our” or the “company” are to Amkor Technology, Inc. and our subsidiaries.</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Consolidated Financial Statements have been prepared in conformity with U.S. GAAP, using management’s best estimates and</w:t>
      </w:r>
      <w:r>
        <w:rPr>
          <w:rFonts w:ascii="Arial" w:cs="Arial" w:eastAsia="Arial" w:hAnsi="Arial"/>
          <w:sz w:val="17"/>
          <w:szCs w:val="17"/>
          <w:i w:val="1"/>
          <w:iCs w:val="1"/>
          <w:color w:val="auto"/>
        </w:rPr>
        <w:t xml:space="preserve"> </w:t>
      </w:r>
      <w:r>
        <w:rPr>
          <w:rFonts w:ascii="Arial" w:cs="Arial" w:eastAsia="Arial" w:hAnsi="Arial"/>
          <w:sz w:val="17"/>
          <w:szCs w:val="17"/>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balance of goodwill in our Consolidated Balance Sheets reflects adjustments for 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Unbilled Receivables</w:t>
      </w:r>
      <w:r>
        <w:rPr>
          <w:rFonts w:ascii="Arial" w:cs="Arial" w:eastAsia="Arial" w:hAnsi="Arial"/>
          <w:sz w:val="17"/>
          <w:szCs w:val="17"/>
          <w:color w:val="auto"/>
        </w:rPr>
        <w:t>. Total unbilled receivables as of March 31, 2019 and December 31, 2018 were $82.6 million and $89.3 million, respectively.</w:t>
      </w:r>
    </w:p>
    <w:p>
      <w:pPr>
        <w:spacing w:after="0" w:line="2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6"/>
          <w:szCs w:val="16"/>
          <w:b w:val="1"/>
          <w:bCs w:val="1"/>
          <w:color w:val="auto"/>
        </w:rPr>
        <w:t>New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Standards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was subsequently amended and clarified. Topic 842 requires a dual approach for lease accounting under which a lessee would account for leases as finance leases or operating leases. The standard also requires the lessee to recognize a right-of-use asset and a corresponding lease liability for both finance leases and operating leases. For finance leases, the lessee recognizes interest expense and amortization of the right-of-use asset, and for operating leases, the lessee recognizes a straight-line lease expense. The standard permits the use of two alternative transition approaches, either with application in all comparative periods presented, or with application beginning with the effective date without restating comparative period financial statements.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Effective January 1, 2019, we adopted the requirements of Topic 842 using the modified transition approach without restating the comparative period financial statements. The new standard resulted in increases in our operating lease right of use asset, accrued expenses and long-term operating lease liability account balances to record our operating leases on our Consolidated Balance Sheet. The new standard also resulted in additional disclosures for our operating and finance leases (Note 10).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Topic 842, we applied practical expedients permitted under the transition guidance, which allowed us to not:</w:t>
      </w:r>
    </w:p>
    <w:p>
      <w:pPr>
        <w:spacing w:after="0" w:line="23"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Reassess whether any existing contracts are or contain a lease,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Reassess the lease classification for any existing contracts,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Reassess initial direct costs for any existing leases,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Separate non-lease components from lease components and instead to account for them as a single lease component for all asset classes.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81" w:lineRule="exact"/>
        <w:rPr>
          <w:rFonts w:ascii="Arial" w:cs="Arial" w:eastAsia="Arial" w:hAnsi="Arial"/>
          <w:sz w:val="17"/>
          <w:szCs w:val="17"/>
          <w:color w:val="auto"/>
        </w:rPr>
      </w:pPr>
    </w:p>
    <w:p>
      <w:pPr>
        <w:ind w:left="5700" w:hanging="113"/>
        <w:spacing w:after="0"/>
        <w:tabs>
          <w:tab w:leader="none" w:pos="5700" w:val="left"/>
        </w:tabs>
        <w:numPr>
          <w:ilvl w:val="1"/>
          <w:numId w:val="3"/>
        </w:numPr>
        <w:rPr>
          <w:rFonts w:ascii="Arial" w:cs="Arial" w:eastAsia="Arial" w:hAnsi="Arial"/>
          <w:sz w:val="18"/>
          <w:szCs w:val="18"/>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Net Sales by Product Group and End Market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product group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6"/>
          </w:tcPr>
          <w:p>
            <w:pPr>
              <w:jc w:val="center"/>
              <w:ind w:right="94"/>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80" w:type="dxa"/>
            <w:vAlign w:val="bottom"/>
            <w:gridSpan w:val="5"/>
          </w:tcPr>
          <w:p>
            <w:pPr>
              <w:jc w:val="center"/>
              <w:ind w:left="737"/>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Advanced products (1)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422,446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475,752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Mainstream products (2)</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472,518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549,567</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894,964</w:t>
            </w:r>
          </w:p>
        </w:tc>
        <w:tc>
          <w:tcPr>
            <w:tcW w:w="6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1,025,319</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ind w:left="340"/>
              <w:spacing w:after="0"/>
              <w:rPr>
                <w:sz w:val="20"/>
                <w:szCs w:val="20"/>
                <w:color w:val="auto"/>
              </w:rPr>
            </w:pPr>
            <w:r>
              <w:rPr>
                <w:rFonts w:ascii="Arial" w:cs="Arial" w:eastAsia="Arial" w:hAnsi="Arial"/>
                <w:sz w:val="18"/>
                <w:szCs w:val="18"/>
                <w:color w:val="auto"/>
              </w:rPr>
              <w:t>(1) Advanced products include flip chip and wafer-level processing and related test services</w:t>
            </w: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40" w:type="dxa"/>
            <w:vAlign w:val="bottom"/>
            <w:gridSpan w:val="2"/>
          </w:tcPr>
          <w:p>
            <w:pPr>
              <w:ind w:left="340"/>
              <w:spacing w:after="0"/>
              <w:rPr>
                <w:sz w:val="20"/>
                <w:szCs w:val="20"/>
                <w:color w:val="auto"/>
              </w:rPr>
            </w:pPr>
            <w:r>
              <w:rPr>
                <w:rFonts w:ascii="Arial" w:cs="Arial" w:eastAsia="Arial" w:hAnsi="Arial"/>
                <w:sz w:val="18"/>
                <w:szCs w:val="18"/>
                <w:color w:val="auto"/>
              </w:rPr>
              <w:t>(2) Mainstream products include wirebond packaging and related test services</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340" w:type="dxa"/>
            <w:vAlign w:val="bottom"/>
            <w:gridSpan w:val="2"/>
          </w:tcPr>
          <w:p>
            <w:pPr>
              <w:spacing w:after="0"/>
              <w:rPr>
                <w:sz w:val="20"/>
                <w:szCs w:val="20"/>
                <w:color w:val="auto"/>
              </w:rPr>
            </w:pPr>
            <w:r>
              <w:rPr>
                <w:rFonts w:ascii="Arial" w:cs="Arial" w:eastAsia="Arial" w:hAnsi="Arial"/>
                <w:sz w:val="18"/>
                <w:szCs w:val="18"/>
                <w:color w:val="auto"/>
              </w:rPr>
              <w:t>Net sales by end market consist of the following</w:t>
            </w:r>
            <w:r>
              <w:rPr>
                <w:rFonts w:ascii="Arial" w:cs="Arial" w:eastAsia="Arial" w:hAnsi="Arial"/>
                <w:sz w:val="18"/>
                <w:szCs w:val="18"/>
                <w:b w:val="1"/>
                <w:bCs w:val="1"/>
                <w:color w:val="auto"/>
              </w:rPr>
              <w: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right"/>
              <w:ind w:right="254"/>
              <w:spacing w:after="0"/>
              <w:rPr>
                <w:sz w:val="20"/>
                <w:szCs w:val="20"/>
                <w:color w:val="auto"/>
              </w:rPr>
            </w:pPr>
            <w:r>
              <w:rPr>
                <w:rFonts w:ascii="Arial" w:cs="Arial" w:eastAsia="Arial" w:hAnsi="Arial"/>
                <w:sz w:val="14"/>
                <w:szCs w:val="14"/>
                <w:b w:val="1"/>
                <w:bCs w:val="1"/>
                <w:color w:val="auto"/>
                <w:w w:val="97"/>
              </w:rPr>
              <w:t>For the Three Months Ended March 31,</w:t>
            </w:r>
          </w:p>
        </w:tc>
        <w:tc>
          <w:tcPr>
            <w:tcW w:w="0" w:type="dxa"/>
            <w:vAlign w:val="bottom"/>
          </w:tcPr>
          <w:p>
            <w:pPr>
              <w:spacing w:after="0"/>
              <w:rPr>
                <w:sz w:val="1"/>
                <w:szCs w:val="1"/>
                <w:color w:val="auto"/>
              </w:rPr>
            </w:pPr>
          </w:p>
        </w:tc>
      </w:tr>
      <w:tr>
        <w:trPr>
          <w:trHeight w:val="264"/>
        </w:trPr>
        <w:tc>
          <w:tcPr>
            <w:tcW w:w="82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Communications (smartphones, tablets, handheld devices)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Automotive, industrial and other (driver assist, infotainment, safety, performance)</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8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Computing (datacenter, infrastructure, PC/laptop, storage)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Consumer (set-top boxes, televisions, connected home, personal electronics, visual imaging)</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82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net sales</w:t>
            </w: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4.  Other Income and Expense</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2"/>
          </w:tcPr>
          <w:p>
            <w:pPr>
              <w:spacing w:after="0"/>
              <w:rPr>
                <w:sz w:val="20"/>
                <w:szCs w:val="20"/>
                <w:color w:val="auto"/>
              </w:rPr>
            </w:pPr>
            <w:r>
              <w:rPr>
                <w:rFonts w:ascii="Arial" w:cs="Arial" w:eastAsia="Arial" w:hAnsi="Arial"/>
                <w:sz w:val="18"/>
                <w:szCs w:val="18"/>
                <w:color w:val="auto"/>
              </w:rPr>
              <w:t>Other income and expense consists of the following:</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6"/>
          </w:tcPr>
          <w:p>
            <w:pPr>
              <w:jc w:val="center"/>
              <w:ind w:right="94"/>
              <w:spacing w:after="0"/>
              <w:rPr>
                <w:sz w:val="20"/>
                <w:szCs w:val="20"/>
                <w:color w:val="auto"/>
              </w:rPr>
            </w:pPr>
            <w:r>
              <w:rPr>
                <w:rFonts w:ascii="Arial" w:cs="Arial" w:eastAsia="Arial" w:hAnsi="Arial"/>
                <w:sz w:val="14"/>
                <w:szCs w:val="14"/>
                <w:b w:val="1"/>
                <w:bCs w:val="1"/>
                <w:color w:val="auto"/>
                <w:w w:val="95"/>
              </w:rPr>
              <w:t>For the Three Months Ended March 31,</w:t>
            </w:r>
          </w:p>
        </w:tc>
        <w:tc>
          <w:tcPr>
            <w:tcW w:w="0" w:type="dxa"/>
            <w:vAlign w:val="bottom"/>
          </w:tcPr>
          <w:p>
            <w:pPr>
              <w:spacing w:after="0"/>
              <w:rPr>
                <w:sz w:val="1"/>
                <w:szCs w:val="1"/>
                <w:color w:val="auto"/>
              </w:rPr>
            </w:pPr>
          </w:p>
        </w:tc>
      </w:tr>
      <w:tr>
        <w:trPr>
          <w:trHeight w:val="264"/>
        </w:trPr>
        <w:tc>
          <w:tcPr>
            <w:tcW w:w="8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80" w:type="dxa"/>
            <w:vAlign w:val="bottom"/>
            <w:gridSpan w:val="5"/>
          </w:tcPr>
          <w:p>
            <w:pPr>
              <w:jc w:val="center"/>
              <w:ind w:left="737"/>
              <w:spacing w:after="0"/>
              <w:rPr>
                <w:sz w:val="20"/>
                <w:szCs w:val="20"/>
                <w:color w:val="auto"/>
              </w:rPr>
            </w:pPr>
            <w:r>
              <w:rPr>
                <w:rFonts w:ascii="Arial" w:cs="Arial" w:eastAsia="Arial" w:hAnsi="Arial"/>
                <w:sz w:val="14"/>
                <w:szCs w:val="14"/>
                <w:b w:val="1"/>
                <w:bCs w:val="1"/>
                <w:color w:val="auto"/>
                <w:w w:val="93"/>
              </w:rPr>
              <w:t>(In thousands)</w:t>
            </w: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(2,064)</w:t>
            </w: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Foreign currency (gain) loss, net</w:t>
            </w: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(2,013)</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4,713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(488)</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57"/>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(4,565)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3,432</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Income Taxes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Income tax expense of $21.4 million for the three months ended March 31, 2019 reflects income taxes, foreign withholding taxes and minimum taxes. Income tax expense for the three months ended March 31, 2019 also includes a $14.9 million non-cash discrete tax expense primarily for the recognition of a valuation allowance for certain deferred tax assets.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results of recent operations. Based on current projections of future taxable income in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foreign jurisdictions, foreign deferred tax assets of $14.9 million are not expected to be realized, including certain tax credit carryforwards that are expected to expire unused.</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maintain a valuation allowance on a portion of our U.S. net deferred tax assets for deferred interest expense carryforwards, net operating loss carryforwards and foreign tax credit carryforwards that are expected to expire unused. Such valuation allowances are released as the related tax benefits are realized or when sufficient evidence exists to conclude that it is more likely than not that the deferred tax assets will be realized.</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Unrecognized tax benefits represent reserves for potential tax deficiencies or reductions in tax benefits that could result from federal, state or foreign tax audits. Gross unrecognized tax benefits were $25.3 million at December 31, 2018 and $25.2 million as of March 31, 2019. All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 Tax return examinations involve uncertainties, and there can be no assurance that the outcome of examinations will be favorable.</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and unvested restricted shares.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computation of basic and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113"/>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8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52"/>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3"/>
          </w:tcPr>
          <w:p>
            <w:pPr>
              <w:jc w:val="center"/>
              <w:ind w:left="717"/>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3"/>
                <w:szCs w:val="13"/>
                <w:color w:val="auto"/>
              </w:rPr>
            </w:pPr>
          </w:p>
        </w:tc>
      </w:t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4"/>
          </w:tcPr>
          <w:p>
            <w:pPr>
              <w:jc w:val="center"/>
              <w:ind w:right="93"/>
              <w:spacing w:after="0"/>
              <w:rPr>
                <w:sz w:val="20"/>
                <w:szCs w:val="20"/>
                <w:color w:val="auto"/>
              </w:rPr>
            </w:pPr>
            <w:r>
              <w:rPr>
                <w:rFonts w:ascii="Arial" w:cs="Arial" w:eastAsia="Arial" w:hAnsi="Arial"/>
                <w:sz w:val="14"/>
                <w:szCs w:val="14"/>
                <w:b w:val="1"/>
                <w:bCs w:val="1"/>
                <w:color w:val="auto"/>
                <w:w w:val="91"/>
              </w:rPr>
              <w:t>except per share data)</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 common stockholders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(22,879)</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9,544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11"/>
        </w:trPr>
        <w:tc>
          <w:tcPr>
            <w:tcW w:w="8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common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239,414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239,214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Effect of dilutive securities: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Stock options and restricted share awards</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602</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number of common shares outstanding — diluted</w:t>
            </w:r>
          </w:p>
        </w:tc>
        <w:tc>
          <w:tcPr>
            <w:tcW w:w="22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239,414</w:t>
            </w:r>
          </w:p>
        </w:tc>
        <w:tc>
          <w:tcPr>
            <w:tcW w:w="100" w:type="dxa"/>
            <w:vAlign w:val="bottom"/>
            <w:tcBorders>
              <w:bottom w:val="single" w:sz="8" w:color="CCEEFF"/>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239,816</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Amkor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0.04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0.04</w:t>
            </w: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potential shares of common stock that were excluded from diluted EPS, because the effect of including these potential shares was anti-dilutive:</w:t>
      </w:r>
    </w:p>
    <w:p>
      <w:pPr>
        <w:spacing w:after="0" w:line="176"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160" w:type="dxa"/>
            <w:vAlign w:val="bottom"/>
          </w:tcPr>
          <w:p>
            <w:pPr>
              <w:spacing w:after="0"/>
              <w:rPr>
                <w:sz w:val="16"/>
                <w:szCs w:val="16"/>
                <w:color w:val="auto"/>
              </w:rPr>
            </w:pPr>
          </w:p>
        </w:tc>
        <w:tc>
          <w:tcPr>
            <w:tcW w:w="980" w:type="dxa"/>
            <w:vAlign w:val="bottom"/>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Borders>
              <w:top w:val="single" w:sz="8" w:color="auto"/>
            </w:tcBorders>
          </w:tcPr>
          <w:p>
            <w:pPr>
              <w:spacing w:after="0"/>
              <w:rPr>
                <w:sz w:val="17"/>
                <w:szCs w:val="17"/>
                <w:color w:val="auto"/>
              </w:rPr>
            </w:pPr>
          </w:p>
        </w:tc>
      </w:tr>
      <w:tr>
        <w:trPr>
          <w:trHeight w:val="249"/>
        </w:trPr>
        <w:tc>
          <w:tcPr>
            <w:tcW w:w="9280" w:type="dxa"/>
            <w:vAlign w:val="bottom"/>
            <w:gridSpan w:val="2"/>
            <w:shd w:val="clear" w:color="auto" w:fill="CCEEFF"/>
          </w:tcPr>
          <w:p>
            <w:pPr>
              <w:jc w:val="right"/>
              <w:ind w:right="6260"/>
              <w:spacing w:after="0"/>
              <w:rPr>
                <w:sz w:val="20"/>
                <w:szCs w:val="20"/>
                <w:color w:val="auto"/>
              </w:rPr>
            </w:pPr>
            <w:r>
              <w:rPr>
                <w:rFonts w:ascii="Arial" w:cs="Arial" w:eastAsia="Arial" w:hAnsi="Arial"/>
                <w:sz w:val="18"/>
                <w:szCs w:val="18"/>
                <w:color w:val="auto"/>
                <w:w w:val="89"/>
              </w:rPr>
              <w:t>Stock options and restricted share awards</w:t>
            </w:r>
          </w:p>
        </w:tc>
        <w:tc>
          <w:tcPr>
            <w:tcW w:w="116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93"/>
              </w:rPr>
              <w:t>7,123</w:t>
            </w: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3,369</w:t>
            </w:r>
          </w:p>
        </w:tc>
      </w:tr>
      <w:tr>
        <w:trPr>
          <w:trHeight w:val="27"/>
        </w:trPr>
        <w:tc>
          <w:tcPr>
            <w:tcW w:w="83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Accumulated Other Comprehensive Income (Loss)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income (loss), net of tax,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4"/>
                <w:szCs w:val="14"/>
                <w:color w:val="auto"/>
              </w:rPr>
            </w:pPr>
          </w:p>
        </w:tc>
        <w:tc>
          <w:tcPr>
            <w:tcW w:w="14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14"/>
                <w:szCs w:val="14"/>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5"/>
              </w:rPr>
              <w:t>Translation</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21,153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23,812</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(2,224)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6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(2,224)</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(2,356)</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March 31, 2019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2,527</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18,929</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21,456</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23"/>
                <w:szCs w:val="23"/>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Foreign Currency</w:t>
            </w:r>
          </w:p>
        </w:tc>
        <w:tc>
          <w:tcPr>
            <w:tcW w:w="340" w:type="dxa"/>
            <w:vAlign w:val="bottom"/>
          </w:tcPr>
          <w:p>
            <w:pPr>
              <w:spacing w:after="0"/>
              <w:rPr>
                <w:sz w:val="23"/>
                <w:szCs w:val="23"/>
                <w:color w:val="auto"/>
              </w:rPr>
            </w:pPr>
          </w:p>
        </w:tc>
        <w:tc>
          <w:tcPr>
            <w:tcW w:w="11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8"/>
              </w:rPr>
              <w:t>Pension</w:t>
            </w:r>
          </w:p>
        </w:tc>
        <w:tc>
          <w:tcPr>
            <w:tcW w:w="160" w:type="dxa"/>
            <w:vAlign w:val="bottom"/>
          </w:tcPr>
          <w:p>
            <w:pPr>
              <w:spacing w:after="0"/>
              <w:rPr>
                <w:sz w:val="16"/>
                <w:szCs w:val="16"/>
                <w:color w:val="auto"/>
              </w:rPr>
            </w:pPr>
          </w:p>
        </w:tc>
        <w:tc>
          <w:tcPr>
            <w:tcW w:w="14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Translation</w:t>
            </w:r>
          </w:p>
        </w:tc>
        <w:tc>
          <w:tcPr>
            <w:tcW w:w="3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6,303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16,216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22,519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72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200" w:type="dxa"/>
            <w:vAlign w:val="bottom"/>
          </w:tcPr>
          <w:p>
            <w:pPr>
              <w:spacing w:after="0"/>
              <w:rPr>
                <w:sz w:val="21"/>
                <w:szCs w:val="21"/>
                <w:color w:val="auto"/>
              </w:rPr>
            </w:pPr>
          </w:p>
        </w:tc>
        <w:tc>
          <w:tcPr>
            <w:tcW w:w="14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15,091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 income (loss)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720" w:type="dxa"/>
            <w:vAlign w:val="bottom"/>
          </w:tcPr>
          <w:p>
            <w:pPr>
              <w:ind w:left="280"/>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15,091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15,052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income (loss) at March 31,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6,264</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31,307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37,571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Amounts reclassified out of accumulated other comprehensive income (loss) are included as a component of net periodic pension cost (Note 13).</w:t>
      </w:r>
    </w:p>
    <w:p>
      <w:pPr>
        <w:spacing w:after="0" w:line="23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Factoring of Accounts Receivable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As part of the factoring arrangements, we perform certain collection and administrative functions for the receivables sold. For the three months ended March 31, 2019 and 2018, we sold receivables totaling $155.7 million and $225.5 million, net of discounts and fees of $1.2 million and $1.8 million,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1"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134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jc w:val="right"/>
              <w:ind w:right="991"/>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222,635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222,884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Land use rights (1)</w:t>
            </w:r>
          </w:p>
        </w:tc>
        <w:tc>
          <w:tcPr>
            <w:tcW w:w="26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26,845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1,523,065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5,217,555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5,196,930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assets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24,016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25,874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Software and computer equipment</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216,879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213,440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Furniture, fixtures and other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2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32,699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44,381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7,280,222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7,270,623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(4,716,045)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(4,620,175)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2,564,177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2,650,448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Effective January 1, 2019, and in connection with the adoption of Topic 842, land use rights were reclassified to operating lease right of use asset within our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depreciation expense:</w:t>
      </w:r>
    </w:p>
    <w:p>
      <w:pPr>
        <w:spacing w:after="0" w:line="230"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340" w:val="left"/>
          <w:tab w:leader="none" w:pos="9120" w:val="left"/>
          <w:tab w:leader="none" w:pos="9960" w:val="left"/>
          <w:tab w:leader="none" w:pos="10700" w:val="left"/>
        </w:tabs>
        <w:rPr>
          <w:sz w:val="20"/>
          <w:szCs w:val="20"/>
          <w:color w:val="auto"/>
        </w:rPr>
      </w:pPr>
      <w:r>
        <w:rPr>
          <w:rFonts w:ascii="Arial" w:cs="Arial" w:eastAsia="Arial" w:hAnsi="Arial"/>
          <w:sz w:val="18"/>
          <w:szCs w:val="18"/>
          <w:color w:val="auto"/>
        </w:rPr>
        <w:t>Depreciation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135,493</w:t>
        <w:tab/>
        <w:t>$</w:t>
      </w:r>
      <w:r>
        <w:rPr>
          <w:sz w:val="20"/>
          <w:szCs w:val="20"/>
          <w:color w:val="auto"/>
        </w:rPr>
        <w:tab/>
      </w:r>
      <w:r>
        <w:rPr>
          <w:rFonts w:ascii="Arial" w:cs="Arial" w:eastAsia="Arial" w:hAnsi="Arial"/>
          <w:sz w:val="16"/>
          <w:szCs w:val="16"/>
          <w:color w:val="auto"/>
        </w:rPr>
        <w:t>142,004</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4"/>
          <w:szCs w:val="14"/>
          <w:b w:val="1"/>
          <w:bCs w:val="1"/>
          <w:color w:val="auto"/>
        </w:rPr>
        <w:t>Leases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lease certain machinery and equipment, office space, and manufacturing facilities. Leases with an initial term of 12 months or less are not recorded on the balance sheet and we recognize lease expense for these leases on a straight-line basis over the lease term. We account for lease components (e.g., fixed payments including rent, real estate taxes and insurance costs) combined with the non-lease components (e.g., common-area maintenance costs). We use our incremental borrowing rate based on the information available at the lease commencement date to determine the lease liability. Our leases have remaining lease terms ranging from less than one year to 87 years. For purposes of calculating our lease liabilities, our lease terms include options to extend or terminate the lease when it is reasonably certain that we will exercise those options. Certain leases also include options to purchase the leased property.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center"/>
              <w:ind w:right="294"/>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7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2"/>
          </w:tcPr>
          <w:p>
            <w:pPr>
              <w:jc w:val="center"/>
              <w:ind w:right="114"/>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Finance lease cost</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leased assets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43"/>
        </w:trPr>
        <w:tc>
          <w:tcPr>
            <w:tcW w:w="6060" w:type="dxa"/>
            <w:vAlign w:val="bottom"/>
          </w:tcPr>
          <w:p>
            <w:pPr>
              <w:ind w:left="180"/>
              <w:spacing w:after="0"/>
              <w:rPr>
                <w:sz w:val="20"/>
                <w:szCs w:val="20"/>
                <w:color w:val="auto"/>
              </w:rPr>
            </w:pPr>
            <w:r>
              <w:rPr>
                <w:rFonts w:ascii="Arial" w:cs="Arial" w:eastAsia="Arial" w:hAnsi="Arial"/>
                <w:sz w:val="18"/>
                <w:szCs w:val="18"/>
                <w:color w:val="auto"/>
              </w:rPr>
              <w:t>Interest on lease liabilities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Finance lease cost</w:t>
            </w:r>
          </w:p>
        </w:tc>
        <w:tc>
          <w:tcPr>
            <w:tcW w:w="3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color w:val="auto"/>
              </w:rPr>
              <w:t>Net lease cost</w:t>
            </w: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gridSpan w:val="2"/>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13,404</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Rent expense was $12.8 million for three months ended March 31, 2018.</w:t>
            </w: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060" w:type="dxa"/>
            <w:vAlign w:val="bottom"/>
          </w:tcPr>
          <w:p>
            <w:pPr>
              <w:spacing w:after="0"/>
              <w:rPr>
                <w:sz w:val="20"/>
                <w:szCs w:val="20"/>
                <w:color w:val="auto"/>
              </w:rPr>
            </w:pPr>
            <w:r>
              <w:rPr>
                <w:rFonts w:ascii="Arial" w:cs="Arial" w:eastAsia="Arial" w:hAnsi="Arial"/>
                <w:sz w:val="18"/>
                <w:szCs w:val="18"/>
                <w:color w:val="auto"/>
              </w:rPr>
              <w:t>Other information related to leases was as follows: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6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94"/>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92"/>
        </w:trPr>
        <w:tc>
          <w:tcPr>
            <w:tcW w:w="60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Supplemental Cash Flows Information (in thousands)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Operating cash flows for operating leases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6,577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cash flows for finance leases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Financing cash flows for finance leases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1,229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 Average Remaining Lease Term (Years)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94"/>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 Average Discount Rate</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leases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51"/>
        </w:trPr>
        <w:tc>
          <w:tcPr>
            <w:tcW w:w="6060" w:type="dxa"/>
            <w:vAlign w:val="bottom"/>
          </w:tcPr>
          <w:p>
            <w:pPr>
              <w:spacing w:after="0"/>
              <w:rPr>
                <w:sz w:val="20"/>
                <w:szCs w:val="20"/>
                <w:color w:val="auto"/>
              </w:rPr>
            </w:pPr>
            <w:r>
              <w:rPr>
                <w:rFonts w:ascii="Arial" w:cs="Arial" w:eastAsia="Arial" w:hAnsi="Arial"/>
                <w:sz w:val="18"/>
                <w:szCs w:val="18"/>
                <w:color w:val="auto"/>
                <w:w w:val="95"/>
              </w:rPr>
              <w:t>Future minimum lease payments under non-cancellable leases were as follows: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60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March 31, 2019</w:t>
            </w: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6"/>
          </w:tcPr>
          <w:p>
            <w:pPr>
              <w:jc w:val="right"/>
              <w:ind w:right="634"/>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64"/>
        </w:trPr>
        <w:tc>
          <w:tcPr>
            <w:tcW w:w="6060" w:type="dxa"/>
            <w:vAlign w:val="bottom"/>
          </w:tcPr>
          <w:p>
            <w:pPr>
              <w:spacing w:after="0"/>
              <w:rPr>
                <w:sz w:val="22"/>
                <w:szCs w:val="22"/>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Operating Leases</w:t>
            </w:r>
          </w:p>
        </w:tc>
        <w:tc>
          <w:tcPr>
            <w:tcW w:w="126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6"/>
              </w:rPr>
              <w:t>Operating Leases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0"/>
              </w:rPr>
              <w:t>Finance Leases</w:t>
            </w:r>
          </w:p>
        </w:tc>
        <w:tc>
          <w:tcPr>
            <w:tcW w:w="0" w:type="dxa"/>
            <w:vAlign w:val="bottom"/>
          </w:tcPr>
          <w:p>
            <w:pPr>
              <w:spacing w:after="0"/>
              <w:rPr>
                <w:sz w:val="1"/>
                <w:szCs w:val="1"/>
                <w:color w:val="auto"/>
              </w:rPr>
            </w:pPr>
          </w:p>
        </w:tc>
      </w:tr>
      <w:tr>
        <w:trPr>
          <w:trHeight w:val="250"/>
        </w:trPr>
        <w:tc>
          <w:tcPr>
            <w:tcW w:w="6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 Remaining</w:t>
            </w:r>
          </w:p>
        </w:tc>
        <w:tc>
          <w:tcPr>
            <w:tcW w:w="34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24,576</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5,268</w:t>
            </w:r>
          </w:p>
        </w:tc>
        <w:tc>
          <w:tcPr>
            <w:tcW w:w="580" w:type="dxa"/>
            <w:vAlign w:val="bottom"/>
            <w:tcBorders>
              <w:bottom w:val="single" w:sz="8" w:color="CCEEFF"/>
            </w:tcBorders>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32,461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6,430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2020</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27,599</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4,753</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24,630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19,321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4,830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17,676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4,748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11,210</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955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10,942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9,147</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9,008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26,098</w:t>
            </w: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3,868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gridSpan w:val="3"/>
          </w:tcPr>
          <w:p>
            <w:pPr>
              <w:jc w:val="right"/>
              <w:ind w:right="30"/>
              <w:spacing w:after="0"/>
              <w:rPr>
                <w:sz w:val="20"/>
                <w:szCs w:val="20"/>
                <w:color w:val="auto"/>
              </w:rPr>
            </w:pPr>
            <w:r>
              <w:rPr>
                <w:rFonts w:ascii="Arial" w:cs="Arial" w:eastAsia="Arial" w:hAnsi="Arial"/>
                <w:sz w:val="18"/>
                <w:szCs w:val="18"/>
                <w:color w:val="auto"/>
              </w:rPr>
              <w:t>26,070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future minimum lease payments</w:t>
            </w:r>
          </w:p>
        </w:tc>
        <w:tc>
          <w:tcPr>
            <w:tcW w:w="3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117,951</w:t>
            </w: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20,624</w:t>
            </w:r>
          </w:p>
        </w:tc>
        <w:tc>
          <w:tcPr>
            <w:tcW w:w="58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w:t>
            </w:r>
          </w:p>
        </w:tc>
        <w:tc>
          <w:tcPr>
            <w:tcW w:w="7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w w:val="98"/>
              </w:rPr>
              <w:t>120,787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21,412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Less: Imputed interest</w:t>
            </w:r>
          </w:p>
        </w:tc>
        <w:tc>
          <w:tcPr>
            <w:tcW w:w="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(14,240)</w:t>
            </w: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(2,490)</w:t>
            </w: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103,711</w:t>
            </w:r>
          </w:p>
        </w:tc>
        <w:tc>
          <w:tcPr>
            <w:tcW w:w="1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ind w:right="336"/>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18,134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- 12-</w:t>
      </w:r>
    </w:p>
    <w:p>
      <w:pPr>
        <w:sectPr>
          <w:pgSz w:w="11900" w:h="16838" w:orient="portrait"/>
          <w:cols w:equalWidth="0" w:num="1">
            <w:col w:w="11420"/>
          </w:cols>
          <w:pgMar w:left="240" w:top="121" w:right="2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Accrued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4"/>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4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28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4"/>
          </w:tcPr>
          <w:p>
            <w:pPr>
              <w:jc w:val="right"/>
              <w:ind w:right="9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Payroll and benefits</w:t>
            </w:r>
          </w:p>
        </w:tc>
        <w:tc>
          <w:tcPr>
            <w:tcW w:w="432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84,558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124,943</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Short-term operating lease liability</w:t>
            </w: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29,835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4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27,114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38,567</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Accrued interest</w:t>
            </w: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20,062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10,302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revenue and customer advances</w:t>
            </w:r>
          </w:p>
        </w:tc>
        <w:tc>
          <w:tcPr>
            <w:tcW w:w="40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16,573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16,736</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Accrued severance plan obligations</w:t>
            </w:r>
          </w:p>
        </w:tc>
        <w:tc>
          <w:tcPr>
            <w:tcW w:w="4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14,697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13,179</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406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52,957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54,482</w:t>
            </w:r>
          </w:p>
        </w:tc>
        <w:tc>
          <w:tcPr>
            <w:tcW w:w="0" w:type="dxa"/>
            <w:vAlign w:val="bottom"/>
          </w:tcPr>
          <w:p>
            <w:pPr>
              <w:spacing w:after="0"/>
              <w:rPr>
                <w:sz w:val="1"/>
                <w:szCs w:val="1"/>
                <w:color w:val="auto"/>
              </w:rPr>
            </w:pPr>
          </w:p>
        </w:tc>
      </w:tr>
      <w:tr>
        <w:trPr>
          <w:trHeight w:val="257"/>
        </w:trPr>
        <w:tc>
          <w:tcPr>
            <w:tcW w:w="4280" w:type="dxa"/>
            <w:vAlign w:val="bottom"/>
          </w:tcPr>
          <w:p>
            <w:pPr>
              <w:ind w:left="280"/>
              <w:spacing w:after="0"/>
              <w:rPr>
                <w:sz w:val="20"/>
                <w:szCs w:val="20"/>
                <w:color w:val="auto"/>
              </w:rPr>
            </w:pPr>
            <w:r>
              <w:rPr>
                <w:rFonts w:ascii="Arial" w:cs="Arial" w:eastAsia="Arial" w:hAnsi="Arial"/>
                <w:sz w:val="18"/>
                <w:szCs w:val="18"/>
                <w:color w:val="auto"/>
              </w:rPr>
              <w:t>Total accrued expenses</w:t>
            </w:r>
          </w:p>
        </w:tc>
        <w:tc>
          <w:tcPr>
            <w:tcW w:w="406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245,796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258,209</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60" w:type="dxa"/>
            <w:vAlign w:val="bottom"/>
            <w:vMerge w:val="restart"/>
          </w:tcPr>
          <w:p>
            <w:pPr>
              <w:jc w:val="right"/>
              <w:ind w:right="2370"/>
              <w:spacing w:after="0"/>
              <w:rPr>
                <w:sz w:val="20"/>
                <w:szCs w:val="20"/>
                <w:color w:val="auto"/>
              </w:rPr>
            </w:pPr>
            <w:r>
              <w:rPr>
                <w:rFonts w:ascii="Arial" w:cs="Arial" w:eastAsia="Arial" w:hAnsi="Arial"/>
                <w:sz w:val="18"/>
                <w:szCs w:val="18"/>
                <w:color w:val="auto"/>
              </w:rPr>
              <w:t>- 13-</w:t>
            </w: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short-term borrowings and long-term debt: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52"/>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2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Amkor Technology, Inc.:</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Senior notes:</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6.375% Senior notes, due October 2022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524,971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524,971</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6.625% Senior notes, due September 2027 (1)</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of subsidiaries: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Amkor Technology Korea, Inc.:</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$30 million revolving credit facility, LIBOR plus the applicable bank rate, due October 2019 (2)</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3.70%, due May 2020</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120,000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fund floating rate plus 1.60%, due June 2020 (3)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125,000</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2.56%, due December 2023</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applicable bank rate plus 1.98%, due December 2028 (3)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24,000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J-Devices Corporation:</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Short-term term loans, variable rate (4)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27,368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8,232</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0.86%, due June 2022</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29,316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31,908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fixed rate at 0.60%, due July 2022</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6,838</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fixed rate at 1.30%, due July 2023</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211,077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225,180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Amkor Assembly &amp; Test (Shanghai) Co., Ltd. (5):</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Term loan, LIBOR plus 1.80%, due December 2019 (6)</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48,000</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Term loan, LIBOR plus 1.60%, due March 2022 (6)</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834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3"/>
              </w:rPr>
              <w:t>$250 million senior secured revolving credit facility, LIBOR plus 1.25%-1.75%, due July 2023 (Singapore)</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834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(7)</w:t>
            </w:r>
          </w:p>
        </w:tc>
        <w:tc>
          <w:tcPr>
            <w:tcW w:w="26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Revolving credit facility, TAIFX plus the applicable bank rate, due November 2020 (Taiwan) (8)</w:t>
            </w:r>
          </w:p>
        </w:tc>
        <w:tc>
          <w:tcPr>
            <w:tcW w:w="26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20,000</w:t>
            </w:r>
          </w:p>
        </w:tc>
      </w:tr>
      <w:tr>
        <w:trPr>
          <w:trHeight w:val="27"/>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1,862,046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1,334,129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Unamortized premium, discount and deferred debt costs, net</w:t>
            </w: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(8,082)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(1,818)</w:t>
            </w:r>
          </w:p>
        </w:tc>
      </w:tr>
      <w:tr>
        <w:trPr>
          <w:trHeight w:val="27"/>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Short-term borrowings and 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(638,702)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(114,579)</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1,215,262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1,217,732</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left="6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2019, we issued a redemption notice for the outstanding $525 million aggregate principal amount of our 6.375% Senior Notes due 2022 ("2022 Notes"). The redemption was completed in April 2019. In accordance with the terms of the indenture governing the 2022 Notes, the redemption price was 101.594% of the principal amount of the 2022 Notes plus accrued and unpaid interest. We expect to record a one-time charge in the second quarter of 2019 of approximately $8.0 million for early extinguishment of debt. The redemption of the 2022 Notes was funded with net proceeds from our issuance of $525 million of 6.625% Senior Notes due September 2027 ("2027 Notes") in March 2019, together with cash on hand. The 2027 Notes were issued at a discount of 99.5% or $2.6 million and are senior unsecured obligations. Interest is payable semiannually on March 15 and September 15 of each year, commencing September 15, 2019. We incurred $3.6 million of debt issuance costs associated with the 2027 Notes.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5640" w:hanging="98"/>
        <w:spacing w:after="0"/>
        <w:tabs>
          <w:tab w:leader="none" w:pos="56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October 2018, we entered into a revolving credit facility agreement with availability of $30.0 million. Principal will be payable at the maturity date of October 2019. Interest will be payable monthly in arrears, at LIBOR plus the applicable bank rate. As of March 31, 2019, $30.0 million was available to be drawn.</w:t>
      </w:r>
    </w:p>
    <w:p>
      <w:pPr>
        <w:spacing w:after="0" w:line="140"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May 2015, we entered into a term loan agreement pursuant to which we may borrow up to $150.0 million for capital expenditures. Principal is payable at maturity in June 2020. Interest is payable quarterly in arrears, at a fund floating rate plus 1.60% (4.70% as of March 31, 2019). In February 2019, we repaid $29.0 million of the outstanding balance of this term loan using the proceeds from our term loan due December 2028.</w:t>
      </w:r>
    </w:p>
    <w:p>
      <w:pPr>
        <w:spacing w:after="0" w:line="106" w:lineRule="exact"/>
        <w:rPr>
          <w:rFonts w:ascii="Arial" w:cs="Arial" w:eastAsia="Arial" w:hAnsi="Arial"/>
          <w:sz w:val="16"/>
          <w:szCs w:val="16"/>
          <w:color w:val="auto"/>
        </w:rPr>
      </w:pPr>
    </w:p>
    <w:p>
      <w:pPr>
        <w:jc w:val="both"/>
        <w:ind w:left="660"/>
        <w:spacing w:after="0" w:line="302" w:lineRule="auto"/>
        <w:rPr>
          <w:rFonts w:ascii="Arial" w:cs="Arial" w:eastAsia="Arial" w:hAnsi="Arial"/>
          <w:sz w:val="16"/>
          <w:szCs w:val="16"/>
          <w:color w:val="auto"/>
        </w:rPr>
      </w:pPr>
      <w:r>
        <w:rPr>
          <w:rFonts w:ascii="Arial" w:cs="Arial" w:eastAsia="Arial" w:hAnsi="Arial"/>
          <w:sz w:val="16"/>
          <w:szCs w:val="16"/>
          <w:color w:val="auto"/>
        </w:rPr>
        <w:t>In December 2018, we entered into a term loan agreement pursuant to which we may borrow up to $90.0 million for capital expenditures. In February 2019, we borrowed $30.0 million of this term loan and used the proceeds to repay part of the term loan due June 2020. Principal of this term loan is payable in semiannual installments beginning June 2022 and ending at maturity date of December 2028. Interest is payable quarterly in arrears, at the applicable bank rate plus 1.98% (4.62% as of March 31, 2019). As of March 31, 2019, $36.0 million was available to be drawn.</w:t>
      </w:r>
    </w:p>
    <w:p>
      <w:pPr>
        <w:spacing w:after="0" w:line="113"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entered into various short-term term loans which mature semiannually. Principal and interest are payable in monthly installments. Interest as of March 31, 2019 is at TIBOR plus 0.17% to 0.26% (weighted average of 0.20% as of March 31, 2019). As of March 31, 2019, $4.0 million was available to be drawn.</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April 2019, we entered into a term loan agreement with availability of $20.0 million. Principal will be payable in semiannual installments of $0.5 million, with the remaining balance due at maturity, three years after the first borrowing. Interest will be payable quarterly at a floating rate of LIBOR plus 1.40%.</w:t>
      </w:r>
    </w:p>
    <w:p>
      <w:pPr>
        <w:spacing w:after="0" w:line="14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December 2016, we entered into a $50.0 million term loan agreement. Principal is payable in semiannual installments of $0.5 million, with the remaining balance due at maturity date of December 2019. Interest is payable quarterly at a floating rate of LIBOR plus 1.80% (4.60% as of March 31, 2019). In March 2019, we repaid $20.0 million of the outstanding balance of this term loan using the proceeds from our term loan due March 2022.</w:t>
      </w:r>
    </w:p>
    <w:p>
      <w:pPr>
        <w:spacing w:after="0" w:line="146"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In March 2019, we entered into a $30.0 million term loan agreement due March 2022. We borrowed $20.0 million under this term loan and repaid part of the term loan due December 2019. Principal is payable in semiannual installments of $0.5 million, with the remaining balance due at maturity. Interest is payable quarterly at a floating rate of LIBOR plus 1.60% (4.21% as of March 31, 2019). As of March 31, 2019, $10.0 million was available to be drawn. In April 2019, we borrowed an additional $10.0 million of this new term loan and used the proceeds along with cash on hand to repay the remaining $28.0 million outstanding of the term loan due December 2019.</w:t>
      </w:r>
    </w:p>
    <w:p>
      <w:pPr>
        <w:spacing w:after="0" w:line="14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July 2018, our subsidiary, Amkor Technology Singapore Holding Pte, Ltd., entered into a $250.0 million senior secured revolving credit facility, which is guaranteed by Amkor Technology, Inc. The availability for our revolving credit facility is based on the amount of eligible accounts receivable. As of March 31, 2019, we had availability of $176.0 million with no outstanding standby letters of credit.</w:t>
      </w:r>
    </w:p>
    <w:p>
      <w:pPr>
        <w:spacing w:after="0" w:line="14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November 2015, we entered into a $39.0 million revolving credit facility. Principal is payable at maturity. Interest is payable monthly, at TAIFX plus the applicable bank rate (3.78% as of March 31, 2019). As of March 31, 2019, $19.0 million was available to be drawn.</w:t>
      </w:r>
    </w:p>
    <w:p>
      <w:pPr>
        <w:spacing w:after="0" w:line="13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of our foreign debt is collateralized by the land, buildings, equipment and accounts receivable in the respective locations. The carrying value of the collateral exceeds the carrying amount of the debt.</w:t>
      </w:r>
    </w:p>
    <w:p>
      <w:pPr>
        <w:spacing w:after="0" w:line="11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debt of Amkor Technology, Inc. is structurally subordinated in right of payment to all existing and future debt and other liabilities of our subsidiaries. From time to time, Amkor Technology, Inc. also guarantees certain debt of our subsidiaries. The agreements governing our indebtedness contain affirmative and negative covenants which restrict our ability to pay dividends and could restrict our operations. We have never paid a dividend to our stockholders and we do not have any present plans for doing so. We were in compliance with all debt covenants at March 31, 2019.</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Pension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Defined Benefit Pension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080" w:type="dxa"/>
            <w:vAlign w:val="bottom"/>
            <w:tcBorders>
              <w:bottom w:val="single" w:sz="8" w:color="auto"/>
            </w:tcBorders>
            <w:gridSpan w:val="5"/>
          </w:tcPr>
          <w:p>
            <w:pPr>
              <w:jc w:val="right"/>
              <w:ind w:right="213"/>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7,977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20" w:type="dxa"/>
            <w:vAlign w:val="bottom"/>
          </w:tcPr>
          <w:p>
            <w:pPr>
              <w:spacing w:after="0"/>
              <w:rPr>
                <w:sz w:val="21"/>
                <w:szCs w:val="21"/>
                <w:color w:val="auto"/>
              </w:rPr>
            </w:pPr>
          </w:p>
        </w:tc>
        <w:tc>
          <w:tcPr>
            <w:tcW w:w="580" w:type="dxa"/>
            <w:vAlign w:val="bottom"/>
          </w:tcPr>
          <w:p>
            <w:pPr>
              <w:jc w:val="right"/>
              <w:ind w:right="13"/>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1,243</w:t>
            </w:r>
          </w:p>
        </w:tc>
      </w:tr>
      <w:tr>
        <w:trPr>
          <w:trHeight w:val="27"/>
        </w:trPr>
        <w:tc>
          <w:tcPr>
            <w:tcW w:w="8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Recognized actuarial gain</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83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periodic pension cost</w:t>
            </w:r>
          </w:p>
        </w:tc>
        <w:tc>
          <w:tcPr>
            <w:tcW w:w="920" w:type="dxa"/>
            <w:vAlign w:val="bottom"/>
            <w:tcBorders>
              <w:bottom w:val="single" w:sz="8" w:color="auto"/>
            </w:tcBorders>
            <w:shd w:val="clear" w:color="auto" w:fill="CCEEFF"/>
          </w:tcPr>
          <w:p>
            <w:pPr>
              <w:jc w:val="right"/>
              <w:ind w:right="71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7,589</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8,182</w:t>
            </w: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components of net periodic pension cost other than the service cost component are included in other (income) expense, net in our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Pension Plans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sponsor defined contribution pension plans in Korea, Malaysia, Taiwan and the U.S. The following table summarizes our defined contribution expense:</w:t>
      </w:r>
    </w:p>
    <w:p>
      <w:pPr>
        <w:spacing w:after="0" w:line="253"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p>
      <w:pPr>
        <w:ind w:left="8940"/>
        <w:spacing w:after="0"/>
        <w:tabs>
          <w:tab w:leader="none" w:pos="1052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ind w:left="944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40"/>
        <w:spacing w:after="0"/>
        <w:tabs>
          <w:tab w:leader="none" w:pos="8340" w:val="left"/>
          <w:tab w:leader="none" w:pos="9300" w:val="left"/>
          <w:tab w:leader="none" w:pos="9960" w:val="left"/>
          <w:tab w:leader="none" w:pos="10880" w:val="left"/>
        </w:tabs>
        <w:rPr>
          <w:sz w:val="20"/>
          <w:szCs w:val="20"/>
          <w:color w:val="auto"/>
        </w:rPr>
      </w:pPr>
      <w:r>
        <w:rPr>
          <w:rFonts w:ascii="Arial" w:cs="Arial" w:eastAsia="Arial" w:hAnsi="Arial"/>
          <w:sz w:val="18"/>
          <w:szCs w:val="18"/>
          <w:color w:val="auto"/>
        </w:rPr>
        <w:t>Defined contribution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4,405</w:t>
        <w:tab/>
        <w:t>$</w:t>
      </w:r>
      <w:r>
        <w:rPr>
          <w:sz w:val="20"/>
          <w:szCs w:val="20"/>
          <w:color w:val="auto"/>
        </w:rPr>
        <w:tab/>
      </w:r>
      <w:r>
        <w:rPr>
          <w:rFonts w:ascii="Arial" w:cs="Arial" w:eastAsia="Arial" w:hAnsi="Arial"/>
          <w:sz w:val="16"/>
          <w:szCs w:val="16"/>
          <w:color w:val="auto"/>
        </w:rPr>
        <w:t>3,996</w:t>
      </w:r>
    </w:p>
    <w:p>
      <w:pPr>
        <w:spacing w:after="0" w:line="24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Fair Value Measurements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cash equivalent money market funds and restricted cash money market funds. We also review goodwill for impairment annually during the fourth quarter of each year.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credit market issues affecting the money market funds we invest in or the counterparty financial institutions holding our deposits. Money market funds are valued using quoted market prices in active markets for identical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Recurring fair value measurements consist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401"/>
              <w:spacing w:after="0"/>
              <w:rPr>
                <w:sz w:val="20"/>
                <w:szCs w:val="20"/>
                <w:color w:val="auto"/>
              </w:rPr>
            </w:pPr>
            <w:r>
              <w:rPr>
                <w:rFonts w:ascii="Arial" w:cs="Arial" w:eastAsia="Arial" w:hAnsi="Arial"/>
                <w:sz w:val="14"/>
                <w:szCs w:val="14"/>
                <w:b w:val="1"/>
                <w:bCs w:val="1"/>
                <w:color w:val="auto"/>
              </w:rPr>
              <w:t>March 31,</w:t>
            </w:r>
          </w:p>
        </w:tc>
        <w:tc>
          <w:tcPr>
            <w:tcW w:w="300" w:type="dxa"/>
            <w:vAlign w:val="bottom"/>
          </w:tcPr>
          <w:p>
            <w:pPr>
              <w:spacing w:after="0"/>
              <w:rPr>
                <w:sz w:val="14"/>
                <w:szCs w:val="14"/>
                <w:color w:val="auto"/>
              </w:rPr>
            </w:pPr>
          </w:p>
        </w:tc>
        <w:tc>
          <w:tcPr>
            <w:tcW w:w="1260" w:type="dxa"/>
            <w:vAlign w:val="bottom"/>
          </w:tcPr>
          <w:p>
            <w:pPr>
              <w:jc w:val="right"/>
              <w:ind w:right="259"/>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20" w:type="dxa"/>
            <w:vAlign w:val="bottom"/>
            <w:gridSpan w:val="3"/>
          </w:tcPr>
          <w:p>
            <w:pPr>
              <w:jc w:val="right"/>
              <w:ind w:right="999"/>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 money market funds (Level 1)</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463,245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74,407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Restricted cash money market funds (Level 1)</w:t>
            </w:r>
          </w:p>
        </w:tc>
        <w:tc>
          <w:tcPr>
            <w:tcW w:w="260" w:type="dxa"/>
            <w:vAlign w:val="bottom"/>
          </w:tcPr>
          <w:p>
            <w:pPr>
              <w:spacing w:after="0"/>
              <w:rPr>
                <w:sz w:val="21"/>
                <w:szCs w:val="21"/>
                <w:color w:val="auto"/>
              </w:rPr>
            </w:pPr>
          </w:p>
        </w:tc>
        <w:tc>
          <w:tcPr>
            <w:tcW w:w="1260" w:type="dxa"/>
            <w:vAlign w:val="bottom"/>
          </w:tcPr>
          <w:p>
            <w:pPr>
              <w:jc w:val="right"/>
              <w:ind w:right="41"/>
              <w:spacing w:after="0"/>
              <w:rPr>
                <w:sz w:val="20"/>
                <w:szCs w:val="20"/>
                <w:color w:val="auto"/>
              </w:rPr>
            </w:pPr>
            <w:r>
              <w:rPr>
                <w:rFonts w:ascii="Arial" w:cs="Arial" w:eastAsia="Arial" w:hAnsi="Arial"/>
                <w:sz w:val="18"/>
                <w:szCs w:val="18"/>
                <w:color w:val="auto"/>
              </w:rPr>
              <w:t>2,589</w:t>
            </w:r>
          </w:p>
        </w:tc>
        <w:tc>
          <w:tcPr>
            <w:tcW w:w="300" w:type="dxa"/>
            <w:vAlign w:val="bottom"/>
          </w:tcPr>
          <w:p>
            <w:pPr>
              <w:spacing w:after="0"/>
              <w:rPr>
                <w:sz w:val="21"/>
                <w:szCs w:val="21"/>
                <w:color w:val="auto"/>
              </w:rPr>
            </w:pPr>
          </w:p>
        </w:tc>
        <w:tc>
          <w:tcPr>
            <w:tcW w:w="1260" w:type="dxa"/>
            <w:vAlign w:val="bottom"/>
          </w:tcPr>
          <w:p>
            <w:pPr>
              <w:jc w:val="right"/>
              <w:ind w:right="19"/>
              <w:spacing w:after="0"/>
              <w:rPr>
                <w:sz w:val="20"/>
                <w:szCs w:val="20"/>
                <w:color w:val="auto"/>
              </w:rPr>
            </w:pPr>
            <w:r>
              <w:rPr>
                <w:rFonts w:ascii="Arial" w:cs="Arial" w:eastAsia="Arial" w:hAnsi="Arial"/>
                <w:sz w:val="18"/>
                <w:szCs w:val="18"/>
                <w:color w:val="auto"/>
              </w:rPr>
              <w:t>2,589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also measure certain assets and liabilities, including property, plant and equipment and goodwill, at fair value on a nonrecurring basis.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measure the fair value of our debt for disclosure purposes. The following table presents the fair value of financial instruments that are not recorded at fair value on a recurring basis: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2019</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57"/>
              <w:spacing w:after="0"/>
              <w:rPr>
                <w:sz w:val="20"/>
                <w:szCs w:val="20"/>
                <w:color w:val="auto"/>
              </w:rPr>
            </w:pPr>
            <w:r>
              <w:rPr>
                <w:rFonts w:ascii="Arial" w:cs="Arial" w:eastAsia="Arial" w:hAnsi="Arial"/>
                <w:sz w:val="14"/>
                <w:szCs w:val="14"/>
                <w:b w:val="1"/>
                <w:bCs w:val="1"/>
                <w:color w:val="auto"/>
              </w:rPr>
              <w:t>December 31, 2018</w:t>
            </w:r>
          </w:p>
        </w:tc>
      </w:tr>
      <w:tr>
        <w:trPr>
          <w:trHeight w:val="152"/>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rPr>
              <w:t>Fair</w:t>
            </w:r>
          </w:p>
        </w:tc>
        <w:tc>
          <w:tcPr>
            <w:tcW w:w="440" w:type="dxa"/>
            <w:vAlign w:val="bottom"/>
          </w:tcPr>
          <w:p>
            <w:pPr>
              <w:spacing w:after="0"/>
              <w:rPr>
                <w:sz w:val="13"/>
                <w:szCs w:val="13"/>
                <w:color w:val="auto"/>
              </w:rPr>
            </w:pPr>
          </w:p>
        </w:tc>
        <w:tc>
          <w:tcPr>
            <w:tcW w:w="1140" w:type="dxa"/>
            <w:vAlign w:val="bottom"/>
            <w:gridSpan w:val="2"/>
          </w:tcPr>
          <w:p>
            <w:pPr>
              <w:jc w:val="center"/>
              <w:ind w:right="540"/>
              <w:spacing w:after="0" w:line="153" w:lineRule="exact"/>
              <w:rPr>
                <w:sz w:val="20"/>
                <w:szCs w:val="20"/>
                <w:color w:val="auto"/>
              </w:rPr>
            </w:pPr>
            <w:r>
              <w:rPr>
                <w:rFonts w:ascii="Arial" w:cs="Arial" w:eastAsia="Arial" w:hAnsi="Arial"/>
                <w:sz w:val="14"/>
                <w:szCs w:val="14"/>
                <w:b w:val="1"/>
                <w:bCs w:val="1"/>
                <w:color w:val="auto"/>
                <w:w w:val="97"/>
              </w:rPr>
              <w:t>Carrying</w:t>
            </w:r>
          </w:p>
        </w:tc>
        <w:tc>
          <w:tcPr>
            <w:tcW w:w="480" w:type="dxa"/>
            <w:vAlign w:val="bottom"/>
          </w:tcPr>
          <w:p>
            <w:pPr>
              <w:spacing w:after="0"/>
              <w:rPr>
                <w:sz w:val="13"/>
                <w:szCs w:val="13"/>
                <w:color w:val="auto"/>
              </w:rPr>
            </w:pPr>
          </w:p>
        </w:tc>
        <w:tc>
          <w:tcPr>
            <w:tcW w:w="110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180" w:type="dxa"/>
            <w:vAlign w:val="bottom"/>
          </w:tcPr>
          <w:p>
            <w:pPr>
              <w:jc w:val="right"/>
              <w:ind w:right="377"/>
              <w:spacing w:after="0" w:line="153" w:lineRule="exact"/>
              <w:rPr>
                <w:sz w:val="20"/>
                <w:szCs w:val="20"/>
                <w:color w:val="auto"/>
              </w:rPr>
            </w:pPr>
            <w:r>
              <w:rPr>
                <w:rFonts w:ascii="Arial" w:cs="Arial" w:eastAsia="Arial" w:hAnsi="Arial"/>
                <w:sz w:val="14"/>
                <w:szCs w:val="14"/>
                <w:b w:val="1"/>
                <w:bCs w:val="1"/>
                <w:color w:val="auto"/>
              </w:rPr>
              <w:t>Carrying</w:t>
            </w:r>
          </w:p>
        </w:tc>
      </w:tr>
      <w:tr>
        <w:trPr>
          <w:trHeight w:val="192"/>
        </w:trPr>
        <w:tc>
          <w:tcPr>
            <w:tcW w:w="51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Value</w:t>
            </w:r>
          </w:p>
        </w:tc>
      </w:tr>
      <w:tr>
        <w:trPr>
          <w:trHeight w:val="250"/>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 (Level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1,067,500</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1,043,595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526,131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524,978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Revolving credit facilities and term loans (Level 2)</w:t>
            </w:r>
          </w:p>
        </w:tc>
        <w:tc>
          <w:tcPr>
            <w:tcW w:w="340" w:type="dxa"/>
            <w:vAlign w:val="bottom"/>
          </w:tcPr>
          <w:p>
            <w:pPr>
              <w:spacing w:after="0"/>
              <w:rPr>
                <w:sz w:val="21"/>
                <w:szCs w:val="21"/>
                <w:color w:val="auto"/>
              </w:rPr>
            </w:pPr>
          </w:p>
        </w:tc>
        <w:tc>
          <w:tcPr>
            <w:tcW w:w="1160" w:type="dxa"/>
            <w:vAlign w:val="bottom"/>
          </w:tcPr>
          <w:p>
            <w:pPr>
              <w:jc w:val="right"/>
              <w:ind w:right="39"/>
              <w:spacing w:after="0"/>
              <w:rPr>
                <w:sz w:val="20"/>
                <w:szCs w:val="20"/>
                <w:color w:val="auto"/>
              </w:rPr>
            </w:pPr>
            <w:r>
              <w:rPr>
                <w:rFonts w:ascii="Arial" w:cs="Arial" w:eastAsia="Arial" w:hAnsi="Arial"/>
                <w:sz w:val="18"/>
                <w:szCs w:val="18"/>
                <w:color w:val="auto"/>
              </w:rPr>
              <w:t>815,432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810,369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803,867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807,333</w:t>
            </w: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debt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1,882,932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1,853,964</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1,329,998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1,332,311</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generally warrant that our services will be performed in a professional and workmanlike manner and in compliance with our customers' specifications. We accrue costs for known warranty issues. Historically, our warranty costs have been immaterial.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are involved in claims and legal proceedings and may become involved in other legal matters arising in the ordinary course of our business. We evaluate these claims and legal matters on a case-by-case basis to make a determination as to 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1"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Amkor is one of the world’s leading providers of outsourced semiconductor packaging and test services. Our financial goals are sales growth and improved profitability. To achieve these goals, we are focused on generating increased value from our investments in advanced technologies, improving utilization of existing assets, executing our balanced growth strategy and selectively growing our scale and scope through strategic investments.</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are an industry leader in developing and commercializing cost-effective advanced packaging and test technologies. These advanced technology solutions provide increased value to our customers. This is particularly true in the mobile communications market, where growth has outpaced the semiconductor industry rate. Advanced packages are now the preferred choice in both the high-end and the mid-range segments of the smartphone market, which together account for a high portion of mobile phone semiconductor value. The demand for advanced packages is also being driven by second-wave mobile device customers, who are transitioning out of wirebond into wafer-level and flip-chip packages. Our sales</w:t>
      </w:r>
    </w:p>
    <w:p>
      <w:pPr>
        <w:spacing w:after="0" w:line="3"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of advanced packages into the automotive market are growing as well, largely due to new, data-intensive applications. The increasing pin count and performance requirements of automotive integrated circuits are driving the increased use of advanced packages. We believe that our technology leadership and this technology transition create significant growth opportunities for us.</w:t>
      </w:r>
    </w:p>
    <w:p>
      <w:pPr>
        <w:spacing w:after="0" w:line="1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typically look for opportunities in the advanced packaging and test area where we can generate reasonably quick returns on investments made for customers seeking leading edge technologies. We also focus on developing a second wave of customers to fill the capacity that becomes available when leading edge customers transition to newer packaging and test equipment and platforms. For example, we are continuing our efforts to expand our sales to Chinese and Taiwanese fabless chip companies that make up a significant portion of the growing mid-tier and entry-level segments of the mobile device market. In addition, we are seeking new customers and deepening our engagement with existing customers. This includes an expanded emphasis on the automotive market where semiconductor content continues to grow and in the analog area for our mainstream wirebond technologies.</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From time to time, we identify attractive opportunities to grow our customer base and expand the markets we serve. For example, in May 2017, we acquired Nanium, which has strengthened our position in the market for wafer-level fan-out packaging. In December 2015, we completed the acquisition of J-Devices, the largest provider of outsourced semiconductor assembly and test services in Japan. J-Devices is primarily focused on the automotive, industrial and consumer end markets. We believe that selective growth through joint ventures, acquisitions and other strategic investments can help diversify our revenue streams, improve our profits, broaden our portfolio of services and maintain our technological leadership.</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Our IDM customers include: Intel Corporation; Renesas Electronics Corporation; STMicroelectronics N.V.; Texas Instruments Incorporated and Toshiba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Corporation. Our fabless customers include: Broadcom Limited, Qualcomm Incorporated and Toshiba Memory Corporation. Our contract foundry customers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include: Samsung Electronics Company Limited and Taiwan Semiconductor Manufacturing Company Limited.</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supplier in the semiconductor industry, our business is cyclical and impacted by broad economic factors. Historically, there has been a strong correlation between world-wide gross domestic product levels, consumer spending and semiconductor industry cycles. The semiconductor industry has experienced significant and sometimes prolonged cyclical upturns and downturns in the past. We believe that there is an inventory correction in the smartphone market and the general semiconductor market is going through a typical cyclical correction. We cannot predict the timing, strength or duration of any correction, economic slowdown or subsequent economic recovery.</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net sales, gross profit, operating income, cash flows, liquidity and capital resources have historically fluctuated significantly from quarter to quarter as a result of many factors, including the seasonality of our business, the cyclical nature of the semiconductor industry and other factors discussed in Part II, Item 1A of this Quarterly Report on Form 10-Q.</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in a capital-intensive industry and have a significant level of debt. Servicing our current and future customers requires that we incur significant operating expenses and continue to make significant capital expenditures, which are generally made in advance of the related revenues and without firm customer commitments. We fund our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w:t>
      </w:r>
    </w:p>
    <w:p>
      <w:pPr>
        <w:sectPr>
          <w:pgSz w:w="11900" w:h="16838" w:orient="portrait"/>
          <w:cols w:equalWidth="0" w:num="1">
            <w:col w:w="11420"/>
          </w:cols>
          <w:pgMar w:left="240" w:top="121"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including capital expenditures and debt service requirements, with cash flows from operations, existing cash and cash equivalents, borrowings under available credit facilities and proceeds from any additional financing. Maintaining an appropriate level of liquidity is important to our business and depends on, among other things, the performance of our business, our capital expenditure levels and our ability to repay debt out of our operating cash flows or proceeds from debt or equity financings.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sales decreased $130.4 million or 12.7% to $895.0 million for the three months ended March 31, 2019 from $1,025.3 million for the three months ended March 31, 2018. This decrease was attributable to inventory corrections in the smartphone market and a cyclical correction in the general semiconductor market.</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Gross margin for the three months ended March 31, 2019 decreased to 13.5% from 15.4% for the three months ended March 31, 2018. The decline in gross margin was primarily attributable to lower revenue, reduced utilization and changes in product mix.</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capital expenditures totaled $203.2 million for the three months ended March 31, 2019, compared to $230.6 million for the three months ended March 31, 2018. The decrease in spending is primarily due to our initiative to reduce spending on incremental capacity during a period of reduced demand.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cash provided by operating activities was $52.1 million for the three months ended March 31, 2019, compared to $147.6 million for the three months ended March 31, 2018. This decrease was primarily due to lower net income and changes in our net working capital.</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In March 2019, we issued $525 million aggregate principal amount of our 6.625% Senior Notes due 2027. The net proceeds from this issuance were used, together with cash on hand, to redeem the $525 million aggregate principal amount of our 6.375% Senior Notes due 2022 in April 2019.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operating data as a percentage of net sales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20" w:type="dxa"/>
            <w:vAlign w:val="bottom"/>
          </w:tcPr>
          <w:p>
            <w:pPr>
              <w:spacing w:after="0"/>
              <w:rPr>
                <w:sz w:val="16"/>
                <w:szCs w:val="16"/>
                <w:color w:val="auto"/>
              </w:rPr>
            </w:pPr>
          </w:p>
        </w:tc>
        <w:tc>
          <w:tcPr>
            <w:tcW w:w="320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82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r>
      <w:tr>
        <w:trPr>
          <w:trHeight w:val="236"/>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1"/>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r>
      <w:tr>
        <w:trPr>
          <w:trHeight w:val="237"/>
        </w:trPr>
        <w:tc>
          <w:tcPr>
            <w:tcW w:w="9180" w:type="dxa"/>
            <w:vAlign w:val="bottom"/>
            <w:gridSpan w:val="2"/>
          </w:tcPr>
          <w:p>
            <w:pPr>
              <w:ind w:left="40"/>
              <w:spacing w:after="0"/>
              <w:rPr>
                <w:sz w:val="20"/>
                <w:szCs w:val="20"/>
                <w:color w:val="auto"/>
              </w:rPr>
            </w:pPr>
            <w:r>
              <w:rPr>
                <w:rFonts w:ascii="Arial" w:cs="Arial" w:eastAsia="Arial" w:hAnsi="Arial"/>
                <w:sz w:val="16"/>
                <w:szCs w:val="16"/>
                <w:color w:val="auto"/>
              </w:rPr>
              <w:t>Materials</w:t>
            </w:r>
          </w:p>
        </w:tc>
        <w:tc>
          <w:tcPr>
            <w:tcW w:w="600" w:type="dxa"/>
            <w:vAlign w:val="bottom"/>
          </w:tcPr>
          <w:p>
            <w:pPr>
              <w:jc w:val="right"/>
              <w:spacing w:after="0"/>
              <w:rPr>
                <w:sz w:val="20"/>
                <w:szCs w:val="20"/>
                <w:color w:val="auto"/>
              </w:rPr>
            </w:pPr>
            <w:r>
              <w:rPr>
                <w:rFonts w:ascii="Arial" w:cs="Arial" w:eastAsia="Arial" w:hAnsi="Arial"/>
                <w:sz w:val="16"/>
                <w:szCs w:val="16"/>
                <w:color w:val="auto"/>
              </w:rPr>
              <w:t>38.0 %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Labor</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w:t>
            </w:r>
          </w:p>
        </w:tc>
      </w:tr>
      <w:tr>
        <w:trPr>
          <w:trHeight w:val="237"/>
        </w:trPr>
        <w:tc>
          <w:tcPr>
            <w:tcW w:w="9180" w:type="dxa"/>
            <w:vAlign w:val="bottom"/>
            <w:gridSpan w:val="2"/>
          </w:tcPr>
          <w:p>
            <w:pPr>
              <w:ind w:left="40"/>
              <w:spacing w:after="0"/>
              <w:rPr>
                <w:sz w:val="20"/>
                <w:szCs w:val="20"/>
                <w:color w:val="auto"/>
              </w:rPr>
            </w:pPr>
            <w:r>
              <w:rPr>
                <w:rFonts w:ascii="Arial" w:cs="Arial" w:eastAsia="Arial" w:hAnsi="Arial"/>
                <w:sz w:val="16"/>
                <w:szCs w:val="16"/>
                <w:color w:val="auto"/>
              </w:rPr>
              <w:t>Other manufacturing costs</w:t>
            </w:r>
          </w:p>
        </w:tc>
        <w:tc>
          <w:tcPr>
            <w:tcW w:w="600" w:type="dxa"/>
            <w:vAlign w:val="bottom"/>
          </w:tcPr>
          <w:p>
            <w:pPr>
              <w:jc w:val="right"/>
              <w:spacing w:after="0"/>
              <w:rPr>
                <w:sz w:val="20"/>
                <w:szCs w:val="20"/>
                <w:color w:val="auto"/>
              </w:rPr>
            </w:pPr>
            <w:r>
              <w:rPr>
                <w:rFonts w:ascii="Arial" w:cs="Arial" w:eastAsia="Arial" w:hAnsi="Arial"/>
                <w:sz w:val="16"/>
                <w:szCs w:val="16"/>
                <w:color w:val="auto"/>
              </w:rPr>
              <w:t>31.1 %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30.2%</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13.5 %</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w:t>
            </w:r>
          </w:p>
        </w:tc>
      </w:tr>
      <w:tr>
        <w:trPr>
          <w:trHeight w:val="237"/>
        </w:trPr>
        <w:tc>
          <w:tcPr>
            <w:tcW w:w="918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600" w:type="dxa"/>
            <w:vAlign w:val="bottom"/>
          </w:tcPr>
          <w:p>
            <w:pPr>
              <w:jc w:val="right"/>
              <w:spacing w:after="0"/>
              <w:rPr>
                <w:sz w:val="20"/>
                <w:szCs w:val="20"/>
                <w:color w:val="auto"/>
              </w:rPr>
            </w:pPr>
            <w:r>
              <w:rPr>
                <w:rFonts w:ascii="Arial" w:cs="Arial" w:eastAsia="Arial" w:hAnsi="Arial"/>
                <w:sz w:val="16"/>
                <w:szCs w:val="16"/>
                <w:color w:val="auto"/>
              </w:rPr>
              <w:t>1.5 %</w:t>
            </w:r>
          </w:p>
        </w:tc>
        <w:tc>
          <w:tcPr>
            <w:tcW w:w="1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8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91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attributable to Amkor</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8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For the 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68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2018</w:t>
            </w:r>
          </w:p>
        </w:tc>
        <w:tc>
          <w:tcPr>
            <w:tcW w:w="154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2"/>
                <w:szCs w:val="22"/>
                <w:color w:val="auto"/>
              </w:rPr>
            </w:pPr>
          </w:p>
        </w:tc>
      </w:tr>
      <w:tr>
        <w:trPr>
          <w:trHeight w:val="250"/>
        </w:trPr>
        <w:tc>
          <w:tcPr>
            <w:tcW w:w="6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6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thousands, except percentages)</w:t>
            </w:r>
          </w:p>
        </w:tc>
        <w:tc>
          <w:tcPr>
            <w:tcW w:w="680" w:type="dxa"/>
            <w:vAlign w:val="bottom"/>
          </w:tcPr>
          <w:p>
            <w:pPr>
              <w:spacing w:after="0"/>
              <w:rPr>
                <w:sz w:val="21"/>
                <w:szCs w:val="21"/>
                <w:color w:val="auto"/>
              </w:rPr>
            </w:pPr>
          </w:p>
        </w:tc>
      </w:tr>
      <w:tr>
        <w:trPr>
          <w:trHeight w:val="243"/>
        </w:trPr>
        <w:tc>
          <w:tcPr>
            <w:tcW w:w="68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894,964</w:t>
            </w:r>
          </w:p>
        </w:tc>
        <w:tc>
          <w:tcPr>
            <w:tcW w:w="4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1,025,319</w:t>
            </w:r>
          </w:p>
        </w:tc>
        <w:tc>
          <w:tcPr>
            <w:tcW w:w="1540" w:type="dxa"/>
            <w:vAlign w:val="bottom"/>
            <w:shd w:val="clear" w:color="auto" w:fill="CCEEFF"/>
          </w:tcPr>
          <w:p>
            <w:pPr>
              <w:jc w:val="right"/>
              <w:ind w:right="423"/>
              <w:spacing w:after="0"/>
              <w:rPr>
                <w:sz w:val="20"/>
                <w:szCs w:val="20"/>
                <w:color w:val="auto"/>
              </w:rPr>
            </w:pPr>
            <w:r>
              <w:rPr>
                <w:rFonts w:ascii="Arial" w:cs="Arial" w:eastAsia="Arial" w:hAnsi="Arial"/>
                <w:sz w:val="16"/>
                <w:szCs w:val="16"/>
                <w:color w:val="auto"/>
              </w:rPr>
              <w:t>$   (130,355)</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33"/>
        </w:trPr>
        <w:tc>
          <w:tcPr>
            <w:tcW w:w="6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decrease in net sales for the three months ended March 31, 2019, compared to the three months ended March 31, 2018, was attributable to inventory corrections in the smartphone market and a cyclical correction in the general semiconductor market.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jc w:val="right"/>
              <w:ind w:right="422"/>
              <w:spacing w:after="0"/>
              <w:rPr>
                <w:sz w:val="20"/>
                <w:szCs w:val="20"/>
                <w:color w:val="auto"/>
              </w:rPr>
            </w:pPr>
            <w:r>
              <w:rPr>
                <w:rFonts w:ascii="Arial" w:cs="Arial" w:eastAsia="Arial" w:hAnsi="Arial"/>
                <w:sz w:val="14"/>
                <w:szCs w:val="14"/>
                <w:b w:val="1"/>
                <w:bCs w:val="1"/>
                <w:color w:val="auto"/>
              </w:rPr>
              <w:t>For the Three Months Ended March 31,</w:t>
            </w:r>
          </w:p>
        </w:tc>
      </w:tr>
      <w:tr>
        <w:trPr>
          <w:trHeight w:val="264"/>
        </w:trPr>
        <w:tc>
          <w:tcPr>
            <w:tcW w:w="79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84"/>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Change</w:t>
            </w:r>
          </w:p>
        </w:tc>
      </w:tr>
      <w:tr>
        <w:trPr>
          <w:trHeight w:val="250"/>
        </w:trPr>
        <w:tc>
          <w:tcPr>
            <w:tcW w:w="7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20" w:type="dxa"/>
            <w:vAlign w:val="bottom"/>
            <w:gridSpan w:val="5"/>
          </w:tcPr>
          <w:p>
            <w:pPr>
              <w:jc w:val="right"/>
              <w:ind w:right="582"/>
              <w:spacing w:after="0"/>
              <w:rPr>
                <w:sz w:val="20"/>
                <w:szCs w:val="20"/>
                <w:color w:val="auto"/>
              </w:rPr>
            </w:pPr>
            <w:r>
              <w:rPr>
                <w:rFonts w:ascii="Arial" w:cs="Arial" w:eastAsia="Arial" w:hAnsi="Arial"/>
                <w:sz w:val="14"/>
                <w:szCs w:val="14"/>
                <w:b w:val="1"/>
                <w:bCs w:val="1"/>
                <w:color w:val="auto"/>
              </w:rPr>
              <w:t>(In thousands, except percentages)</w:t>
            </w:r>
          </w:p>
        </w:tc>
      </w:tr>
      <w:tr>
        <w:trPr>
          <w:trHeight w:val="256"/>
        </w:trPr>
        <w:tc>
          <w:tcPr>
            <w:tcW w:w="7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120,761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42"/>
              <w:spacing w:after="0"/>
              <w:rPr>
                <w:sz w:val="20"/>
                <w:szCs w:val="20"/>
                <w:color w:val="auto"/>
              </w:rPr>
            </w:pPr>
            <w:r>
              <w:rPr>
                <w:rFonts w:ascii="Arial" w:cs="Arial" w:eastAsia="Arial" w:hAnsi="Arial"/>
                <w:sz w:val="16"/>
                <w:szCs w:val="16"/>
                <w:color w:val="auto"/>
              </w:rPr>
              <w:t>157,771</w:t>
            </w:r>
          </w:p>
        </w:tc>
        <w:tc>
          <w:tcPr>
            <w:tcW w:w="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(37,010)</w:t>
            </w:r>
          </w:p>
        </w:tc>
      </w:tr>
      <w:tr>
        <w:trPr>
          <w:trHeight w:val="237"/>
        </w:trPr>
        <w:tc>
          <w:tcPr>
            <w:tcW w:w="7940" w:type="dxa"/>
            <w:vAlign w:val="bottom"/>
          </w:tcPr>
          <w:p>
            <w:pPr>
              <w:ind w:left="40"/>
              <w:spacing w:after="0"/>
              <w:rPr>
                <w:sz w:val="20"/>
                <w:szCs w:val="20"/>
                <w:color w:val="auto"/>
              </w:rPr>
            </w:pPr>
            <w:r>
              <w:rPr>
                <w:rFonts w:ascii="Arial" w:cs="Arial" w:eastAsia="Arial" w:hAnsi="Arial"/>
                <w:sz w:val="16"/>
                <w:szCs w:val="16"/>
                <w:color w:val="auto"/>
              </w:rPr>
              <w:t>Gross margin</w:t>
            </w:r>
          </w:p>
        </w:tc>
        <w:tc>
          <w:tcPr>
            <w:tcW w:w="260" w:type="dxa"/>
            <w:vAlign w:val="bottom"/>
          </w:tcPr>
          <w:p>
            <w:pPr>
              <w:spacing w:after="0"/>
              <w:rPr>
                <w:sz w:val="20"/>
                <w:szCs w:val="20"/>
                <w:color w:val="auto"/>
              </w:rPr>
            </w:pPr>
          </w:p>
        </w:tc>
        <w:tc>
          <w:tcPr>
            <w:tcW w:w="880" w:type="dxa"/>
            <w:vAlign w:val="bottom"/>
          </w:tcPr>
          <w:p>
            <w:pPr>
              <w:jc w:val="right"/>
              <w:ind w:right="24"/>
              <w:spacing w:after="0"/>
              <w:rPr>
                <w:sz w:val="20"/>
                <w:szCs w:val="20"/>
                <w:color w:val="auto"/>
              </w:rPr>
            </w:pPr>
            <w:r>
              <w:rPr>
                <w:rFonts w:ascii="Arial" w:cs="Arial" w:eastAsia="Arial" w:hAnsi="Arial"/>
                <w:sz w:val="16"/>
                <w:szCs w:val="16"/>
                <w:color w:val="auto"/>
              </w:rPr>
              <w:t>13.5%</w:t>
            </w:r>
          </w:p>
        </w:tc>
        <w:tc>
          <w:tcPr>
            <w:tcW w:w="280" w:type="dxa"/>
            <w:vAlign w:val="bottom"/>
          </w:tcPr>
          <w:p>
            <w:pPr>
              <w:spacing w:after="0"/>
              <w:rPr>
                <w:sz w:val="20"/>
                <w:szCs w:val="20"/>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15.4%</w:t>
            </w:r>
          </w:p>
        </w:tc>
        <w:tc>
          <w:tcPr>
            <w:tcW w:w="2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depending upon product mix, utilization and seasonality.</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Gross margin decreased for the three months ended March 31, 2019 compared to the three months ended March 31, 2018 primarily due to lower revenue, reduced utilization and changes in product mix.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center"/>
              <w:ind w:right="163"/>
              <w:spacing w:after="0"/>
              <w:rPr>
                <w:sz w:val="20"/>
                <w:szCs w:val="20"/>
                <w:color w:val="auto"/>
              </w:rPr>
            </w:pPr>
            <w:r>
              <w:rPr>
                <w:rFonts w:ascii="Arial" w:cs="Arial" w:eastAsia="Arial" w:hAnsi="Arial"/>
                <w:sz w:val="14"/>
                <w:szCs w:val="14"/>
                <w:b w:val="1"/>
                <w:bCs w:val="1"/>
                <w:color w:val="auto"/>
                <w:w w:val="95"/>
              </w:rPr>
              <w:t>For the Three Months Ended March 31,</w:t>
            </w:r>
          </w:p>
        </w:tc>
        <w:tc>
          <w:tcPr>
            <w:tcW w:w="700" w:type="dxa"/>
            <w:vAlign w:val="bottom"/>
            <w:tcBorders>
              <w:bottom w:val="single" w:sz="8" w:color="auto"/>
            </w:tcBorders>
          </w:tcPr>
          <w:p>
            <w:pPr>
              <w:spacing w:after="0"/>
              <w:rPr>
                <w:sz w:val="16"/>
                <w:szCs w:val="16"/>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rPr>
              <w:t>Change</w:t>
            </w:r>
          </w:p>
        </w:tc>
        <w:tc>
          <w:tcPr>
            <w:tcW w:w="700" w:type="dxa"/>
            <w:vAlign w:val="bottom"/>
            <w:tcBorders>
              <w:bottom w:val="single" w:sz="8" w:color="auto"/>
            </w:tcBorders>
          </w:tcPr>
          <w:p>
            <w:pPr>
              <w:spacing w:after="0"/>
              <w:rPr>
                <w:sz w:val="22"/>
                <w:szCs w:val="22"/>
                <w:color w:val="auto"/>
              </w:rPr>
            </w:pP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20" w:type="dxa"/>
            <w:vAlign w:val="bottom"/>
            <w:gridSpan w:val="4"/>
          </w:tcPr>
          <w:p>
            <w:pPr>
              <w:jc w:val="center"/>
              <w:ind w:right="163"/>
              <w:spacing w:after="0"/>
              <w:rPr>
                <w:sz w:val="20"/>
                <w:szCs w:val="20"/>
                <w:color w:val="auto"/>
              </w:rPr>
            </w:pPr>
            <w:r>
              <w:rPr>
                <w:rFonts w:ascii="Arial" w:cs="Arial" w:eastAsia="Arial" w:hAnsi="Arial"/>
                <w:sz w:val="14"/>
                <w:szCs w:val="14"/>
                <w:b w:val="1"/>
                <w:bCs w:val="1"/>
                <w:color w:val="auto"/>
                <w:w w:val="89"/>
              </w:rPr>
              <w:t>(In thousands, except percentages)</w:t>
            </w:r>
          </w:p>
        </w:tc>
        <w:tc>
          <w:tcPr>
            <w:tcW w:w="700" w:type="dxa"/>
            <w:vAlign w:val="bottom"/>
          </w:tcPr>
          <w:p>
            <w:pPr>
              <w:spacing w:after="0"/>
              <w:rPr>
                <w:sz w:val="21"/>
                <w:szCs w:val="21"/>
                <w:color w:val="auto"/>
              </w:rPr>
            </w:pPr>
          </w:p>
        </w:tc>
      </w:tr>
      <w:tr>
        <w:trPr>
          <w:trHeight w:val="243"/>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general and administrative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71,587</w:t>
            </w:r>
          </w:p>
        </w:tc>
        <w:tc>
          <w:tcPr>
            <w:tcW w:w="4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80,723</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503"/>
              <w:spacing w:after="0"/>
              <w:rPr>
                <w:sz w:val="20"/>
                <w:szCs w:val="20"/>
                <w:color w:val="auto"/>
              </w:rPr>
            </w:pPr>
            <w:r>
              <w:rPr>
                <w:rFonts w:ascii="Arial" w:cs="Arial" w:eastAsia="Arial" w:hAnsi="Arial"/>
                <w:sz w:val="16"/>
                <w:szCs w:val="16"/>
                <w:color w:val="auto"/>
              </w:rPr>
              <w:t>(9,136)</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33"/>
        </w:trPr>
        <w:tc>
          <w:tcPr>
            <w:tcW w:w="6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Selling, general and administrative expenses for the three months ended March 31, 2019 decreased compared to the three months ended March 31, 2018 primarily due to decreased employee compensation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center"/>
              <w:ind w:right="143"/>
              <w:spacing w:after="0"/>
              <w:rPr>
                <w:sz w:val="20"/>
                <w:szCs w:val="20"/>
                <w:color w:val="auto"/>
              </w:rPr>
            </w:pPr>
            <w:r>
              <w:rPr>
                <w:rFonts w:ascii="Arial" w:cs="Arial" w:eastAsia="Arial" w:hAnsi="Arial"/>
                <w:sz w:val="14"/>
                <w:szCs w:val="14"/>
                <w:b w:val="1"/>
                <w:bCs w:val="1"/>
                <w:color w:val="auto"/>
                <w:w w:val="95"/>
              </w:rPr>
              <w:t>For the Three Months Ended March 31,</w:t>
            </w:r>
          </w:p>
        </w:tc>
        <w:tc>
          <w:tcPr>
            <w:tcW w:w="720" w:type="dxa"/>
            <w:vAlign w:val="bottom"/>
            <w:tcBorders>
              <w:bottom w:val="single" w:sz="8" w:color="auto"/>
            </w:tcBorders>
          </w:tcPr>
          <w:p>
            <w:pPr>
              <w:spacing w:after="0"/>
              <w:rPr>
                <w:sz w:val="16"/>
                <w:szCs w:val="16"/>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3"/>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rPr>
              <w:t>Change</w:t>
            </w:r>
          </w:p>
        </w:tc>
        <w:tc>
          <w:tcPr>
            <w:tcW w:w="720" w:type="dxa"/>
            <w:vAlign w:val="bottom"/>
            <w:tcBorders>
              <w:bottom w:val="single" w:sz="8" w:color="auto"/>
            </w:tcBorders>
          </w:tcPr>
          <w:p>
            <w:pPr>
              <w:spacing w:after="0"/>
              <w:rPr>
                <w:sz w:val="22"/>
                <w:szCs w:val="22"/>
                <w:color w:val="auto"/>
              </w:rPr>
            </w:pP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0" w:type="dxa"/>
            <w:vAlign w:val="bottom"/>
            <w:gridSpan w:val="4"/>
          </w:tcPr>
          <w:p>
            <w:pPr>
              <w:jc w:val="center"/>
              <w:ind w:right="143"/>
              <w:spacing w:after="0"/>
              <w:rPr>
                <w:sz w:val="20"/>
                <w:szCs w:val="20"/>
                <w:color w:val="auto"/>
              </w:rPr>
            </w:pPr>
            <w:r>
              <w:rPr>
                <w:rFonts w:ascii="Arial" w:cs="Arial" w:eastAsia="Arial" w:hAnsi="Arial"/>
                <w:sz w:val="14"/>
                <w:szCs w:val="14"/>
                <w:b w:val="1"/>
                <w:bCs w:val="1"/>
                <w:color w:val="auto"/>
                <w:w w:val="89"/>
              </w:rPr>
              <w:t>(In thousands, except percentages)</w:t>
            </w:r>
          </w:p>
        </w:tc>
        <w:tc>
          <w:tcPr>
            <w:tcW w:w="720" w:type="dxa"/>
            <w:vAlign w:val="bottom"/>
          </w:tcPr>
          <w:p>
            <w:pPr>
              <w:spacing w:after="0"/>
              <w:rPr>
                <w:sz w:val="21"/>
                <w:szCs w:val="21"/>
                <w:color w:val="auto"/>
              </w:rPr>
            </w:pPr>
          </w:p>
        </w:tc>
      </w:tr>
      <w:tr>
        <w:trPr>
          <w:trHeight w:val="243"/>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35,754</w:t>
            </w:r>
          </w:p>
        </w:tc>
        <w:tc>
          <w:tcPr>
            <w:tcW w:w="40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40,929</w:t>
            </w:r>
          </w:p>
        </w:tc>
        <w:tc>
          <w:tcPr>
            <w:tcW w:w="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483"/>
              <w:spacing w:after="0"/>
              <w:rPr>
                <w:sz w:val="20"/>
                <w:szCs w:val="20"/>
                <w:color w:val="auto"/>
              </w:rPr>
            </w:pPr>
            <w:r>
              <w:rPr>
                <w:rFonts w:ascii="Arial" w:cs="Arial" w:eastAsia="Arial" w:hAnsi="Arial"/>
                <w:sz w:val="16"/>
                <w:szCs w:val="16"/>
                <w:color w:val="auto"/>
              </w:rPr>
              <w:t>(5,175)</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33"/>
        </w:trPr>
        <w:tc>
          <w:tcPr>
            <w:tcW w:w="69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related to production become part of the cost of sales, including ongoing depreciation for the equipment previously held for research and development activities. Research and development expenses for the three months ended March 31, 2019 decreased compared to the three months ended March 31, 2018. We experienced reductions in costs for projects that moved into production, partially offset by new development projects, primarily at our K5 factory and research and development facility in Korea.</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7"/>
          </w:tcPr>
          <w:p>
            <w:pPr>
              <w:jc w:val="center"/>
              <w:ind w:right="140"/>
              <w:spacing w:after="0"/>
              <w:rPr>
                <w:sz w:val="20"/>
                <w:szCs w:val="20"/>
                <w:color w:val="auto"/>
              </w:rPr>
            </w:pPr>
            <w:r>
              <w:rPr>
                <w:rFonts w:ascii="Arial" w:cs="Arial" w:eastAsia="Arial" w:hAnsi="Arial"/>
                <w:sz w:val="14"/>
                <w:szCs w:val="14"/>
                <w:b w:val="1"/>
                <w:bCs w:val="1"/>
                <w:color w:val="auto"/>
                <w:w w:val="95"/>
              </w:rPr>
              <w:t>For the Three Months Ended March 31,</w:t>
            </w:r>
          </w:p>
        </w:tc>
        <w:tc>
          <w:tcPr>
            <w:tcW w:w="840" w:type="dxa"/>
            <w:vAlign w:val="bottom"/>
            <w:tcBorders>
              <w:bottom w:val="single" w:sz="8" w:color="auto"/>
            </w:tcBorders>
          </w:tcPr>
          <w:p>
            <w:pPr>
              <w:spacing w:after="0"/>
              <w:rPr>
                <w:sz w:val="16"/>
                <w:szCs w:val="16"/>
                <w:color w:val="auto"/>
              </w:rPr>
            </w:pPr>
          </w:p>
        </w:tc>
      </w:tr>
      <w:tr>
        <w:trPr>
          <w:trHeight w:val="264"/>
        </w:trPr>
        <w:tc>
          <w:tcPr>
            <w:tcW w:w="69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2"/>
          </w:tcPr>
          <w:p>
            <w:pPr>
              <w:ind w:left="600"/>
              <w:spacing w:after="0"/>
              <w:rPr>
                <w:sz w:val="20"/>
                <w:szCs w:val="20"/>
                <w:color w:val="auto"/>
              </w:rPr>
            </w:pPr>
            <w:r>
              <w:rPr>
                <w:rFonts w:ascii="Arial" w:cs="Arial" w:eastAsia="Arial" w:hAnsi="Arial"/>
                <w:sz w:val="14"/>
                <w:szCs w:val="14"/>
                <w:b w:val="1"/>
                <w:bCs w:val="1"/>
                <w:color w:val="auto"/>
                <w:w w:val="93"/>
              </w:rPr>
              <w:t>Change</w:t>
            </w:r>
          </w:p>
        </w:tc>
        <w:tc>
          <w:tcPr>
            <w:tcW w:w="840" w:type="dxa"/>
            <w:vAlign w:val="bottom"/>
            <w:tcBorders>
              <w:bottom w:val="single" w:sz="8" w:color="auto"/>
            </w:tcBorders>
          </w:tcPr>
          <w:p>
            <w:pPr>
              <w:spacing w:after="0"/>
              <w:rPr>
                <w:sz w:val="22"/>
                <w:szCs w:val="22"/>
                <w:color w:val="auto"/>
              </w:rPr>
            </w:pPr>
          </w:p>
        </w:tc>
      </w:tr>
      <w:tr>
        <w:trPr>
          <w:trHeight w:val="250"/>
        </w:trPr>
        <w:tc>
          <w:tcPr>
            <w:tcW w:w="6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5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9"/>
              </w:rPr>
              <w:t>(In thousands, except percentages)</w:t>
            </w:r>
          </w:p>
        </w:tc>
        <w:tc>
          <w:tcPr>
            <w:tcW w:w="840" w:type="dxa"/>
            <w:vAlign w:val="bottom"/>
          </w:tcPr>
          <w:p>
            <w:pPr>
              <w:spacing w:after="0"/>
              <w:rPr>
                <w:sz w:val="21"/>
                <w:szCs w:val="21"/>
                <w:color w:val="auto"/>
              </w:rPr>
            </w:pPr>
          </w:p>
        </w:tc>
      </w:tr>
      <w:tr>
        <w:trPr>
          <w:trHeight w:val="256"/>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19,273</w:t>
            </w:r>
          </w:p>
        </w:tc>
        <w:tc>
          <w:tcPr>
            <w:tcW w:w="36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20,011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(738)</w:t>
            </w:r>
          </w:p>
        </w:tc>
        <w:tc>
          <w:tcPr>
            <w:tcW w:w="3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6940" w:type="dxa"/>
            <w:vAlign w:val="bottom"/>
          </w:tcPr>
          <w:p>
            <w:pPr>
              <w:ind w:left="4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(988)</w:t>
            </w:r>
          </w:p>
        </w:tc>
        <w:tc>
          <w:tcPr>
            <w:tcW w:w="10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(1,076)</w:t>
            </w:r>
          </w:p>
        </w:tc>
        <w:tc>
          <w:tcPr>
            <w:tcW w:w="380" w:type="dxa"/>
            <w:vAlign w:val="bottom"/>
          </w:tcPr>
          <w:p>
            <w:pPr>
              <w:spacing w:after="0"/>
              <w:rPr>
                <w:sz w:val="20"/>
                <w:szCs w:val="20"/>
                <w:color w:val="auto"/>
              </w:rPr>
            </w:pPr>
          </w:p>
        </w:tc>
        <w:tc>
          <w:tcPr>
            <w:tcW w:w="840" w:type="dxa"/>
            <w:vAlign w:val="bottom"/>
          </w:tcPr>
          <w:p>
            <w:pPr>
              <w:jc w:val="right"/>
              <w:ind w:right="139"/>
              <w:spacing w:after="0"/>
              <w:rPr>
                <w:sz w:val="20"/>
                <w:szCs w:val="20"/>
                <w:color w:val="auto"/>
              </w:rPr>
            </w:pPr>
            <w:r>
              <w:rPr>
                <w:rFonts w:ascii="Arial" w:cs="Arial" w:eastAsia="Arial" w:hAnsi="Arial"/>
                <w:sz w:val="16"/>
                <w:szCs w:val="16"/>
                <w:color w:val="auto"/>
              </w:rPr>
              <w:t>&gt;100%</w:t>
            </w:r>
          </w:p>
        </w:tc>
      </w:tr>
      <w:tr>
        <w:trPr>
          <w:trHeight w:val="33"/>
        </w:trPr>
        <w:tc>
          <w:tcPr>
            <w:tcW w:w="6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Foreign currency (gain) loss, net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(6,726)</w:t>
            </w:r>
          </w:p>
        </w:tc>
        <w:tc>
          <w:tcPr>
            <w:tcW w:w="3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8"/>
              </w:rPr>
              <w:t>&gt;(100)%</w:t>
            </w:r>
          </w:p>
        </w:tc>
      </w:tr>
      <w:tr>
        <w:trPr>
          <w:trHeight w:val="237"/>
        </w:trPr>
        <w:tc>
          <w:tcPr>
            <w:tcW w:w="694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(488)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(195)</w:t>
            </w:r>
          </w:p>
        </w:tc>
        <w:tc>
          <w:tcPr>
            <w:tcW w:w="3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66.6 %</w:t>
            </w:r>
          </w:p>
        </w:tc>
      </w:tr>
      <w:tr>
        <w:trPr>
          <w:trHeight w:val="33"/>
        </w:trPr>
        <w:tc>
          <w:tcPr>
            <w:tcW w:w="6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r>
      <w:tr>
        <w:trPr>
          <w:trHeight w:val="244"/>
        </w:trPr>
        <w:tc>
          <w:tcPr>
            <w:tcW w:w="6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other expense, net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14,708</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23,443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(8,735)</w:t>
            </w:r>
          </w:p>
        </w:tc>
        <w:tc>
          <w:tcPr>
            <w:tcW w:w="3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decreased for the three months ended March 31, 2019 compared to the three months ended March 31, 2018, primarily due to the redemption of $200 million of our 6.625% Senior Notes due 2021 in August 2018. This redemption was funded with proceeds from a term loan with a significantly lower interest rate. The interest expense decrease was partially offset by the interest incurred under our new $525 million aggregate principal amount of our 6.625% Senior Notes due September 2027 which were issued in March 2019.</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changes in foreign currency (gain) loss, net for the three months ended March 31, 2019 and the three months ended March 31, 2018 were due to foreign currency exchange rate movements and the associated impact on our net monetary exposure at our foreign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5"/>
          </w:tcPr>
          <w:p>
            <w:pPr>
              <w:jc w:val="center"/>
              <w:ind w:right="163"/>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25"/>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center"/>
              <w:ind w:right="183"/>
              <w:spacing w:after="0"/>
              <w:rPr>
                <w:sz w:val="20"/>
                <w:szCs w:val="20"/>
                <w:color w:val="auto"/>
              </w:rPr>
            </w:pPr>
            <w:r>
              <w:rPr>
                <w:rFonts w:ascii="Arial" w:cs="Arial" w:eastAsia="Arial" w:hAnsi="Arial"/>
                <w:sz w:val="14"/>
                <w:szCs w:val="14"/>
                <w:b w:val="1"/>
                <w:bCs w:val="1"/>
                <w:color w:val="auto"/>
                <w:w w:val="96"/>
              </w:rPr>
              <w:t>2018</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Change</w:t>
            </w:r>
          </w:p>
        </w:tc>
      </w:tr>
      <w:tr>
        <w:trPr>
          <w:trHeight w:val="250"/>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243"/>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 expense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65"/>
              <w:spacing w:after="0"/>
              <w:rPr>
                <w:sz w:val="20"/>
                <w:szCs w:val="20"/>
                <w:color w:val="auto"/>
              </w:rPr>
            </w:pPr>
            <w:r>
              <w:rPr>
                <w:rFonts w:ascii="Arial" w:cs="Arial" w:eastAsia="Arial" w:hAnsi="Arial"/>
                <w:sz w:val="16"/>
                <w:szCs w:val="16"/>
                <w:color w:val="auto"/>
              </w:rPr>
              <w:t>21,380</w:t>
            </w:r>
          </w:p>
        </w:tc>
        <w:tc>
          <w:tcPr>
            <w:tcW w:w="34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2,481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18,899</w:t>
            </w:r>
          </w:p>
        </w:tc>
      </w:tr>
      <w:tr>
        <w:trPr>
          <w:trHeight w:val="33"/>
        </w:trPr>
        <w:tc>
          <w:tcPr>
            <w:tcW w:w="8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majority of our income is earned and taxed in foreign jurisdictions in the Asia Pacific region with applicable tax rates similar to the U.S. federal and state combined tax rate of approximately 25%. 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for the three months ended March 31, 2019 also includes a $14.9 million non-cash discrete tax expense primarily for the recognition of a valuation allowance for certain deferred tax assets.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2019 and 2018, our subsidiaries in Korea, the Philippines and Singapore operated under tax holidays. The tax holidays granted to our Malaysia operations and certain operations in the Philippines expired during 2018. As these tax holidays expire, income earned in these jurisdictions will be subject to higher statutory income tax rates, which may cause our effective tax rate to increase.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debt service requirements and other funding needs. Based on this assessment, we believe that our cash flow from operating activities, together with existing cash and cash equivalents and availability under our credit facilities, will be sufficient to fund our working capital, capital expenditure, debt service and other financial requirements for at least the next twelve months. Our liquidity is affected by, among other things, volatility in the global economy and credit markets, the performance of our business, our capital expenditure levels, other uses of our cash including any purchases of stock under our stock repurchase program, any acquisitions or investments in joint ventures and our ability to either repay debt out of operating cash flow or refinance it at or prior to maturity with the proceeds of debt or equity offerings. There can be no assurance that we will generate the necessary net income or operating cash flows, or be able to borrow sufficient funds, to meet the funding needs of our business beyond the next twelve months due to a variety of factors, including the cyclical nature of the semiconductor industry and other factors discussed in Part II, Item 1A of this Quarterly Report on Form 10-Q.</w:t>
      </w:r>
    </w:p>
    <w:p>
      <w:pPr>
        <w:spacing w:after="0" w:line="18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primary source of cash and the source of funds for our operations are cash flows from operations, current cash and cash equivalents, borrowings under available credit facilities and proceeds from any additional debt or equity financings. In March 2019, we issued $525 million of 6.625% Senior Notes due September 2027 (the "2027 Notes"). Additionally, in March 2019, we issued a notice for the redemption of all $525 million aggregate principal amount of our 6.375% Senior Notes due October 2022 (the "2022 Notes"). The note redemption was completed in April 2019. We refer you to Note 12 to our Consolidated Financial Statements in Part 1, Item 1 of this Quarterly Report on Form 10-Q for additional information.</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of March 31, 2019, we had cash and cash equivalents of $1,055.4 million, which includes the cash that was used for the redemption of the $525 million 2022 Notes in April 2019. Included in our cash balance as of March 31, 2019, is $470.5 million held offshore by our foreign subsidiaries. We have the ability to access cash held offshore by our foreign subsidiaries primarily through the repayment of intercompany debt obligations. Due to the changes in the U.S. tax law under the Tax Act, distributions of cash to the U.S. as dividends generally will not be subject to U.S. federal income tax. If we were 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color w:val="auto"/>
        </w:rPr>
        <w:t>distribute this offshore cash to the U.S. as dividends from our foreign subsidiaries, we may be subject to foreign withholding and state income taxes.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borrowing base under our $250.0 million first lien senior secured revolving credit facility entered into by our subsidiary, Amkor Technology Singapore Holding Pte, Ltd. ("Singapore Revolver") is limited to the amount of eligible accounts receivable. As of March 31, 2019, we had availability of $176.0 million under this facility with no outstanding standby letters of credit. Our foreign subsidiaries had $225.0 million available to be drawn under secured revolving credit facilities, including the Singapore Revolver, and $50.0 million available to be borrowed under secured term loan credit facilities for working capital purposes and capital expenditures.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March 31, 2019, we had $1,854.0 million of debt, which includes $525 million aggregate principal amount of our 2022 Notes that was redeemed in April 2019. Our scheduled principal repayments on debt include $624.2 million due over the remainder of 2019, $294.3 million due in 2020, $58.3 million due in 2021, $78.8 million due in 2022, $242.9 million due in 2023, and $563.5 million due thereafter. We were in compliance with all debt covenants at March 31, 2019, and we expect to remain in compliance with these covenants for at least the next twelve months.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For certain accounts receivable, we use non-recourse factoring arrangements with third-party financial institutions to manage our working capital and cash flows. Under this program, we sell receivables to a financial institution for cash at a discount to the face amount. Available capacity under these programs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 worthiness of customers. For the three months ended March 31, 2019 and 2018, we sold receivables totaling $155.7 million and $225.5 million, net of discounts and fees of $1.2 million and $1.8 million, respectively.</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order to reduce our debt and future cash interest payments, we may from time to time repurchase or redeem our outstanding notes for cash or exchange shares of our common stock for our outstanding notes. Any such transaction may be made in the open market, through privately negotiated transactions or otherwise and is subject to the terms of our indentures and other debt agreements, market conditions and other factors.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debt agreements have restrictions on dividend payments and the repurchase of stock and subordinated securities. These restrictions are determined in part by calculations based upon cumulative net income or borrowing availability. We have never paid a dividend to our stockholders and we do not have any present plans for doing so. From time to time, Amkor Technology, Inc. also guarantees certain debt of our subsidiaries.</w:t>
      </w:r>
    </w:p>
    <w:p>
      <w:pPr>
        <w:spacing w:after="0" w:line="16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Board of Directors previously authorized the repurchase of up to $300 million of our common stock, exclusive of any fees, commissions or other expenses. At March 31, 2019, approximately $91.6 million was available to repurchase common stock pursuant to the stock repurchase program. The purchase of stock may be made in the open market or through privately negotiated transactions. The timing, manner, price and amount of any repurchases will be determined by us at our discretion and will depend upon a variety of factors including economic and market conditions, the cash needs and investment opportunities for the business, the current market price of our stock, applicable legal requirements and other factors. We have not purchased any stock under the plan since 2012.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make significant capital expenditures in order to service the demand of our customers. We expect 2019 capital expenditures to be approximately $475 million. During the three months ended March 31, 2019, our capital expenditures totaled $203.2 million. Ultimately, the amount of our 2019 capital expenditures will depend on several factors including, among others, the timing and implementation of any capital projects under review, the performance of our business, economic and market conditions, the cash needs and investment opportunities for the business, the need for additional capacity to service anticipated customer demand and the availability of cash flows from operations or financing.</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we are subject to risks associated with our capital expenditures, including those discussed in Part II, Item 1A of this Quarterly Report on Form 10-Q under the caption "Capital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Net cash provided by (used in) operating, investing and financing activities for the three months ended March 31, 2019 and 2018, was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3"/>
          </w:tcPr>
          <w:p>
            <w:pPr>
              <w:jc w:val="center"/>
              <w:ind w:right="114"/>
              <w:spacing w:after="0"/>
              <w:rPr>
                <w:sz w:val="20"/>
                <w:szCs w:val="20"/>
                <w:color w:val="auto"/>
              </w:rPr>
            </w:pPr>
            <w:r>
              <w:rPr>
                <w:rFonts w:ascii="Arial" w:cs="Arial" w:eastAsia="Arial" w:hAnsi="Arial"/>
                <w:sz w:val="14"/>
                <w:szCs w:val="14"/>
                <w:b w:val="1"/>
                <w:bCs w:val="1"/>
                <w:color w:val="auto"/>
                <w:w w:val="95"/>
              </w:rPr>
              <w:t>For the Three Months Ended March 31,</w:t>
            </w:r>
          </w:p>
        </w:tc>
      </w:tr>
      <w:tr>
        <w:trPr>
          <w:trHeight w:val="264"/>
        </w:trPr>
        <w:tc>
          <w:tcPr>
            <w:tcW w:w="8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left="699"/>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7"/>
                <w:szCs w:val="17"/>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52,057</w:t>
            </w:r>
          </w:p>
        </w:tc>
        <w:tc>
          <w:tcPr>
            <w:tcW w:w="56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147,631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(202,067)</w:t>
            </w: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(229,605)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523,708</w:t>
            </w:r>
          </w:p>
        </w:tc>
        <w:tc>
          <w:tcPr>
            <w:tcW w:w="5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w:t>
            </w:r>
          </w:p>
        </w:tc>
      </w:tr>
      <w:tr>
        <w:trPr>
          <w:trHeight w:val="27"/>
        </w:trPr>
        <w:tc>
          <w:tcPr>
            <w:tcW w:w="83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Our cash flows provided by operating activities for the three months ended March 31, 2019, decreased by $95.6 million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March 31, 2018, primarily due to lower net income and changes in our net working capital.</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Investing activities: </w:t>
      </w:r>
      <w:r>
        <w:rPr>
          <w:rFonts w:ascii="Arial" w:cs="Arial" w:eastAsia="Arial" w:hAnsi="Arial"/>
          <w:sz w:val="16"/>
          <w:szCs w:val="16"/>
          <w:color w:val="auto"/>
        </w:rPr>
        <w:t>Our cash flows used in investing activities are principally for payments for property, plant and equipment, which decreased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three months ended March 31, 2018, primarily due to our initiative to reduce spending on incremental capacity during a period of reduced demand.</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The net cash provided by financing activities for the three months ended March 31, 2019, was primarily due to our issuance of the 2027</w:t>
      </w:r>
      <w:r>
        <w:rPr>
          <w:rFonts w:ascii="Arial" w:cs="Arial" w:eastAsia="Arial" w:hAnsi="Arial"/>
          <w:sz w:val="17"/>
          <w:szCs w:val="17"/>
          <w:i w:val="1"/>
          <w:iCs w:val="1"/>
          <w:color w:val="auto"/>
        </w:rPr>
        <w:t xml:space="preserve"> </w:t>
      </w:r>
      <w:r>
        <w:rPr>
          <w:rFonts w:ascii="Arial" w:cs="Arial" w:eastAsia="Arial" w:hAnsi="Arial"/>
          <w:sz w:val="17"/>
          <w:szCs w:val="17"/>
          <w:color w:val="auto"/>
        </w:rPr>
        <w:t>Notes. The net cash used in financing activities for the three months ended March 31, 2018 was primarily due to repayments of debt in Japan.</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and insurance recovery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and our ability to fund capital expenditures.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w w:val="98"/>
              </w:rPr>
              <w:t>For the Three Months Ended March 31,</w:t>
            </w:r>
          </w:p>
        </w:tc>
        <w:tc>
          <w:tcPr>
            <w:tcW w:w="0" w:type="dxa"/>
            <w:vAlign w:val="bottom"/>
          </w:tcPr>
          <w:p>
            <w:pPr>
              <w:spacing w:after="0"/>
              <w:rPr>
                <w:sz w:val="1"/>
                <w:szCs w:val="1"/>
                <w:color w:val="auto"/>
              </w:rPr>
            </w:pPr>
          </w:p>
        </w:tc>
      </w:tr>
      <w:tr>
        <w:trPr>
          <w:trHeight w:val="264"/>
        </w:trPr>
        <w:tc>
          <w:tcPr>
            <w:tcW w:w="834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52,057</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147,631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Payments for property, plant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(203,216)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(230,603)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and insurance recovery for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Free cash flow</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(149,441)</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(82,630)</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5540"/>
              <w:spacing w:after="0"/>
              <w:rPr>
                <w:sz w:val="20"/>
                <w:szCs w:val="20"/>
                <w:color w:val="auto"/>
              </w:rPr>
            </w:pPr>
            <w:r>
              <w:rPr>
                <w:rFonts w:ascii="Arial" w:cs="Arial" w:eastAsia="Arial" w:hAnsi="Arial"/>
                <w:sz w:val="18"/>
                <w:szCs w:val="18"/>
                <w:color w:val="auto"/>
              </w:rPr>
              <w:t>- 23-</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8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our contractual obligations at March 31, 2019, and the effect such obligations are expected to have on our liquidity and cash flows in future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Payments Due for Year Ending December 31,</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3"/>
                <w:szCs w:val="13"/>
                <w:color w:val="auto"/>
              </w:rPr>
            </w:pPr>
          </w:p>
        </w:tc>
        <w:tc>
          <w:tcPr>
            <w:tcW w:w="920" w:type="dxa"/>
            <w:vAlign w:val="bottom"/>
          </w:tcPr>
          <w:p>
            <w:pPr>
              <w:jc w:val="right"/>
              <w:ind w:right="268"/>
              <w:spacing w:after="0" w:line="153" w:lineRule="exact"/>
              <w:rPr>
                <w:sz w:val="20"/>
                <w:szCs w:val="20"/>
                <w:color w:val="auto"/>
              </w:rPr>
            </w:pPr>
            <w:r>
              <w:rPr>
                <w:rFonts w:ascii="Arial" w:cs="Arial" w:eastAsia="Arial" w:hAnsi="Arial"/>
                <w:sz w:val="14"/>
                <w:szCs w:val="14"/>
                <w:b w:val="1"/>
                <w:bCs w:val="1"/>
                <w:color w:val="auto"/>
              </w:rPr>
              <w:t>2019 -</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Thereafter</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Remaining</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debt</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1,862,046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624,237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294,330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78,769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242,880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563,500</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Scheduled interest payment obligations (1)</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400,624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55,846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55,037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49,936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48,534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47,248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144,023</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 obligations (2)</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60,296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55,084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1,033</w:t>
            </w:r>
          </w:p>
        </w:tc>
        <w:tc>
          <w:tcPr>
            <w:tcW w:w="0" w:type="dxa"/>
            <w:vAlign w:val="bottom"/>
          </w:tcPr>
          <w:p>
            <w:pPr>
              <w:spacing w:after="0"/>
              <w:rPr>
                <w:sz w:val="1"/>
                <w:szCs w:val="1"/>
                <w:color w:val="auto"/>
              </w:rPr>
            </w:pPr>
          </w:p>
        </w:tc>
      </w:tr>
      <w:tr>
        <w:trPr>
          <w:trHeight w:val="264"/>
        </w:trPr>
        <w:tc>
          <w:tcPr>
            <w:tcW w:w="3540" w:type="dxa"/>
            <w:vAlign w:val="bottom"/>
          </w:tcPr>
          <w:p>
            <w:pPr>
              <w:ind w:left="40"/>
              <w:spacing w:after="0"/>
              <w:rPr>
                <w:sz w:val="20"/>
                <w:szCs w:val="20"/>
                <w:color w:val="auto"/>
              </w:rPr>
            </w:pPr>
            <w:r>
              <w:rPr>
                <w:rFonts w:ascii="Arial" w:cs="Arial" w:eastAsia="Arial" w:hAnsi="Arial"/>
                <w:sz w:val="14"/>
                <w:szCs w:val="14"/>
                <w:color w:val="auto"/>
              </w:rPr>
              <w:t>Operating lease obligations (3)</w:t>
            </w:r>
          </w:p>
        </w:tc>
        <w:tc>
          <w:tcPr>
            <w:tcW w:w="240" w:type="dxa"/>
            <w:vAlign w:val="bottom"/>
          </w:tcPr>
          <w:p>
            <w:pPr>
              <w:spacing w:after="0"/>
              <w:rPr>
                <w:sz w:val="22"/>
                <w:szCs w:val="22"/>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117,951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24,576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27,599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19,321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11,210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9,147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26,098</w:t>
            </w:r>
          </w:p>
        </w:tc>
        <w:tc>
          <w:tcPr>
            <w:tcW w:w="0" w:type="dxa"/>
            <w:vAlign w:val="bottom"/>
          </w:tcPr>
          <w:p>
            <w:pPr>
              <w:spacing w:after="0"/>
              <w:rPr>
                <w:sz w:val="1"/>
                <w:szCs w:val="1"/>
                <w:color w:val="auto"/>
              </w:rPr>
            </w:pPr>
          </w:p>
        </w:tc>
      </w:tr>
      <w:tr>
        <w:trPr>
          <w:trHeight w:val="276"/>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obligations (3)</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20,624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5,268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4,753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950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3,868</w:t>
            </w: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Severance obligations (4)</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135,708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10,953</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11,387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10,354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9,382</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8,532</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85,100</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contractual obligations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2,597,249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775,964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394,418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143,814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149,894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309,537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823,622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interest payment obligations calculated using stated coupon rates for fixed rate debt and interest rates applicable at March 31, 2019, for variable rate debt.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Represents off-balance sheet purchase obligations for capital expenditures and long-term supply contracts outstanding at March 31, 2019.</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future minimum lease payments including interest payments.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estimated benefit payments for our Korean subsidiary severance plan.</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obligations identified in the table above, other non-current liabilities recorded in our Consolidated Balance Sheet at March 31, 2019, include:</w:t>
      </w:r>
    </w:p>
    <w:p>
      <w:pPr>
        <w:spacing w:after="0" w:line="11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$60.5 million of net foreign pension plan obligations, for which the timing and actual amount of impact on our future cash flow is uncertain.</w:t>
      </w:r>
    </w:p>
    <w:p>
      <w:pPr>
        <w:spacing w:after="0" w:line="182"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$30.8 million net liability associated with unrecognized tax benefits. Due to the uncertainty regarding the amount and the timing of any future cash outflows associated with our unrecognized tax benefits, we are unable to reasonably estimate the amount and period of ultimate settlement, if any, with the various taxing authorities.</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March 31, 2019, we had no off-balance sheet guarantees or other off-balance sheet arrangements as defined in Item 303(a)(4)(ii) of SEC Regulation S-K.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 Indemnifications and Guarantees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refer you to Note 15 to our Consolidated Financial Statements in Part I, Item 1 of this Quarterly Report on Form 10-Q for a discussion of our contingencies related to litigation and other legal matters.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critical accounting policies are disclosed in our Annual Report on Form 10-K for the year ended December 31, 2018. During the three months ended March 31, 2019, there were no significant changes in our critical accounting policies as reported in our 2018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information regarding recent accounting pronouncements, we refer you to Note 2 to our Consolidated Financial Statements in Part I, Item 1 of this Quarterly Report on Form 10-Q.</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Sensitivity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3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U.S. dollar is our reporting and functional currency for our subsidiaries, except for J-Devices, where the Japanese Yen is the functional currency. In order to reduce our exposure to foreign currency gains and losses, we generally use natural hedging techniques to reduce foreign currency rate risk. On a limited basis, we use forward contracts to mitigate foreign currency risk of certain monetary liabilities denominated in foreign currencies.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2019, to assess the potential impact of fluctuations in exchange rates for all foreign denominated assets and liabilities. Assuming that all foreign currencies appreciated 10% against the U.S. dollar, taking into account our foreign currency forward contracts, our income before taxes for the three months ended March 31, 2019 would have been approximately $15 million lower, due to the remeasurement of monetary assets and liabilities. We have a significant net monetary liability at our subsidiary in Korea, principally related to our Korean severance plan.</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addition, we have foreign currency exchange rate exposure on our results of operations. For the three months ended March 31, 2019, approximately 76% of our net sales were denominated in U.S. dollars. Our remaining net sales were principally denominated in Japanese Yen for local country sales. For the three months ended March 31, 2019, approximately 50%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2019, to assess the potential impact of fluctuations in exchange rates for all foreign denominated sales and operating expenses. Assuming that all foreign currencies appreciated 10% against the U.S. dollar, our operating income for the three months ended March 31, 2019 would have been approximately $26 million lower.</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Consolidated Financial Statements are impacted by changes in exchange rates at the entity where the local currency is the functional currency. The effect of foreign exchange rate translation for these entities was a loss of $2.2 million and a gain of $15.1 million for the three months ended March 31, 2019 and 2018, respectively, and was recognized as an adjustment to equity through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interest rate risk with respect to our debt. Our fixed and variable rate debt includes foreign borrowings and revolving credit facilities. Our fixed rate debt also consists of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does not generally impact the fair value of the instrument.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interest rates, maturities and fair value of our fixed and variable rate debt as of March 31, 2019: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40" w:type="dxa"/>
            <w:vAlign w:val="bottom"/>
          </w:tcPr>
          <w:p>
            <w:pPr>
              <w:spacing w:after="0"/>
              <w:rPr>
                <w:sz w:val="15"/>
                <w:szCs w:val="15"/>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2019 - Remaining</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1"/>
              <w:spacing w:after="0"/>
              <w:rPr>
                <w:sz w:val="20"/>
                <w:szCs w:val="20"/>
                <w:color w:val="auto"/>
              </w:rPr>
            </w:pPr>
            <w:r>
              <w:rPr>
                <w:rFonts w:ascii="Arial" w:cs="Arial" w:eastAsia="Arial" w:hAnsi="Arial"/>
                <w:sz w:val="13"/>
                <w:szCs w:val="13"/>
                <w:b w:val="1"/>
                <w:bCs w:val="1"/>
                <w:color w:val="auto"/>
              </w:rPr>
              <w:t>2022</w:t>
            </w: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w w:val="82"/>
              </w:rPr>
              <w:t>2023</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Thereafter</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w w:val="99"/>
              </w:rPr>
              <w:t>Fair Value</w:t>
            </w:r>
          </w:p>
        </w:tc>
      </w:tr>
      <w:tr>
        <w:trPr>
          <w:trHeight w:val="249"/>
        </w:trPr>
        <w:tc>
          <w:tcPr>
            <w:tcW w:w="2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3"/>
          </w:tcPr>
          <w:p>
            <w:pPr>
              <w:jc w:val="right"/>
              <w:spacing w:after="0"/>
              <w:rPr>
                <w:sz w:val="20"/>
                <w:szCs w:val="20"/>
                <w:color w:val="auto"/>
              </w:rPr>
            </w:pPr>
            <w:r>
              <w:rPr>
                <w:rFonts w:ascii="Arial" w:cs="Arial" w:eastAsia="Arial" w:hAnsi="Arial"/>
                <w:sz w:val="13"/>
                <w:szCs w:val="13"/>
                <w:b w:val="1"/>
                <w:bCs w:val="1"/>
                <w:color w:val="auto"/>
              </w:rPr>
              <w:t>($ in thousands)</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8"/>
        </w:trPr>
        <w:tc>
          <w:tcPr>
            <w:tcW w:w="2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Fixed rate debt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568,269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177,730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57,730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52,769</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35,180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525,000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1,416,678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1,433,186</w:t>
            </w:r>
          </w:p>
        </w:tc>
      </w:tr>
      <w:tr>
        <w:trPr>
          <w:trHeight w:val="264"/>
        </w:trPr>
        <w:tc>
          <w:tcPr>
            <w:tcW w:w="2340" w:type="dxa"/>
            <w:vAlign w:val="bottom"/>
          </w:tcPr>
          <w:p>
            <w:pPr>
              <w:ind w:left="280"/>
              <w:spacing w:after="0"/>
              <w:rPr>
                <w:sz w:val="20"/>
                <w:szCs w:val="20"/>
                <w:color w:val="auto"/>
              </w:rPr>
            </w:pPr>
            <w:r>
              <w:rPr>
                <w:rFonts w:ascii="Arial" w:cs="Arial" w:eastAsia="Arial" w:hAnsi="Arial"/>
                <w:sz w:val="14"/>
                <w:szCs w:val="14"/>
                <w:color w:val="auto"/>
              </w:rPr>
              <w:t>Average interest rate</w:t>
            </w: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23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Variable rate debt</w:t>
            </w:r>
          </w:p>
        </w:tc>
        <w:tc>
          <w:tcPr>
            <w:tcW w:w="2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55,968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116,600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600</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26,000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w w:val="94"/>
              </w:rPr>
              <w:t>207,700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38,500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445,368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449,746</w:t>
            </w:r>
          </w:p>
        </w:tc>
      </w:tr>
      <w:tr>
        <w:trPr>
          <w:trHeight w:val="264"/>
        </w:trPr>
        <w:tc>
          <w:tcPr>
            <w:tcW w:w="23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Average interest rate</w:t>
            </w: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43"/>
        </w:trPr>
        <w:tc>
          <w:tcPr>
            <w:tcW w:w="2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debt maturities</w:t>
            </w:r>
          </w:p>
        </w:tc>
        <w:tc>
          <w:tcPr>
            <w:tcW w:w="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624,237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294,330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58,330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78,769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w w:val="94"/>
              </w:rPr>
              <w:t>242,880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563,500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1,862,046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1,882,932</w:t>
            </w:r>
          </w:p>
        </w:tc>
      </w:tr>
      <w:tr>
        <w:trPr>
          <w:trHeight w:val="20"/>
        </w:trPr>
        <w:tc>
          <w:tcPr>
            <w:tcW w:w="2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information regarding the fair value of our long-term debt, see Note 14 to our Consolidated Financial Statements in Part I, Item 1 of this Quarterly Report on Form 10-Q.</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our periodic reports to the Securities and Exchange Commission ("SEC") is recorded, processed, summarized and reported within the time periods specified in the SEC's rules and forms, and that such information is accumulated and communicated to our management, including the Chief Executive Officer and the Chief Financial Officer, as appropriate, to allow timely decisions regarding required disclosure, based on the definition of “disclosure controls and procedures” in Rule 13a-15(e) and Rule 15d-15(e) under the Securities Exchange Act of 1934, as amended.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March 31, 2019, and concluded those disclosure controls and procedures were effective as of that date.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previously reported, we are implementing an enterprise resource planning system in a multi-year program in certain of our factories. There have been no changes in our internal control over financial reporting that occurred during the three months ended March 31, 2019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about legal proceedings is set forth in Note 15 to our Consolidated Financial Statements in Part I, Item 1 of this Quarterly Report on Form 10-Q and in our Annual Report on Form 10-K for the year ended December 31, 2018.</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factors discussed below are cautionary statements that identify important factors and risks that could cause actual results to differ materially from those anticipated by the forward-looking statements contained in this report. For more information regarding the forward-looking statements contained in this report, see the Table of Contents of this Quarterly Report on Form 10-Q. You should carefully consider the risks and uncertainties described below, together with all of the other information included in this report, in considering our business and prospects. The risks and uncertainties described below are not the only ones facing Amkor. Additional risks and uncertainties not presently known to us may also impair our business operations. The occurrence of any of the following risks could affect our business, liquidity, results of operations, financial condition or cash flows.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Dependence on the Highly Cyclical Semiconductor Industry - We Operate in Volatile Industries and Industry Downturns and Declines in Global Economic and Financial Conditions Could Harm Our Performance.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we compete in experience slower, or even negative growth, our business and results of operations may be adversely affected.</w:t>
      </w:r>
    </w:p>
    <w:p>
      <w:pPr>
        <w:spacing w:after="0" w:line="18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telecommunications, consumer electronics, or computing, could have a material adverse effect on our business and operating results. During downturns, we have experienced, among other things, reduced demand, excess capacity and reduced sales. For example, generally soft economic conditions and a lack of compelling new mobile products constrained overall demand during 2015. In addition, we believe that there is an inventory correction in the smartphone market and that the general semiconductor market is going through a typical cyclical correction. Macroeconomic uncertainties and a cautious business climate are also expected to constrain the revenue growth in our business. It is difficult to predict the timing, strength or duration of any economic slowdown or subsequent economic recovery, which, in turn, makes it more challenging for us to forecast our operating results, make business decisions and identify risks that may affect our business, sources and uses of cash, financial condition and results of operations. Additionally, if industry conditions deteriorate, we could suffer significant losses, as we have in the past, which could materially impact our business, liquidity, results of operations, financial condition and cash flows.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Fluctuations in Operating Results and Cash Flows - Our Operating Results and Cash Flows Have Varied and May Vary Significantly as a Result of Factors That We Cannot Control.</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Many factors, including the impact of adverse economic conditions,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net sales, gross profit, operating income and cash flows have historically fluctuated significantly from quarter to quarter as a result of many of the following factors, over which we have little or no control and which we expect to continue to impact our business:</w:t>
      </w:r>
    </w:p>
    <w:p>
      <w:pPr>
        <w:spacing w:after="0" w:line="116"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ind w:left="5640" w:hanging="98"/>
        <w:spacing w:after="0"/>
        <w:tabs>
          <w:tab w:leader="none" w:pos="5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achieve our major growth objectives, including: transitioning second-wave customers to advanced packages; expanding our sales to customers in Greater China and, in particular, in the mid-level and entry-level tiers of the mobile device market; and increasing our share of the automotive market;</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average selling prices which can occur quickly due to the absence of long-term agreements on price;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mix of the semiconductor packaging and test services that we sell;</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labor costs to perform our services;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wage inflation and fluctuations in commodity prices, including gold, copper and other precious metals;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expenditures in anticipation of future orders;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effective tax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availability and cost of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intellectual property transactions and disputes;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 leverage and restrictive covenants;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warranty and product liability claims and the impact of quality excursions and customer disputes and returns;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associated with legal claims, indemnification obligations, judgments and settlements;</w:t>
      </w:r>
    </w:p>
    <w:p>
      <w:pPr>
        <w:spacing w:after="0" w:line="171"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political instability and government shutdowns, civil disturbances or environmental or natural events, such as earthquakes like the recent ones in Japan, that impact our operations, and international events, such as the United Kingdom's ongoing negotiations to leave the European Union;</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pandemic illnesses that may impact our labor force and our ability to travel;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of acquisitions and divestitures and difficulties integrating acquisitions;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qualified personnel to support our global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interest rates and currency exchange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manufacturing yields;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penetrate new end markets or expand our business in existing end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dependence on key customers or concentration of customers in certain end markets, such as mobile communications and automotive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restructuring charges, asset write-offs and impairments.</w:t>
      </w:r>
    </w:p>
    <w:p>
      <w:pPr>
        <w:spacing w:after="0" w:line="22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It is often difficult to predict the impact of these factors upon our results for a particular period. These factors may have a material and adverse effect on our business, liquidity, results of operations, financial condition and cash flows or lead to</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significant variability of quarterly or annual operating results. In addition, these factors may adversely affect our credit ratings which could make it more difficult and expensive for us to raise capital and could adversely affect the price of our securities.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Risks Associated with International Operations - We Depend on Our Factories and Operations in China, Japan, Korea, Malaysia, the Philippines, Portugal, Singapore and Taiwan. Many of Our Customers' and Vendors' Operations Are Also Located Outside of the U.S.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provide packaging and test services through our factories and other operations located in China, Japan, Korea, Malaysia, the Philippines, Portugal, Singapore and Taiwan. Substantially all of our property, plant and equipment is located outside of the United States. Moreover, many of our customers and the vendors in our supply chain are located outside the U.S. The following are some of the risks we face in doing business internationally:</w:t>
      </w:r>
    </w:p>
    <w:p>
      <w:pPr>
        <w:spacing w:after="0" w:line="1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consumer demand resulting from deteriorating conditions in local economies;</w:t>
      </w:r>
    </w:p>
    <w:p>
      <w:pPr>
        <w:spacing w:after="0" w:line="171" w:lineRule="exact"/>
        <w:rPr>
          <w:rFonts w:ascii="Arial" w:cs="Arial" w:eastAsia="Arial" w:hAnsi="Arial"/>
          <w:sz w:val="18"/>
          <w:szCs w:val="18"/>
          <w:color w:val="auto"/>
        </w:rPr>
      </w:pPr>
    </w:p>
    <w:p>
      <w:pPr>
        <w:ind w:left="980" w:hanging="648"/>
        <w:spacing w:after="0" w:line="259"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foreign governments, such as tariffs, customs, duties and other restrictive trade barriers, national security, data privacy and cybersecurity, antitrust and competition, tax, currency and banking, labor, environmental, health and safety, and in particular the recent increase in tariffs, customs, duties and other restrictive trade barriers considered or adopted by U.S. and foreign governments;</w:t>
      </w:r>
    </w:p>
    <w:p>
      <w:pPr>
        <w:spacing w:after="0" w:line="132"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payment of dividends and other payments by non-U.S. subsidiaries may be subject to prohibitions, limitations or taxes in local jurisdictions;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J-Devices;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and social conditions, and the potential for civil unrest, terrorism or other hostilities;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disruptions or delays in shipments caused by customs brokers or government agencies;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attracting and retaining qualified personnel and managing foreign operations, including foreign labor disruptions;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enforcing contractual rights and protecting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 resulting from tax laws in the U.S. and in foreign jurisdictions in which we operate and</w:t>
      </w:r>
    </w:p>
    <w:p>
      <w:pPr>
        <w:spacing w:after="0" w:line="171" w:lineRule="exact"/>
        <w:rPr>
          <w:rFonts w:ascii="Arial" w:cs="Arial" w:eastAsia="Arial" w:hAnsi="Arial"/>
          <w:sz w:val="18"/>
          <w:szCs w:val="18"/>
          <w:color w:val="auto"/>
        </w:rPr>
      </w:pPr>
    </w:p>
    <w:p>
      <w:pPr>
        <w:ind w:left="980" w:hanging="648"/>
        <w:spacing w:after="0" w:line="277" w:lineRule="auto"/>
        <w:tabs>
          <w:tab w:leader="none" w:pos="656"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local business and cultural factors that differ from our normal standards and practices, including business practices that we are prohibited from engaging in by the Foreign Corrupt Practices Act and other anti-corruption laws and regulations.</w:t>
      </w:r>
    </w:p>
    <w:p>
      <w:pPr>
        <w:spacing w:after="0" w:line="116"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In particular, we have significant facilities and other investments in South Korea, and there have been heightened security concerns in recent years stemming from North Korea’s nuclear weapon and long-range missile programs as well as its military actions in the region. Furthermore, there has been a history of conflict and a recent rise in tensions within and among other countries in the region.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Competition - We Compete Against Established Competitors in the Packaging and Test Business as Well as Internal Customer Capabilities and May Face Competition from New Competitors, Including Foundries.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outsourced semiconductor packaging and test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We also may face increased competition from domestic companies located in the People's Republic of China, or the PRC, where there are government-supported efforts to promote the development and growth of the local semiconductor industry. For example, STATS ChipPAC was acquired in 2015 by Jiangsu Electronics Technology Co., Ltd., a local PRC company.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 For example, Advanced Semiconductor Engineering, Inc. and Siliconware Precision Industries Co., Ltd. became sister companies under a new joint holding company, ASE Technology Holding Co. LTD., in April 2018.</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face competition from the internal capabilities and capacity of many of our current and potential IDM and foundry customers. In addition, we compete with contract foundries, such as Taiwan Semiconductor Manufacturing Company Limited and Samsung Electronics Co., Ltd., which offer full turnkey services from silicon wafer fabrication through packaging and final test. These semiconductor foundries, which are substantially larger and have greater financial resources than we do, have expanded their operations to include packaging and test services, and may continue to expand these capabilities in the future.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cannot assure you that we will be able to compete successfully in the future against our existing or potential competitors or that our customers will not rely on internal sources for packaging and test services, or that our business, liquidity, results of operations, financial condition and cash flows will not be adversely affected by such increased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Absence of Backlog - The Lack of Contractually Committed Customer Demand May Adversely Affect Our Sales.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packaging and test business does not typically operate with any material backlog. Our quarterly net sales from packaging and test services are substantially dependent upon our customers’ demand in that quarter. None of our customers have committed to purchase any significant amount of packaging or test services or to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would be adversely affected.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High Fixed Costs - Due to Our High Percentage of Fixed Costs, We Will Be Unable to Maintain Satisfactory Gross Margins if We Are Unable to Achieve Relatively High Capacity Utilization Rates.</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operations are characterized by relatively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In periods of low demand, we experience relatively low capacity utilization in our operations, which leads to reduced margins during that period. Transitions between different packaging technologies, such as the transition from gold wirebond to flip chip and copper wirebond packages, can also impact our capacity utilization if we do not efficiently redeploy our equipment for other packaging and test opportunities. For example, in 2011 the migration of some customer demand from wirebond to flip chip packages resulted in under-utilized wirebond assets which negatively impacted our capacity utilization and gross margin. We cannot assure you that we will be able to achieve consistently high capacity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utilization, and if we fail to do so, our gross margins will be negatively impacted. If our gross margins decrease, our business, liquidity, results of operations, financial condition and cash flows could be materially adversely affected.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our fixed operating costs have increased in recent years in part as a result of our efforts to expand our capacity through significant capital expenditures. Forecasted customer demand for which we have made capital investments may not materialize, especially if industry conditions deteriorate. As a result, our sales may not adequately cover fixed costs resulting in reduced profit levels or causing significant losses, both of which may adversely impact our business, liquidity, results of operations,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Guidance - Our Failure to Meet Our Guidance or Analyst Projections Could Adversely Impact the Trading Prices of Our Securities.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periodically provide guidance to investors with respect to certain financial information for future periods. Securities analysts also periodically publish their own projections with respect to our future operating results. As discussed above under “Fluctuations in Operating Results and Cash Flows - Our Operating Results and Cash Flows Have Varied and May Vary Significantly as a Result of Factors That We Cannot Control,” our operating results and cash flows vary significantly and are difficult to accurately predict. Volatility in customer forecasts and fluctuations in global consumer demand make it particularly difficult to predict future results. Further, providing guidance requires us to make estimates and assumptions about such things as revenue, costs and expenses, which may turn out to be incorrect or change. To the extent we fail to meet or exceed our own guidance or the analyst projections for any reason, the trading prices of our securities may be adversely impacted. Moreover, even if we do meet or exceed that guidance or those projections, if analysts and investors do not react favorably, or if analysts were to discontinue providing coverage of our company, the trading prices of our securities may be adversely impacted.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Declining Average Selling Prices - Historically There Has Been Downward Pressure on the Prices of Our Packaging and Test Services.</w:t>
      </w:r>
    </w:p>
    <w:p>
      <w:pPr>
        <w:spacing w:after="0" w:line="23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are unable to offset a decline in average selling prices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adversely affected.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Decisions by Our Integrated Device Manufacturer and Foundry Customers to Curtail Outsourcing May Adversely Affect Our Business.</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we have been dependent on the trend in outsourcing of packaging and test services by IDM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reasons IDMs and foundries may shift their outsourced business to internal capacity include:</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their desire to realize higher utilization of their existing packaging and test capacity, especially during downturns in the semiconductor industry;</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their unwillingness to disclose proprietary technology;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their possession of more advanced packaging and test technologies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guaranteed availability of their own packaging and test capacity.</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to the extent we limit capacity commitments for certain customers, these customers may increase their level of in-house packaging and test capabilities, which could make it more difficult for us to regain their business when we have available capacity.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 downturn in the semiconductor industry, IDMs and foundries could respond by shifting some or all outsourced packaging and test services to internally serviced capacity on a short-term basis. Also, the IDMs and foundries could curtail or reverse the trend of outsourcing packaging and test services. If we experience a significant loss of IDM or foundry business, it could have a material adverse effect on our business, liquidity, results of operations, financial condition and cash flows, especially during a prolonged industry downturn.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Substantial Indebtedness Could Adversely Affect Our Financial Condition and Prevent Us from Fulfilling Our Obligations.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significant amount of indebtedness, and the terms of the agreements governing our indebtedness allow us and our subsidiaries to incur more debt, subject to certain limitations. As of March 31, 2019, our total debt balance was $1,854.0 million, of which $638.7 million was classified as a current liability and $538.0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intensify.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substantial indebtedness could:</w:t>
      </w:r>
    </w:p>
    <w:p>
      <w:pPr>
        <w:spacing w:after="0" w:line="171" w:lineRule="exact"/>
        <w:rPr>
          <w:sz w:val="20"/>
          <w:szCs w:val="20"/>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fund future working capital, capital expenditures, research and development and other business opportunities, including joint ventures and acquisitions;</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the volatility of the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place us at a competitive disadvantage to any of our competitors that have less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 along with the financial and other restrictive covenants in our indebtedness, among other things, our ability to borrow additional funds;</w:t>
      </w:r>
    </w:p>
    <w:p>
      <w:pPr>
        <w:spacing w:after="0" w:line="18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our cost of borrowing.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Funding Liquidity Needs.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assess our liquidity based on our current expectations regarding sales, operating expenses, capital spending and debt service requirements and other funding needs. Our liquidity is affected by, among other things, the performance of our business, our capital expenditure and other investment levels and our ability to repay debt and other long-term obligations out of our operating cash flows or with the proceeds of debt or equity financings.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operate in a capital-intensive industry. We had capital expenditures of $203.2 million during the three months ended March 31, 2019. Servicing our current and future customers requires that we incur significant operating expenses and continue to make significant capital expenditures and other investments, which are generally made in advance of the related revenues and without firm customer commitments. Ultimately the actual amount of our capital expenditures for 2019 and thereafter may vary materially and will depend on several factors. These factors include, among others, the amount, timing and implementation of our capital projects, including those under review and those not yet planned, the performance of our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economic and market conditions, the cash needs and investment opportunities for the business, the need for additional capacity and facilities and the availability of cash flows from operations or financing.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have a significant level of debt, which requires significant scheduled principal and interest payments in the coming years. The sources funding our operations, including making capital expenditures and other investments and servicing principal and interest obligations with respect to our debt, are cash flows from our operations, existing cash and cash equivalents, borrowings under available debt facilities, or proceeds from any additional debt or equity financing.</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health of the worldwide banking system and capital markets affects our liquidity. If financial institutions that have extended credit commitments to us are adversely affected by the conditions of the U.S., foreign or international banking system and capital markets, they may refuse or be unable to fund borrowings under their credit commitments to us. Volatility in the banking system and capital markets, as well as rising interest rates or adverse economic, political and other global conditions, could also make it difficult or more expensive for us to maintain our existing credit facilities or refinance our debt.</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may be adversely impacted.</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Restrictive Covenants in the Indentures and Agreements Governing Our Current and Future Indebtedness Could Restrict Our Operating Flexibility.</w:t>
      </w:r>
    </w:p>
    <w:p>
      <w:pPr>
        <w:spacing w:after="0" w:line="2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indentures and agreements governing our existing debt, and debt we may incur in the future, contain, or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Significant Severance Plan Obligations Associated With Our Manufacturing Operations in Korea Which Could Reduce Our Cash Flow and Negatively Impact Our Financial Condition.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subsidiary in Korea maintains an unfunded severance plan, under which we have an accrued liability of $135.7 million as of March 31, 2019. The plan covers certain employees that were employed prior to August 1, 2015. In the event of a significant layoff or other reduction in our labor force in Korea, our subsidiary in Korea would be required to make lump-sum severance payments under the plan, which could have a material adverse effect on our liquidity, financial condition and cash flows.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Maintain an Effective System of Internal Controls, We May Not be Able to Accurately Report Financial Results or Prevent Fraud.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Effective internal controls are necessary to provide reliable financial reports and to assist in the effective prevention of</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fraud. We must annually evaluate our internal procedures to satisfy the requirements of Section 404 of the Sarbanes-Oxley Act of 2002, which requires management and our independent registered public accounting firm to assess the effectiveness of internal control over financial reporting.</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Internal controls may not prevent or detect misstatements because of their inherent limitations, including the possibility of human error, the circumvention or overriding of controls, fraud or corruption. Therefore, even effective internal controls can provide only reasonable assurance with respect to the preparation and fair presentation of financial statements. In addition, projections of any evaluation of effectiveness of internal controls to future periods are subject to the risk that the internal controls may become inadequate because of changes in conditions, or that the degree of compliance with the policies or procedures may deteriorate.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modules and expect to implement additional enterprise resource planning modules in the future. In addition, we have implemented new shop floor management systems in certain of our factories. In December 2015, we acquired the operations of J-Devices, and we integrated those operations into our overall internal control over financial reporting. Although we continue to monitor and assess our internal controls for these systems and operations, there is a risk that deficiencies may occur that could constitute significant deficiencies or, in the aggregate, a material weakness.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Warranty Claims, Product Return and Liability Risks, the Risk of Economic Damage Claims and the Risk of Negative Publicity if Our Packages Fail</w:t>
      </w:r>
      <w:r>
        <w:rPr>
          <w:rFonts w:ascii="Arial" w:cs="Arial" w:eastAsia="Arial" w:hAnsi="Arial"/>
          <w:sz w:val="18"/>
          <w:szCs w:val="18"/>
          <w:color w:val="auto"/>
        </w:rPr>
        <w: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packages are incorporated into a number of end products, and our business is exposed to warranty claims, product return and liability risks, the risk of economic damage claims and the risk of negative publicity if our packages fail.</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receive warranty claims from our customers which occur from time to time in the ordinary course of our business. If we were to experience an unusually high incidence of warranty claims, we could incur significant costs and our business could be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 systems, computer viruses, attacks by computer hackers, telecommunication failures, user errors, malfeasance or catastrophic events. In addition, security breaches could result in unauthorized disclosure of confidential information. Some of our key software has been developed by our own programmers, and this software may not be easily integrated with other software and systems. From time to time we make additions or changes to our information technology systems. For example, we have implemented new shop floor systems in certain of our factories, and we are integrating J-Devices' information technology systems with our existing systems and processes. </w:t>
      </w:r>
      <w:r>
        <w:rPr>
          <w:rFonts w:ascii="Arial" w:cs="Arial" w:eastAsia="Arial" w:hAnsi="Arial"/>
          <w:sz w:val="16"/>
          <w:szCs w:val="16"/>
          <w:color w:val="090909"/>
        </w:rPr>
        <w:t>In addition, in May 2017, we completed our acquisition of Nanium and</w:t>
      </w:r>
      <w:r>
        <w:rPr>
          <w:rFonts w:ascii="Arial" w:cs="Arial" w:eastAsia="Arial" w:hAnsi="Arial"/>
          <w:sz w:val="16"/>
          <w:szCs w:val="16"/>
          <w:color w:val="auto"/>
        </w:rPr>
        <w:t xml:space="preserve"> continue </w:t>
      </w:r>
      <w:r>
        <w:rPr>
          <w:rFonts w:ascii="Arial" w:cs="Arial" w:eastAsia="Arial" w:hAnsi="Arial"/>
          <w:sz w:val="16"/>
          <w:szCs w:val="16"/>
          <w:color w:val="090909"/>
        </w:rPr>
        <w:t>to integrate its information</w:t>
      </w:r>
      <w:r>
        <w:rPr>
          <w:rFonts w:ascii="Arial" w:cs="Arial" w:eastAsia="Arial" w:hAnsi="Arial"/>
          <w:sz w:val="16"/>
          <w:szCs w:val="16"/>
          <w:color w:val="auto"/>
        </w:rPr>
        <w:t xml:space="preserve"> technology </w:t>
      </w:r>
      <w:r>
        <w:rPr>
          <w:rFonts w:ascii="Arial" w:cs="Arial" w:eastAsia="Arial" w:hAnsi="Arial"/>
          <w:sz w:val="16"/>
          <w:szCs w:val="16"/>
          <w:color w:val="090909"/>
        </w:rPr>
        <w:t>systems into our existing systems and processes.</w:t>
      </w:r>
      <w:r>
        <w:rPr>
          <w:rFonts w:ascii="Arial" w:cs="Arial" w:eastAsia="Arial" w:hAnsi="Arial"/>
          <w:sz w:val="16"/>
          <w:szCs w:val="16"/>
          <w:color w:val="auto"/>
        </w:rPr>
        <w:t xml:space="preserve"> We face risks in connection with current and future projects to install or integrate new information technology systems or upgrade our existing systems. These risks include:</w:t>
      </w:r>
    </w:p>
    <w:p>
      <w:pPr>
        <w:spacing w:after="0" w:line="113"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face delays in the design and implementation of the system;</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5640" w:hanging="98"/>
        <w:spacing w:after="0"/>
        <w:tabs>
          <w:tab w:leader="none" w:pos="56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the systems may exceed our plans and expectations and</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disruptions resulting from the implementation or integration of the systems may impact our ability to process transactions and delay shipments to customers, impact our results of operations or financial condition or harm our control environment.</w:t>
      </w:r>
    </w:p>
    <w:p>
      <w:pPr>
        <w:spacing w:after="0" w:line="1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business could be materially and adversely affected if our information technology systems are disrupted or if we are unable to successfully install new systems or improve, upgrade, integrate or expand upon our existing systems.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Trying to Attract, Retain or Replace Qualified Employees to Support Our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depends to a significant extent upon the continued service of our key senior management, sales and technical personnel, any of whom may be difficult to replace. Competition for qualified employees is intense, and our business could be adversely affected by the loss of the services of any of our existing key personnel, including senior management, as a result of competition or for any other reason. We do not have employment agreements with our key employees, including senior management or other contracts that would prevent our key employees from working for our competitors in the event they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Difficulties Consolidating and Integrating Our Operations - We Face Challenges as We Integrate Diverse Operations.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experienced, and expect to continue to experience, change in the scope and complexity of our operations resulting primarily from existing and future facility and operational consolidations, strategic acquisitions, joint ventures and other partnering arrangements. Some of the risks from these activities include those associated with the following:</w:t>
      </w:r>
    </w:p>
    <w:p>
      <w:pPr>
        <w:spacing w:after="0" w:line="127"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the scope, geographic diversity and complexity of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conforming an acquired company's standards, practices, systems and controls with our operations;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increasing complexity from combining recent acquisitions of an acquired business;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unexpected losses of key employees or customers of an acquired business; other difficulties in the assimilation of acquired operations, technologies or products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 and other resources from other parts of our operations and adverse effects on existing business relationships with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use a significant portion of our available cash;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 equity securities, which may dilute the ownership of current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substantial debt;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or assume known or unknown contingent liabilities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For example, in May 2017, we completed the purchase of Nanium, which we are now integrating with our existing operations.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Dependence on Materials and Equipment Suppliers - Our Business May Suffer If the Cost, Quality or Supply of Materials or Equipment Changes Adversely Including Any Disruption that May Occur in the Supply of Certain Materials due to Regulations and Customer Requirements.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obtain from various vendors the materials and equipment required for the packaging and test services performed by our factories. We source most of our materials, including critical materials such as leadframes, laminate substrates and gold wire, from a limited group of suppliers. A disruption to the operations of one or more of our suppliers could have a negative impact on our business. For example, the severe earthquake and tsunami in Japan in 2011 had a significant adverse effect on the electronics industry supply chain by impacting the supply of specialty chemicals, substrates, silicon wafers, equipment and other supplies to the electronics industry. In addition, we purchase the majority of our materials on a purchase order basis. Our business may be harmed if we cannot obtain materials and other supplies from our vendors in a timely manner, in sufficient quantities, at acceptable quality or at competitive prices. Some of our customers are also dependent on a limited number of suppliers for certain materials and silicon wafers. Shortages or disruptions in our customers' supply channels could have a material adverse effect on our business, financial condition, results of operations and cash flows. For example, the shortage in the supply of 28 nanometer wafers to some of our customers in 2012 delayed or otherwise adversely impacted the demand for certain of our advanced packaging and test services.</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Rules adopted by the SEC implementing the Dodd-Frank Wall Street Reform and Consumer Protection Act impose diligence and disclosure requirements regarding the use of certain minerals originating from the conflict zones of the Democratic Republic of Congo and adjoining countries in our products. Industry associations and many of our customers have implemented initiatives to improve transparency and accountability concerning the supply of these materials and, in some cases, requiring us to certify that the covered materials we use in our packages do not come from the conflict areas. We may incur additional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in sufficient quantities and at competitive prices or that we will be able to verify the origin of all of the materials we use in our manufacturing process. If we are unable to meet these requirements and customer initiatives, it could adversely affect our business as some customers may move their business to other suppliers. Our reputation could also be adversely affected.</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purchase new packaging and test equipment to maintain and expand our operations. From time to time, increased demand for new equipment may cause lead times to extend beyond those normally required by equipment vendors. For example, in the past, increased demand for equipment caused some equipment suppliers to only partially satisfy our equipment orders in the normal time frame or to increase prices during market upturns for the semiconductor industry.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we could experience adverse changes in pricing, currency risk and potential shortages in equipment in a strong market, which could have a material adverse effect on our results of operations.</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adversely impact our gross margin in future periods to the extent we are unable to pass along past or future commodity price increases to our customers.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Customer Concentration and Loss of Customers - The Loss of Certain Customers or Reduced Orders or Pricing from Existing Customers May Have a Significant Adverse Effect on Our Operations and Financial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together accounted for 62% of our net sales for the year ended December 31, 2018, and one customer accounted for more than 10% of our consolidated net sales during the period. In addition, we have significant customer concentration within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end markets. The loss of a significant customer, a business combination among our customers, a reduction in orders or decrease in price from a significant customer or disruption in any of our significant strategic partnerships or other commercial arrangements may result in a decline in our sales and profitability and could have a material adverse effect on our business, liquidity, results of operations, financial condition and cash flows.</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Our business is likely to remain subject to this variability in order levels, and we cannot assure you that our key customers or any other customers will continue to place orders with us in the future at the same levels as in past periods.</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example, if a key customer decides to purchase wafers from a semiconductor foundry that provides packaging and test services, our business could be reduced if the customer also engages that foundry for related packaging and test services. We cannot assure that customer decisions regarding the purchase of semiconductor wafers will not significantly and adversely impact customer demand for our packaging and test services.</w:t>
      </w:r>
    </w:p>
    <w:p>
      <w:pPr>
        <w:spacing w:after="0" w:line="1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from time to time we may acquire or build new facilities, such as K5, or migrate existing business among our facilities. In connection with these facility changes, our customers require us to re-qualify the new facilities even though we have already qualified to perform the services at our other facilities. We cannot assure that we will successfully re-qualify or that our customers will not qualify our competitors and move the business for such services.</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Capital Expenditures - We Make Substantial Investments in Equipment and Facilities To Support the Demand Of Our Customers, Which May Adversely Affect Our Business If the Demand Of Our Customers Does Not Develop As We Expect or Is Adversely Affected.</w:t>
      </w:r>
    </w:p>
    <w:p>
      <w:pPr>
        <w:spacing w:after="0" w:line="14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make significant investments in equipment and facilities in order to service the demand of our customers. For example, we expect that our 2019 capital expenditures will be approximately $475 million. The amount of our capital expenditures depends on several factors, including the performance of our business, our assessment of future industry and customer demand, our capacity utilization levels and availability, our liquidity position and the availability of financing. Our ongoing capital expenditure requirements may strain our cash and short-term asset balances, and, in periods when we are expanding our capital base, we expect that depreciation expense and factory operating expenses associated with our capital expenditures to increase production capacity will put downward pressure on our gross margin, at least over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margin could be negatively impacted. Our capital expenditures or cost per square foot may increase as we transition to new or more advanced packaging and test technologies because, among other things, new equipment used for these technologies is generally more expensive and often our existing equipment cannot be redeployed in whole or part for these technologies.</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adversely affected. Our ability to obtain external financing in the future is subject to a variety of uncertainties, including:</w:t>
      </w:r>
    </w:p>
    <w:p>
      <w:pPr>
        <w:spacing w:after="0" w:line="12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financial condition, results of operations and cash 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 for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volatility in fixed income, credit and equity markets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political and other global conditions.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lead time needed to order, install and put into service various capital investments is often significant, and, as a result, we often need to commit to capital expenditures in advance of our receipt of firm orders or advance deposits based on our view of anticipated future demand with only very limited visibility. Although we seek to limit our exposure in this regard, in the past we have from time to time expended significant capital for additional equipment or facilities for which the anticipated demand did not materialize for a variety of reasons, many of which were outside of our control. To the extent this occurs in the future, our business, liquidity, results of operations, financial condition and cash flows could be materially adversely affected.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during periods where customer demand exceeds our capacity, customers may transfer some or all of their business to other suppliers who are able to support their needs. To the extent this occurs, our business, liquidity, results of operations, financial condition and cash flows could be materially adversely affected.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completed the initial phase of construction of K5 in December 2016, there can be no assurance regarding when the facility will be fully utilized, or that the actual scope, costs, timeline or benefits of the project will be consistent with our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Charges - Any Impairment Charges Required Under U.S. GAAP May Have a Material Adverse Effect on Our Net Income.</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U.S. GAAP, we review our long-lived assets including property, plant and equipment, intellectual property, goodwill and other intangibles for impairment when events or changes in circumstances indicate the carrying value may not be recoverable. In addition, we review goodwill for impairment annually during the fourth quarter of each year. Factors we consider include significant under-performance relative to expected historical or projected future operating results, significant negative industry or economic trends and our market capitalization relative to net book value. We may be required in the future to record a significant charge to earnings in our financial statements during the period in which any impairment of our long-lived assets is determined. Such charges have had and could have a significant adverse impact on our results of operations and our operating flexibility under our debt covenants.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Incident to Our Business Could Adversely Affect Us.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been a party to various legal proceedings, including those described from time to time in our reports filed with the SEC, and may be a party to legal proceedings in the future. These proceedings could require significant management time and resources and, if an unfavorable ruling or outcome were to occur in these legal proceedings, there could be a material adverse impact on our business, liquidity, results of operations, financial condition, cash flows and the trading price of our securities.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Tax Holidays, or if We Are Required to Establish or Adjust Valuation Allowances on Deferred Tax Assets.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In addition, organizations such as the Organisation for Economic Co-operation and Development may, from time to time, propose guidelines regarding transfer pricing and other international tax matters relating to multinational companies like Amkor. Changes in U.S. or foreign tax laws arising out of such proposals or otherwise could have a material adverse impact on our liquidity, results of operations, financial condition and cash flows.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tax liabilities are based, in part, on our corporate structure, interpretations of various U.S. and foreign tax laws, including withholding tax, compliance with tax holiday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tax holidays.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adversely affect our</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results of operations, financial condition and cash flows. Additionally, certain of our subsidiaries operate under tax holidays, which will expire in whole or in part at various dates in the future. As those tax holidays expire, we expect that our tax expense will increase as income from those jurisdictions becomes subject to higher statutory income tax rates, thereby reducing our liquidity and cash flow.</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results of recent operations. For most of our foreign deferred tax assets, we believe that we will have sufficient taxable income to allow us to realize these deferred tax assets. In the event taxable income falls short of current expectations, we may need to establish a valuation allowance against such deferred tax assets that, if required, could materially affect our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Enactment of Recent Tax Reform Could Materially Impact Our Financial Position and Results of Operations.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December 22, 2017, the Tax Act was signed into law. The Tax Act made significant changes to the U.S. tax code. Changes include a reduction of the U.S. federal corporate tax rate from 35% to 21%, a one-time transition tax on unremitted foreign earnings and profits applicable for our fiscal year ended December 31, 2017, limitations on tax deductions for interest expense for the period beginning January 1, 2018, and changes to other existing deductions and business-related exclusions in future periods. As a result, in the fourth quarter of 2017, we recognized a one-time net tax benefit of approximately $41.6 million, primarily due to the release of a valuation allowance against U.S. deferred tax assets that we expected to realize as a result of the change to the U.S. tax law limiting the deductibility of interest expense. We also incurred charges for the one-time transition tax on our unremitted foreign earnings and profits offset by the anticipated utilization of foreign tax credits. We were also required to re-measure our deferred tax assets based on the new U.S. federal corporate tax rate of 21%. In 2018, we updated our provisional estimate of the impact of the Tax Act, and recorded a $22.3 million income tax expense to complete the accounting for the impact of the Tax Act, reducing our estimated net tax benefit of $41.6 million from 2017. Our accounting for the impact of the Tax Act is now complete in accordance with SEC staff issued Staff Accounting Bulletin No. 118 ("SAB 118"). However, there is uncertainty in the application of many aspects of the Tax Act and additional guidance with respect to the Tax Act may affect our estimates and could have a material impact on our income tax expense.</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Intellectual Property - Our Business Will Suffer if We Are Not Able to Develop New Proprietary Technology, Protect Our Proprietary Technology and Operate Without Infringing the Proprietary Rights of Others.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complexity and breadth of semiconductor packaging and test services are rapidly increasing. As a result, we expect that we will need to develop, acquire and implement new manufacturing processes and packaging technologies and tools in order to respond to competitive industry conditions and customer requirements. Technological advances also typically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adversely affect our ability to meet customer orders and adversely impact our business.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will eventually expire, may be challenged, invalidated or circumvented and may not provide meaningful protection or other commercial advantage to us.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w:t>
      </w:r>
    </w:p>
    <w:p>
      <w:pPr>
        <w:sectPr>
          <w:pgSz w:w="11900" w:h="16838" w:orient="portrait"/>
          <w:cols w:equalWidth="0" w:num="1">
            <w:col w:w="11420"/>
          </w:cols>
          <w:pgMar w:left="240" w:top="121"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competitors may develop, patent or gain access to know-how and technology similar or superior to our own. In addition, many of our patents are subject to cross licenses, several of which are with our competitors.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9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 the use of certain processes or cease to provide the services at issue, which could curtail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 non-infringing technologies, which may not be feasible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In the past, we have been involved in legal proceedings involving the acquisition and license of intellectual property rights, the enforcement of our existing intellectual property rights or the enforcement of the intellectual property rights of others, including settled legal proceedings described in more detail in Note 15 to the Consolidated Financial Statements in Part II, Item 8 of our Annual Report on Form 10-K.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Quarterly Report on Form 10-Q on our results of operations, financial condition and cash flows could change in the future.</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Semiconductor packaging and test services are complex processes that require significant technological and process expertise. Defective packages primarily result from:</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contaminants in the manufacturing environment;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human error;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equipment malfunction;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changing processes to address environmental requirements;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defective raw materials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defective plating services.</w:t>
      </w:r>
    </w:p>
    <w:p>
      <w:pPr>
        <w:spacing w:after="0" w:line="171" w:lineRule="exact"/>
        <w:rPr>
          <w:sz w:val="20"/>
          <w:szCs w:val="20"/>
          <w:color w:val="auto"/>
        </w:rPr>
      </w:pPr>
    </w:p>
    <w:p>
      <w:pPr>
        <w:ind w:left="60"/>
        <w:spacing w:after="0" w:line="342" w:lineRule="auto"/>
        <w:rPr>
          <w:sz w:val="20"/>
          <w:szCs w:val="20"/>
          <w:color w:val="auto"/>
        </w:rPr>
      </w:pPr>
      <w:r>
        <w:rPr>
          <w:rFonts w:ascii="Arial" w:cs="Arial" w:eastAsia="Arial" w:hAnsi="Arial"/>
          <w:sz w:val="16"/>
          <w:szCs w:val="16"/>
          <w:color w:val="auto"/>
        </w:rPr>
        <w:t>Test is also complex and involves sophisticated equipment and software. Similar to many software programs, these software programs are complex and may contain programming errors or “bugs.” The test equipment is also subject to malfunction. In addition, the test process is subject to operator error.</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failure to maintain quality standards or acceptable production yields, if significant and prolonged, could result in loss of customers, increased costs of production, delays, substantial amounts of returned goods and claims by customers relating thereto. Any of these problems could have a material adverse effect on our business, liquidity, results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w:t>
      </w:r>
    </w:p>
    <w:p>
      <w:pPr>
        <w:sectPr>
          <w:pgSz w:w="11900" w:h="16838" w:orient="portrait"/>
          <w:cols w:equalWidth="0" w:num="1">
            <w:col w:w="11420"/>
          </w:cols>
          <w:pgMar w:left="240" w:top="121"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in line with industry practice, new customers usually require us to pass a lengthy and rigorous qualification process that may take several months. If we fail to qualify packages with potential customers or existing customers, such failure could have a material adverse effect on our business, results of operations, financial condition and cash flows.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Environmental, Health &amp; Safety Laws and Industry and Customer Initiatives - Future Environmental, Health &amp; Safety Laws and Industry and Customer Sustainability Initiatives Could Place Additional Burdens on Our Manufacturing Operations.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semiconductor packaging process generates byproducts that are subject to extensive governmental regulations. For example, at our foreign facilities we produce liquid waste when semiconductor wafers are diced into chips with the aid of diamond saws, then cooled with running water. In addition, semiconductor packages have historically utilized metallic alloys containing lead (Pb) within the interconnect terminals typically referred to as leads, pins or balls. Environmental, health and safety laws and regulations in places we do business, impose various controls on the use, storage, handling, discharge and disposal of chemicals used in our production processes and on the factories we occupy and are increasingly imposing restrictions on the materials contained in semiconductor products. For example,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existence of hazardous materials on our properties or hazardous substances in the products we manufacture. We could also be held liable for damages, including fines, penalties and the cost of investigations and remedial actions, we could be subject to revocation of permits negatively affecting our ability to maintain or expand our operations, and we could suffer reputational harm.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There has also been an increase in public attention and industry and customer focus on the materials contained in semiconductor products, the environmental</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impact of semiconductor operations and the risk of chemical releases from such operations, climate change, sustainability and related environmental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concerns. This increased focus on sustainability and the environmental impact of semiconductor operations and products has caused industry groups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customers to impose additional requirements on us and our suppliers, sometimes exceeding regulatory standards. These industry and customer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requirements include increased tracking and reporting of greenhouse gas emissions, reductions in waste and wastewater from operations, additional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the materials and components used in the products we manufacture, and the use of renewable energy sources in our factory operations. To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these additional requirements, we may need to procure additional equipment or make factory or process changes and our manufacturing costs may increase.</w:t>
      </w:r>
    </w:p>
    <w:p>
      <w:pPr>
        <w:spacing w:after="0" w:line="2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and Financial Condition Could be Adversely Affected by Natural Disasters and Other Calamities, Political Instability, Hostilities, or Other Disruptions.</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significant packaging and test and other operations in China, Japan, Korea, Malaysia, the Philippines, Portugal, Singapore, and Taiwan which are or could be subject to natural disasters, such as earthquakes, tsunamis, typhoons, floods, droughts, volcanoes and other severe weather and geological events, and other calamities, such as fire; the outbreak of infectious diseases (such as Ebola, SARS or flu); industrial strikes; breakdowns of equipment; difficulties or delays in obtaining materials, equipment, utilities and services; political events or instability; acts of war, armed conflict, terrorist incidents and other hostilities, including any such events that may arise out of increased tensions involving North Korea or in other regions where we have facilities; industrial accidents and other events, that could disrupt or even shutdown our operations. In addition, our suppliers and customers also have significant operations in such locations. In the event of such a disruption or shutdown, we may be unable to reallocate production to other facilities in a timely or cost-effective manner (if at all) and we may not have sufficient capacity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6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example, in April 2016, our Kumamoto factory was damaged by earthquakes in Japan. As a result of these earthquakes, our sales were reduced due to the temporary disruption in operations. We also incurred earthquake related costs for damaged inventory, buildings and equipment.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Although we maintain insurance policies for various types of property, casualty and other risks, we do not carry insurance for all the above referred risks, and with regard to the insurance we do maintain, we cannot assure you that it would be sufficient to cover all of our potential losses. As a result, our business, financial condition, results of operations and cash flows could be adversely affected by natural disasters and other calamities.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Mr. James J. Kim and Members of His Family Can Effectively Determine or Substantially Influence The Outcome of All Matters Requiring Stockholder Approval.</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2019, Mr. James J. Kim, the Executive Chairman of our Board of Directors, Mr. John T. Kim, the Executive Vice Chairman of our Board of Directors, Ms. Susan Y. Kim, member of our Board of Directors, and members of the Kim family and affiliates owned approximately 141.7 million shares, or approximately 59%, of our outstanding common stock. The Kim family also has options to acquire approximately 0.4 million shares. If the options are exercised, the Kim family's total ownership would be an aggregate of approximately 142.1 million shares of our outstanding common stock or approximately 59% of our outstanding common stock.</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June 2013, the Kim family exchanged their convertible notes issued by Amkor for approximately 49.6 million shares of common stock (the "Convert Shares"). The Convert Shares are subject to a voting agreement. The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James J. Kim and his family and affiliates, acting together, have the ability to effectively determine or substantially influence matters submitted for approval by our stockholders by voting their shares or otherwise acting by written consent, including the election of our Board of Directors.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adversely affect the market price of our stock.</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Repurchase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our common stock during the three months ended March 31,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Number of Shares</w:t>
            </w:r>
          </w:p>
        </w:tc>
        <w:tc>
          <w:tcPr>
            <w:tcW w:w="240" w:type="dxa"/>
            <w:vAlign w:val="bottom"/>
          </w:tcPr>
          <w:p>
            <w:pPr>
              <w:spacing w:after="0"/>
              <w:rPr>
                <w:sz w:val="12"/>
                <w:szCs w:val="12"/>
                <w:color w:val="auto"/>
              </w:rPr>
            </w:pPr>
          </w:p>
        </w:tc>
        <w:tc>
          <w:tcPr>
            <w:tcW w:w="1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Average 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3200" w:type="dxa"/>
            <w:vAlign w:val="bottom"/>
            <w:vMerge w:val="restart"/>
          </w:tcPr>
          <w:p>
            <w:pPr>
              <w:ind w:left="1400"/>
              <w:spacing w:after="0"/>
              <w:rPr>
                <w:sz w:val="20"/>
                <w:szCs w:val="20"/>
                <w:color w:val="auto"/>
              </w:rPr>
            </w:pPr>
            <w:r>
              <w:rPr>
                <w:rFonts w:ascii="Arial" w:cs="Arial" w:eastAsia="Arial" w:hAnsi="Arial"/>
                <w:sz w:val="14"/>
                <w:szCs w:val="14"/>
                <w:b w:val="1"/>
                <w:bCs w:val="1"/>
                <w:color w:val="auto"/>
              </w:rPr>
              <w:t>Period</w:t>
            </w:r>
          </w:p>
        </w:tc>
        <w:tc>
          <w:tcPr>
            <w:tcW w:w="140" w:type="dxa"/>
            <w:vAlign w:val="bottom"/>
            <w:vMerge w:val="restart"/>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19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Purchased (a)</w:t>
            </w:r>
          </w:p>
        </w:tc>
        <w:tc>
          <w:tcPr>
            <w:tcW w:w="1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Per Share ($)</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 (b)</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4"/>
              </w:rPr>
              <w:t>Programs ($) (b)</w:t>
            </w: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January 1 - January 31</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February 1 - February 28</w:t>
            </w:r>
          </w:p>
        </w:tc>
        <w:tc>
          <w:tcPr>
            <w:tcW w:w="1940" w:type="dxa"/>
            <w:vAlign w:val="bottom"/>
          </w:tcPr>
          <w:p>
            <w:pPr>
              <w:jc w:val="right"/>
              <w:ind w:right="36"/>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1940" w:type="dxa"/>
            <w:vAlign w:val="bottom"/>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March 1 - March 31</w:t>
            </w:r>
          </w:p>
        </w:tc>
        <w:tc>
          <w:tcPr>
            <w:tcW w:w="2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Borders>
              <w:bottom w:val="single" w:sz="8" w:color="CCEEFF"/>
            </w:tcBorders>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91,586,032</w:t>
            </w:r>
          </w:p>
        </w:tc>
        <w:tc>
          <w:tcPr>
            <w:tcW w:w="0" w:type="dxa"/>
            <w:vAlign w:val="bottom"/>
          </w:tcPr>
          <w:p>
            <w:pPr>
              <w:spacing w:after="0"/>
              <w:rPr>
                <w:sz w:val="1"/>
                <w:szCs w:val="1"/>
                <w:color w:val="auto"/>
              </w:rPr>
            </w:pPr>
          </w:p>
        </w:tc>
      </w:tr>
      <w:tr>
        <w:trPr>
          <w:trHeight w:val="25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9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5,425</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ind w:left="1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of common stock surrendered to us to satisfy tax withholding obligations associated with the vesting of restricted shares issued to employees.</w:t>
      </w:r>
    </w:p>
    <w:p>
      <w:pPr>
        <w:spacing w:after="0" w:line="11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Board of Directors previously authorized the repurchase of up to $300.0 million of our common stock, $150.0 million in August 2011 and $150.0 million in February 2012, exclusive of any fees, commissions or other expenses. For the three months ended March 31, 2019, we made no common stock purchases, and at March 31, 2019, approximately $91.6 million was available pursuant to the stock repurchase program.</w:t>
      </w:r>
    </w:p>
    <w:p>
      <w:pPr>
        <w:spacing w:after="0" w:line="16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- 43-</w:t>
      </w:r>
    </w:p>
    <w:p>
      <w:pPr>
        <w:sectPr>
          <w:pgSz w:w="11900" w:h="16838" w:orient="portrait"/>
          <w:cols w:equalWidth="0" w:num="1">
            <w:col w:w="11420"/>
          </w:cols>
          <w:pgMar w:left="240" w:top="121"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07"/>
        </w:trPr>
        <w:tc>
          <w:tcPr>
            <w:tcW w:w="6420" w:type="dxa"/>
            <w:vAlign w:val="bottom"/>
            <w:gridSpan w:val="20"/>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2"/>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5580" w:type="dxa"/>
            <w:vAlign w:val="bottom"/>
            <w:gridSpan w:val="19"/>
          </w:tcPr>
          <w:p>
            <w:pPr>
              <w:ind w:left="60"/>
              <w:spacing w:after="0"/>
              <w:rPr>
                <w:sz w:val="20"/>
                <w:szCs w:val="20"/>
                <w:color w:val="auto"/>
              </w:rPr>
            </w:pPr>
            <w:r>
              <w:rPr>
                <w:rFonts w:ascii="Arial" w:cs="Arial" w:eastAsia="Arial" w:hAnsi="Arial"/>
                <w:sz w:val="18"/>
                <w:szCs w:val="18"/>
                <w:b w:val="1"/>
                <w:bCs w:val="1"/>
                <w:i w:val="1"/>
                <w:iCs w:val="1"/>
                <w:color w:val="auto"/>
              </w:rPr>
              <w:t>Exhibits</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18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rPr>
              <w:t>Incorporated by Reference</w:t>
            </w:r>
          </w:p>
        </w:tc>
        <w:tc>
          <w:tcPr>
            <w:tcW w:w="2000" w:type="dxa"/>
            <w:vAlign w:val="bottom"/>
          </w:tcPr>
          <w:p>
            <w:pPr>
              <w:jc w:val="center"/>
              <w:ind w:left="1014"/>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92"/>
        </w:trPr>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00" w:type="dxa"/>
            <w:vAlign w:val="bottom"/>
            <w:tcBorders>
              <w:bottom w:val="single" w:sz="8" w:color="auto"/>
            </w:tcBorders>
          </w:tcPr>
          <w:p>
            <w:pPr>
              <w:jc w:val="center"/>
              <w:ind w:left="1014"/>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39"/>
        </w:trPr>
        <w:tc>
          <w:tcPr>
            <w:tcW w:w="840" w:type="dxa"/>
            <w:vAlign w:val="bottom"/>
          </w:tcPr>
          <w:p>
            <w:pPr>
              <w:ind w:left="300"/>
              <w:spacing w:after="0" w:line="139" w:lineRule="exact"/>
              <w:rPr>
                <w:sz w:val="20"/>
                <w:szCs w:val="20"/>
                <w:color w:val="auto"/>
              </w:rPr>
            </w:pPr>
            <w:r>
              <w:rPr>
                <w:rFonts w:ascii="Arial" w:cs="Arial" w:eastAsia="Arial" w:hAnsi="Arial"/>
                <w:sz w:val="14"/>
                <w:szCs w:val="14"/>
                <w:b w:val="1"/>
                <w:bCs w:val="1"/>
                <w:color w:val="auto"/>
              </w:rPr>
              <w:t>Exhibit</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60" w:type="dxa"/>
            <w:vAlign w:val="bottom"/>
            <w:gridSpan w:val="17"/>
            <w:vMerge w:val="restart"/>
          </w:tcPr>
          <w:p>
            <w:pPr>
              <w:ind w:left="1840"/>
              <w:spacing w:after="0"/>
              <w:rPr>
                <w:sz w:val="20"/>
                <w:szCs w:val="20"/>
                <w:color w:val="auto"/>
              </w:rPr>
            </w:pPr>
            <w:r>
              <w:rPr>
                <w:rFonts w:ascii="Arial" w:cs="Arial" w:eastAsia="Arial" w:hAnsi="Arial"/>
                <w:sz w:val="14"/>
                <w:szCs w:val="14"/>
                <w:b w:val="1"/>
                <w:bCs w:val="1"/>
                <w:color w:val="auto"/>
              </w:rPr>
              <w:t>Exhibit Description</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Form</w:t>
            </w:r>
          </w:p>
        </w:tc>
        <w:tc>
          <w:tcPr>
            <w:tcW w:w="12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Period Ending</w:t>
            </w:r>
          </w:p>
        </w:tc>
        <w:tc>
          <w:tcPr>
            <w:tcW w:w="940" w:type="dxa"/>
            <w:vAlign w:val="bottom"/>
            <w:vMerge w:val="restart"/>
          </w:tcPr>
          <w:p>
            <w:pPr>
              <w:jc w:val="right"/>
              <w:ind w:right="236"/>
              <w:spacing w:after="0"/>
              <w:rPr>
                <w:sz w:val="20"/>
                <w:szCs w:val="20"/>
                <w:color w:val="auto"/>
              </w:rPr>
            </w:pPr>
            <w:r>
              <w:rPr>
                <w:rFonts w:ascii="Arial" w:cs="Arial" w:eastAsia="Arial" w:hAnsi="Arial"/>
                <w:sz w:val="14"/>
                <w:szCs w:val="14"/>
                <w:b w:val="1"/>
                <w:bCs w:val="1"/>
                <w:color w:val="auto"/>
              </w:rPr>
              <w:t>Exhibit</w:t>
            </w:r>
          </w:p>
        </w:tc>
        <w:tc>
          <w:tcPr>
            <w:tcW w:w="2000" w:type="dxa"/>
            <w:vAlign w:val="bottom"/>
            <w:vMerge w:val="restart"/>
          </w:tcPr>
          <w:p>
            <w:pPr>
              <w:jc w:val="right"/>
              <w:ind w:right="1094"/>
              <w:spacing w:after="0"/>
              <w:rPr>
                <w:sz w:val="20"/>
                <w:szCs w:val="20"/>
                <w:color w:val="auto"/>
              </w:rPr>
            </w:pPr>
            <w:r>
              <w:rPr>
                <w:rFonts w:ascii="Arial" w:cs="Arial" w:eastAsia="Arial" w:hAnsi="Arial"/>
                <w:sz w:val="14"/>
                <w:szCs w:val="14"/>
                <w:b w:val="1"/>
                <w:bCs w:val="1"/>
                <w:color w:val="auto"/>
              </w:rPr>
              <w:t>Filing Date</w:t>
            </w:r>
          </w:p>
        </w:tc>
        <w:tc>
          <w:tcPr>
            <w:tcW w:w="0" w:type="dxa"/>
            <w:vAlign w:val="bottom"/>
          </w:tcPr>
          <w:p>
            <w:pPr>
              <w:spacing w:after="0"/>
              <w:rPr>
                <w:sz w:val="1"/>
                <w:szCs w:val="1"/>
                <w:color w:val="auto"/>
              </w:rPr>
            </w:pPr>
          </w:p>
        </w:tc>
      </w:tr>
      <w:tr>
        <w:trPr>
          <w:trHeight w:val="192"/>
        </w:trPr>
        <w:tc>
          <w:tcPr>
            <w:tcW w:w="8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Number</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gridSpan w:val="17"/>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40" w:type="dxa"/>
            <w:vAlign w:val="bottom"/>
          </w:tcPr>
          <w:p>
            <w:pPr>
              <w:ind w:left="40"/>
              <w:spacing w:after="0" w:line="202" w:lineRule="exact"/>
              <w:rPr>
                <w:sz w:val="20"/>
                <w:szCs w:val="20"/>
                <w:color w:val="auto"/>
              </w:rPr>
            </w:pPr>
            <w:r>
              <w:rPr>
                <w:rFonts w:ascii="Arial" w:cs="Arial" w:eastAsia="Arial" w:hAnsi="Arial"/>
                <w:sz w:val="18"/>
                <w:szCs w:val="18"/>
                <w:color w:val="auto"/>
              </w:rPr>
              <w:t>4.1</w:t>
            </w:r>
          </w:p>
        </w:tc>
        <w:tc>
          <w:tcPr>
            <w:tcW w:w="360" w:type="dxa"/>
            <w:vAlign w:val="bottom"/>
          </w:tcPr>
          <w:p>
            <w:pPr>
              <w:spacing w:after="0"/>
              <w:rPr>
                <w:sz w:val="17"/>
                <w:szCs w:val="17"/>
                <w:color w:val="auto"/>
              </w:rPr>
            </w:pPr>
          </w:p>
        </w:tc>
        <w:tc>
          <w:tcPr>
            <w:tcW w:w="5060" w:type="dxa"/>
            <w:vAlign w:val="bottom"/>
            <w:tcBorders>
              <w:bottom w:val="single" w:sz="8" w:color="0000FF"/>
            </w:tcBorders>
            <w:gridSpan w:val="16"/>
          </w:tcPr>
          <w:p>
            <w:pPr>
              <w:spacing w:after="0" w:line="202"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Indenture, dated March 15, 2019, by and between Amkor Technology,</w:t>
              </w:r>
            </w:hyperlink>
          </w:p>
        </w:tc>
        <w:tc>
          <w:tcPr>
            <w:tcW w:w="160" w:type="dxa"/>
            <w:vAlign w:val="bottom"/>
            <w:gridSpan w:val="2"/>
          </w:tcPr>
          <w:p>
            <w:pPr>
              <w:spacing w:after="0"/>
              <w:rPr>
                <w:sz w:val="17"/>
                <w:szCs w:val="17"/>
                <w:color w:val="auto"/>
              </w:rPr>
            </w:pPr>
          </w:p>
        </w:tc>
        <w:tc>
          <w:tcPr>
            <w:tcW w:w="820" w:type="dxa"/>
            <w:vAlign w:val="bottom"/>
          </w:tcPr>
          <w:p>
            <w:pPr>
              <w:ind w:left="160"/>
              <w:spacing w:after="0" w:line="202" w:lineRule="exact"/>
              <w:rPr>
                <w:sz w:val="20"/>
                <w:szCs w:val="20"/>
                <w:color w:val="auto"/>
              </w:rPr>
            </w:pPr>
            <w:r>
              <w:rPr>
                <w:rFonts w:ascii="Arial" w:cs="Arial" w:eastAsia="Arial" w:hAnsi="Arial"/>
                <w:sz w:val="18"/>
                <w:szCs w:val="18"/>
                <w:color w:val="auto"/>
              </w:rPr>
              <w:t>8-K</w:t>
            </w:r>
          </w:p>
        </w:tc>
        <w:tc>
          <w:tcPr>
            <w:tcW w:w="1240" w:type="dxa"/>
            <w:vAlign w:val="bottom"/>
          </w:tcPr>
          <w:p>
            <w:pPr>
              <w:spacing w:after="0"/>
              <w:rPr>
                <w:sz w:val="17"/>
                <w:szCs w:val="17"/>
                <w:color w:val="auto"/>
              </w:rPr>
            </w:pPr>
          </w:p>
        </w:tc>
        <w:tc>
          <w:tcPr>
            <w:tcW w:w="94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4.1</w:t>
            </w:r>
          </w:p>
        </w:tc>
        <w:tc>
          <w:tcPr>
            <w:tcW w:w="2000" w:type="dxa"/>
            <w:vAlign w:val="bottom"/>
          </w:tcPr>
          <w:p>
            <w:pPr>
              <w:jc w:val="right"/>
              <w:ind w:right="954"/>
              <w:spacing w:after="0" w:line="202" w:lineRule="exact"/>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760" w:type="dxa"/>
            <w:vAlign w:val="bottom"/>
            <w:tcBorders>
              <w:bottom w:val="single" w:sz="8" w:color="0000FF"/>
            </w:tcBorders>
            <w:gridSpan w:val="9"/>
          </w:tcPr>
          <w:p>
            <w:pPr>
              <w:spacing w:after="0" w:line="196" w:lineRule="exact"/>
              <w:rPr>
                <w:rFonts w:ascii="Arial" w:cs="Arial" w:eastAsia="Arial" w:hAnsi="Arial"/>
                <w:sz w:val="18"/>
                <w:szCs w:val="18"/>
                <w:color w:val="0000FF"/>
                <w:w w:val="90"/>
              </w:rPr>
            </w:pPr>
            <w:hyperlink r:id="rId20">
              <w:r>
                <w:rPr>
                  <w:rFonts w:ascii="Arial" w:cs="Arial" w:eastAsia="Arial" w:hAnsi="Arial"/>
                  <w:sz w:val="18"/>
                  <w:szCs w:val="18"/>
                  <w:color w:val="0000FF"/>
                  <w:w w:val="90"/>
                </w:rPr>
                <w:t>Inc. and U.S. Bank National Association, as trustee, regarding the</w:t>
              </w:r>
            </w:hyperlink>
          </w:p>
        </w:tc>
        <w:tc>
          <w:tcPr>
            <w:tcW w:w="46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6.</w:t>
              </w:r>
              <w:r>
                <w:rPr>
                  <w:rFonts w:ascii="Arial" w:cs="Arial" w:eastAsia="Arial" w:hAnsi="Arial"/>
                  <w:sz w:val="18"/>
                  <w:szCs w:val="18"/>
                  <w:u w:val="single" w:color="auto"/>
                  <w:color w:val="0000FF"/>
                </w:rPr>
                <w:t>625%</w:t>
              </w:r>
              <w:r>
                <w:rPr>
                  <w:rFonts w:ascii="Arial" w:cs="Arial" w:eastAsia="Arial" w:hAnsi="Arial"/>
                  <w:sz w:val="18"/>
                  <w:szCs w:val="18"/>
                  <w:color w:val="0000FF"/>
                </w:rPr>
                <w:t xml:space="preserve"> Senior Notes due 2027.</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1"/>
                <w:szCs w:val="21"/>
                <w:color w:val="auto"/>
              </w:rPr>
            </w:pPr>
          </w:p>
        </w:tc>
        <w:tc>
          <w:tcPr>
            <w:tcW w:w="5040" w:type="dxa"/>
            <w:vAlign w:val="bottom"/>
            <w:tcBorders>
              <w:bottom w:val="single" w:sz="8" w:color="0000FF"/>
            </w:tcBorders>
            <w:gridSpan w:val="15"/>
          </w:tcPr>
          <w:p>
            <w:pPr>
              <w:spacing w:after="0"/>
              <w:rPr>
                <w:rFonts w:ascii="Arial" w:cs="Arial" w:eastAsia="Arial" w:hAnsi="Arial"/>
                <w:sz w:val="18"/>
                <w:szCs w:val="18"/>
                <w:color w:val="0000FF"/>
                <w:w w:val="91"/>
              </w:rPr>
            </w:pPr>
            <w:hyperlink r:id="rId20">
              <w:r>
                <w:rPr>
                  <w:rFonts w:ascii="Arial" w:cs="Arial" w:eastAsia="Arial" w:hAnsi="Arial"/>
                  <w:sz w:val="18"/>
                  <w:szCs w:val="18"/>
                  <w:color w:val="0000FF"/>
                  <w:w w:val="91"/>
                </w:rPr>
                <w:t>Form of Note for Amkor Technology, Inc.’s 6.625% Senior Notes due</w:t>
              </w:r>
            </w:hyperlink>
          </w:p>
        </w:tc>
        <w:tc>
          <w:tcPr>
            <w:tcW w:w="180" w:type="dxa"/>
            <w:vAlign w:val="bottom"/>
            <w:gridSpan w:val="3"/>
          </w:tcPr>
          <w:p>
            <w:pPr>
              <w:spacing w:after="0"/>
              <w:rPr>
                <w:sz w:val="21"/>
                <w:szCs w:val="21"/>
                <w:color w:val="auto"/>
              </w:rPr>
            </w:pPr>
          </w:p>
        </w:tc>
        <w:tc>
          <w:tcPr>
            <w:tcW w:w="820" w:type="dxa"/>
            <w:vAlign w:val="bottom"/>
          </w:tcPr>
          <w:p>
            <w:pPr>
              <w:ind w:left="160"/>
              <w:spacing w:after="0"/>
              <w:rPr>
                <w:sz w:val="20"/>
                <w:szCs w:val="20"/>
                <w:color w:val="auto"/>
              </w:rPr>
            </w:pPr>
            <w:r>
              <w:rPr>
                <w:rFonts w:ascii="Arial" w:cs="Arial" w:eastAsia="Arial" w:hAnsi="Arial"/>
                <w:sz w:val="18"/>
                <w:szCs w:val="18"/>
                <w:color w:val="auto"/>
              </w:rPr>
              <w:t>8-K</w:t>
            </w:r>
          </w:p>
        </w:tc>
        <w:tc>
          <w:tcPr>
            <w:tcW w:w="1240" w:type="dxa"/>
            <w:vAlign w:val="bottom"/>
          </w:tcPr>
          <w:p>
            <w:pPr>
              <w:spacing w:after="0"/>
              <w:rPr>
                <w:sz w:val="21"/>
                <w:szCs w:val="21"/>
                <w:color w:val="auto"/>
              </w:rPr>
            </w:pPr>
          </w:p>
        </w:tc>
        <w:tc>
          <w:tcPr>
            <w:tcW w:w="940" w:type="dxa"/>
            <w:vAlign w:val="bottom"/>
          </w:tcPr>
          <w:p>
            <w:pPr>
              <w:jc w:val="right"/>
              <w:ind w:right="176"/>
              <w:spacing w:after="0"/>
              <w:rPr>
                <w:sz w:val="20"/>
                <w:szCs w:val="20"/>
                <w:color w:val="auto"/>
              </w:rPr>
            </w:pPr>
            <w:r>
              <w:rPr>
                <w:rFonts w:ascii="Arial" w:cs="Arial" w:eastAsia="Arial" w:hAnsi="Arial"/>
                <w:sz w:val="18"/>
                <w:szCs w:val="18"/>
                <w:color w:val="auto"/>
              </w:rPr>
              <w:t>4.2</w:t>
            </w:r>
          </w:p>
        </w:tc>
        <w:tc>
          <w:tcPr>
            <w:tcW w:w="2000" w:type="dxa"/>
            <w:vAlign w:val="bottom"/>
          </w:tcPr>
          <w:p>
            <w:pPr>
              <w:jc w:val="right"/>
              <w:ind w:right="954"/>
              <w:spacing w:after="0"/>
              <w:rPr>
                <w:sz w:val="20"/>
                <w:szCs w:val="20"/>
                <w:color w:val="auto"/>
              </w:rPr>
            </w:pPr>
            <w:r>
              <w:rPr>
                <w:rFonts w:ascii="Arial" w:cs="Arial" w:eastAsia="Arial" w:hAnsi="Arial"/>
                <w:sz w:val="18"/>
                <w:szCs w:val="18"/>
                <w:color w:val="auto"/>
              </w:rPr>
              <w:t>3/15/19</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960" w:type="dxa"/>
            <w:vAlign w:val="bottom"/>
            <w:tcBorders>
              <w:bottom w:val="single" w:sz="8" w:color="0000FF"/>
            </w:tcBorders>
            <w:gridSpan w:val="6"/>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2027 (incorporated by reference to Exhibit 4.1 hereof).</w:t>
              </w:r>
            </w:hyperlink>
          </w:p>
        </w:tc>
        <w:tc>
          <w:tcPr>
            <w:tcW w:w="1260" w:type="dxa"/>
            <w:vAlign w:val="bottom"/>
            <w:gridSpan w:val="12"/>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31.1</w:t>
            </w:r>
          </w:p>
        </w:tc>
        <w:tc>
          <w:tcPr>
            <w:tcW w:w="360" w:type="dxa"/>
            <w:vAlign w:val="bottom"/>
          </w:tcPr>
          <w:p>
            <w:pPr>
              <w:spacing w:after="0"/>
              <w:rPr>
                <w:sz w:val="21"/>
                <w:szCs w:val="21"/>
                <w:color w:val="auto"/>
              </w:rPr>
            </w:pPr>
          </w:p>
        </w:tc>
        <w:tc>
          <w:tcPr>
            <w:tcW w:w="474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Stephen D. Kelley, President and Chief Executive</w:t>
              </w:r>
            </w:hyperlink>
          </w:p>
        </w:tc>
        <w:tc>
          <w:tcPr>
            <w:tcW w:w="480" w:type="dxa"/>
            <w:vAlign w:val="bottom"/>
            <w:gridSpan w:val="10"/>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w w:val="95"/>
              </w:rPr>
            </w:pPr>
            <w:hyperlink w:anchor="page47">
              <w:r>
                <w:rPr>
                  <w:rFonts w:ascii="Arial" w:cs="Arial" w:eastAsia="Arial" w:hAnsi="Arial"/>
                  <w:sz w:val="18"/>
                  <w:szCs w:val="18"/>
                  <w:color w:val="0000FF"/>
                  <w:w w:val="95"/>
                </w:rPr>
                <w:t>Officer of Amkor Technology, Inc., pursuant to Rule 13a-14(a) under</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980" w:type="dxa"/>
            <w:vAlign w:val="bottom"/>
            <w:tcBorders>
              <w:top w:val="single" w:sz="8" w:color="0000FF"/>
            </w:tcBorders>
            <w:gridSpan w:val="13"/>
          </w:tcPr>
          <w:p>
            <w:pPr>
              <w:spacing w:after="0" w:line="19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the Securities Exchange Act of 1934, as adopted pursuant to Section</w:t>
              </w:r>
            </w:hyperlink>
          </w:p>
        </w:tc>
        <w:tc>
          <w:tcPr>
            <w:tcW w:w="240" w:type="dxa"/>
            <w:vAlign w:val="bottom"/>
            <w:gridSpan w:val="5"/>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47">
              <w:r>
                <w:rPr>
                  <w:rFonts w:ascii="Arial" w:cs="Arial" w:eastAsia="Arial" w:hAnsi="Arial"/>
                  <w:sz w:val="18"/>
                  <w:szCs w:val="18"/>
                  <w:color w:val="0000FF"/>
                  <w:w w:val="90"/>
                </w:rPr>
                <w:t>302 of the Sarbanes-Oxley Act of 2002.</w:t>
              </w:r>
            </w:hyperlink>
          </w:p>
        </w:tc>
        <w:tc>
          <w:tcPr>
            <w:tcW w:w="2040" w:type="dxa"/>
            <w:vAlign w:val="bottom"/>
            <w:tcBorders>
              <w:top w:val="single" w:sz="8" w:color="0000FF"/>
            </w:tcBorders>
            <w:gridSpan w:val="8"/>
          </w:tcPr>
          <w:p>
            <w:pPr>
              <w:spacing w:after="0"/>
              <w:rPr>
                <w:sz w:val="17"/>
                <w:szCs w:val="17"/>
                <w:color w:val="auto"/>
              </w:rPr>
            </w:pPr>
          </w:p>
        </w:tc>
        <w:tc>
          <w:tcPr>
            <w:tcW w:w="30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31.2</w:t>
            </w:r>
          </w:p>
        </w:tc>
        <w:tc>
          <w:tcPr>
            <w:tcW w:w="360" w:type="dxa"/>
            <w:vAlign w:val="bottom"/>
          </w:tcPr>
          <w:p>
            <w:pPr>
              <w:spacing w:after="0"/>
              <w:rPr>
                <w:sz w:val="21"/>
                <w:szCs w:val="21"/>
                <w:color w:val="auto"/>
              </w:rPr>
            </w:pPr>
          </w:p>
        </w:tc>
        <w:tc>
          <w:tcPr>
            <w:tcW w:w="5220" w:type="dxa"/>
            <w:vAlign w:val="bottom"/>
            <w:gridSpan w:val="18"/>
          </w:tcPr>
          <w:p>
            <w:pPr>
              <w:spacing w:after="0"/>
              <w:rPr>
                <w:rFonts w:ascii="Arial" w:cs="Arial" w:eastAsia="Arial" w:hAnsi="Arial"/>
                <w:sz w:val="18"/>
                <w:szCs w:val="18"/>
                <w:color w:val="0000FF"/>
              </w:rPr>
            </w:pPr>
            <w:hyperlink w:anchor="page48">
              <w:r>
                <w:rPr>
                  <w:rFonts w:ascii="Arial" w:cs="Arial" w:eastAsia="Arial" w:hAnsi="Arial"/>
                  <w:sz w:val="18"/>
                  <w:szCs w:val="18"/>
                  <w:color w:val="0000FF"/>
                </w:rPr>
                <w:t>Certification of Megan Faust, Corporate Vice President and Chief</w:t>
              </w:r>
            </w:hyperlink>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w w:val="98"/>
              </w:rPr>
            </w:pPr>
            <w:hyperlink w:anchor="page48">
              <w:r>
                <w:rPr>
                  <w:rFonts w:ascii="Arial" w:cs="Arial" w:eastAsia="Arial" w:hAnsi="Arial"/>
                  <w:sz w:val="18"/>
                  <w:szCs w:val="18"/>
                  <w:color w:val="0000FF"/>
                  <w:w w:val="98"/>
                </w:rPr>
                <w:t>Financial Officer of Amkor Technology, Inc., pursuant to Rule 13a-</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2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220" w:type="dxa"/>
            <w:vAlign w:val="bottom"/>
            <w:gridSpan w:val="18"/>
          </w:tcPr>
          <w:p>
            <w:pPr>
              <w:spacing w:after="0" w:line="196" w:lineRule="exact"/>
              <w:rPr>
                <w:rFonts w:ascii="Arial" w:cs="Arial" w:eastAsia="Arial" w:hAnsi="Arial"/>
                <w:sz w:val="18"/>
                <w:szCs w:val="18"/>
                <w:color w:val="0000FF"/>
                <w:w w:val="92"/>
              </w:rPr>
            </w:pPr>
            <w:hyperlink w:anchor="page48">
              <w:r>
                <w:rPr>
                  <w:rFonts w:ascii="Arial" w:cs="Arial" w:eastAsia="Arial" w:hAnsi="Arial"/>
                  <w:sz w:val="18"/>
                  <w:szCs w:val="18"/>
                  <w:color w:val="0000FF"/>
                  <w:w w:val="92"/>
                </w:rPr>
                <w:t>14(a) under the Securities Exchange Act of 1934, as adopted pursuant</w:t>
              </w:r>
            </w:hyperlink>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20" w:type="dxa"/>
            <w:vAlign w:val="bottom"/>
            <w:tcBorders>
              <w:top w:val="single" w:sz="8" w:color="0000FF"/>
            </w:tcBorders>
            <w:gridSpan w:val="14"/>
          </w:tcPr>
          <w:p>
            <w:pPr>
              <w:spacing w:after="0" w:line="196" w:lineRule="exact"/>
              <w:rPr>
                <w:rFonts w:ascii="Arial" w:cs="Arial" w:eastAsia="Arial" w:hAnsi="Arial"/>
                <w:sz w:val="18"/>
                <w:szCs w:val="18"/>
                <w:color w:val="0000FF"/>
              </w:rPr>
            </w:pPr>
            <w:hyperlink w:anchor="page48">
              <w:r>
                <w:rPr>
                  <w:rFonts w:ascii="Arial" w:cs="Arial" w:eastAsia="Arial" w:hAnsi="Arial"/>
                  <w:sz w:val="18"/>
                  <w:szCs w:val="18"/>
                  <w:color w:val="0000FF"/>
                </w:rPr>
                <w:t>to Section 302 of the Sarbanes-Oxley Act of 2002.</w:t>
              </w:r>
            </w:hyperlink>
          </w:p>
        </w:tc>
        <w:tc>
          <w:tcPr>
            <w:tcW w:w="2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0" w:type="dxa"/>
            <w:vAlign w:val="bottom"/>
          </w:tcPr>
          <w:p>
            <w:pPr>
              <w:ind w:left="40"/>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1"/>
                <w:szCs w:val="21"/>
                <w:color w:val="auto"/>
              </w:rPr>
            </w:pPr>
          </w:p>
        </w:tc>
        <w:tc>
          <w:tcPr>
            <w:tcW w:w="4900" w:type="dxa"/>
            <w:vAlign w:val="bottom"/>
            <w:tcBorders>
              <w:bottom w:val="single" w:sz="8" w:color="0000FF"/>
            </w:tcBorders>
            <w:gridSpan w:val="11"/>
          </w:tcPr>
          <w:p>
            <w:pPr>
              <w:spacing w:after="0"/>
              <w:rPr>
                <w:rFonts w:ascii="Arial" w:cs="Arial" w:eastAsia="Arial" w:hAnsi="Arial"/>
                <w:sz w:val="18"/>
                <w:szCs w:val="18"/>
                <w:color w:val="0000FF"/>
                <w:w w:val="93"/>
              </w:rPr>
            </w:pPr>
            <w:hyperlink w:anchor="page49">
              <w:r>
                <w:rPr>
                  <w:rFonts w:ascii="Arial" w:cs="Arial" w:eastAsia="Arial" w:hAnsi="Arial"/>
                  <w:sz w:val="18"/>
                  <w:szCs w:val="18"/>
                  <w:color w:val="0000FF"/>
                  <w:w w:val="93"/>
                </w:rPr>
                <w:t>Certification of Chief Executive Officer and Chief Financial Officer</w:t>
              </w:r>
            </w:hyperlink>
          </w:p>
        </w:tc>
        <w:tc>
          <w:tcPr>
            <w:tcW w:w="320" w:type="dxa"/>
            <w:vAlign w:val="bottom"/>
            <w:gridSpan w:val="7"/>
          </w:tcPr>
          <w:p>
            <w:pPr>
              <w:spacing w:after="0"/>
              <w:rPr>
                <w:sz w:val="21"/>
                <w:szCs w:val="21"/>
                <w:color w:val="auto"/>
              </w:rPr>
            </w:pPr>
          </w:p>
        </w:tc>
        <w:tc>
          <w:tcPr>
            <w:tcW w:w="8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16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w:anchor="page49">
              <w:r>
                <w:rPr>
                  <w:rFonts w:ascii="Arial" w:cs="Arial" w:eastAsia="Arial" w:hAnsi="Arial"/>
                  <w:sz w:val="18"/>
                  <w:szCs w:val="18"/>
                  <w:color w:val="0000FF"/>
                  <w:w w:val="89"/>
                </w:rPr>
                <w:t>pursuant to 18 U.S.C. Section 1350, as adopted pursuant to Section 906</w:t>
              </w:r>
            </w:hyperlink>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5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49">
              <w:r>
                <w:rPr>
                  <w:rFonts w:ascii="Arial" w:cs="Arial" w:eastAsia="Arial" w:hAnsi="Arial"/>
                  <w:sz w:val="18"/>
                  <w:szCs w:val="18"/>
                  <w:color w:val="0000FF"/>
                  <w:w w:val="90"/>
                </w:rPr>
                <w:t>of the Sarbanes-Oxley Act of 2002.</w:t>
              </w:r>
            </w:hyperlink>
          </w:p>
        </w:tc>
        <w:tc>
          <w:tcPr>
            <w:tcW w:w="2660" w:type="dxa"/>
            <w:vAlign w:val="bottom"/>
            <w:gridSpan w:val="15"/>
          </w:tcPr>
          <w:p>
            <w:pPr>
              <w:spacing w:after="0"/>
              <w:rPr>
                <w:sz w:val="17"/>
                <w:szCs w:val="17"/>
                <w:color w:val="auto"/>
              </w:rPr>
            </w:pPr>
          </w:p>
        </w:tc>
        <w:tc>
          <w:tcPr>
            <w:tcW w:w="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840" w:type="dxa"/>
            <w:vAlign w:val="bottom"/>
          </w:tcPr>
          <w:p>
            <w:pPr>
              <w:ind w:left="40"/>
              <w:spacing w:after="0"/>
              <w:rPr>
                <w:sz w:val="20"/>
                <w:szCs w:val="20"/>
                <w:color w:val="auto"/>
              </w:rPr>
            </w:pPr>
            <w:r>
              <w:rPr>
                <w:rFonts w:ascii="Arial" w:cs="Arial" w:eastAsia="Arial" w:hAnsi="Arial"/>
                <w:sz w:val="18"/>
                <w:szCs w:val="18"/>
                <w:color w:val="auto"/>
              </w:rPr>
              <w:t>101.INS</w:t>
            </w:r>
          </w:p>
        </w:tc>
        <w:tc>
          <w:tcPr>
            <w:tcW w:w="360" w:type="dxa"/>
            <w:vAlign w:val="bottom"/>
          </w:tcPr>
          <w:p>
            <w:pPr>
              <w:spacing w:after="0"/>
              <w:rPr>
                <w:sz w:val="24"/>
                <w:szCs w:val="24"/>
                <w:color w:val="auto"/>
              </w:rPr>
            </w:pPr>
          </w:p>
        </w:tc>
        <w:tc>
          <w:tcPr>
            <w:tcW w:w="5220" w:type="dxa"/>
            <w:vAlign w:val="bottom"/>
            <w:gridSpan w:val="18"/>
          </w:tcPr>
          <w:p>
            <w:pPr>
              <w:spacing w:after="0"/>
              <w:rPr>
                <w:sz w:val="20"/>
                <w:szCs w:val="20"/>
                <w:color w:val="auto"/>
              </w:rPr>
            </w:pPr>
            <w:r>
              <w:rPr>
                <w:rFonts w:ascii="Arial" w:cs="Arial" w:eastAsia="Arial" w:hAnsi="Arial"/>
                <w:sz w:val="18"/>
                <w:szCs w:val="18"/>
                <w:color w:val="auto"/>
              </w:rPr>
              <w:t>XBRL Instance Document</w:t>
            </w: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101.SCH</w:t>
            </w:r>
          </w:p>
        </w:tc>
        <w:tc>
          <w:tcPr>
            <w:tcW w:w="360" w:type="dxa"/>
            <w:vAlign w:val="bottom"/>
          </w:tcPr>
          <w:p>
            <w:pPr>
              <w:spacing w:after="0"/>
              <w:rPr>
                <w:sz w:val="23"/>
                <w:szCs w:val="23"/>
                <w:color w:val="auto"/>
              </w:rPr>
            </w:pPr>
          </w:p>
        </w:tc>
        <w:tc>
          <w:tcPr>
            <w:tcW w:w="5220" w:type="dxa"/>
            <w:vAlign w:val="bottom"/>
            <w:gridSpan w:val="18"/>
          </w:tcPr>
          <w:p>
            <w:pPr>
              <w:spacing w:after="0"/>
              <w:rPr>
                <w:sz w:val="20"/>
                <w:szCs w:val="20"/>
                <w:color w:val="auto"/>
              </w:rPr>
            </w:pPr>
            <w:r>
              <w:rPr>
                <w:rFonts w:ascii="Arial" w:cs="Arial" w:eastAsia="Arial" w:hAnsi="Arial"/>
                <w:sz w:val="18"/>
                <w:szCs w:val="18"/>
                <w:color w:val="auto"/>
              </w:rPr>
              <w:t>XBRL Taxonomy Extension Schema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101.CAL</w:t>
            </w:r>
          </w:p>
        </w:tc>
        <w:tc>
          <w:tcPr>
            <w:tcW w:w="360" w:type="dxa"/>
            <w:vAlign w:val="bottom"/>
          </w:tcPr>
          <w:p>
            <w:pPr>
              <w:spacing w:after="0"/>
              <w:rPr>
                <w:sz w:val="23"/>
                <w:szCs w:val="23"/>
                <w:color w:val="auto"/>
              </w:rPr>
            </w:pPr>
          </w:p>
        </w:tc>
        <w:tc>
          <w:tcPr>
            <w:tcW w:w="5220" w:type="dxa"/>
            <w:vAlign w:val="bottom"/>
            <w:gridSpan w:val="1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101.LAB</w:t>
            </w:r>
          </w:p>
        </w:tc>
        <w:tc>
          <w:tcPr>
            <w:tcW w:w="360" w:type="dxa"/>
            <w:vAlign w:val="bottom"/>
          </w:tcPr>
          <w:p>
            <w:pPr>
              <w:spacing w:after="0"/>
              <w:rPr>
                <w:sz w:val="23"/>
                <w:szCs w:val="23"/>
                <w:color w:val="auto"/>
              </w:rPr>
            </w:pPr>
          </w:p>
        </w:tc>
        <w:tc>
          <w:tcPr>
            <w:tcW w:w="5220" w:type="dxa"/>
            <w:vAlign w:val="bottom"/>
            <w:gridSpan w:val="18"/>
          </w:tcPr>
          <w:p>
            <w:pPr>
              <w:spacing w:after="0"/>
              <w:rPr>
                <w:sz w:val="20"/>
                <w:szCs w:val="20"/>
                <w:color w:val="auto"/>
              </w:rPr>
            </w:pPr>
            <w:r>
              <w:rPr>
                <w:rFonts w:ascii="Arial" w:cs="Arial" w:eastAsia="Arial" w:hAnsi="Arial"/>
                <w:sz w:val="18"/>
                <w:szCs w:val="18"/>
                <w:color w:val="auto"/>
              </w:rPr>
              <w:t>XBRL Taxonomy Extension Label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101.PRE</w:t>
            </w:r>
          </w:p>
        </w:tc>
        <w:tc>
          <w:tcPr>
            <w:tcW w:w="360" w:type="dxa"/>
            <w:vAlign w:val="bottom"/>
          </w:tcPr>
          <w:p>
            <w:pPr>
              <w:spacing w:after="0"/>
              <w:rPr>
                <w:sz w:val="23"/>
                <w:szCs w:val="23"/>
                <w:color w:val="auto"/>
              </w:rPr>
            </w:pPr>
          </w:p>
        </w:tc>
        <w:tc>
          <w:tcPr>
            <w:tcW w:w="5220" w:type="dxa"/>
            <w:vAlign w:val="bottom"/>
            <w:gridSpan w:val="1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0"/>
        </w:trPr>
        <w:tc>
          <w:tcPr>
            <w:tcW w:w="840" w:type="dxa"/>
            <w:vAlign w:val="bottom"/>
          </w:tcPr>
          <w:p>
            <w:pPr>
              <w:ind w:left="40"/>
              <w:spacing w:after="0"/>
              <w:rPr>
                <w:sz w:val="20"/>
                <w:szCs w:val="20"/>
                <w:color w:val="auto"/>
              </w:rPr>
            </w:pPr>
            <w:r>
              <w:rPr>
                <w:rFonts w:ascii="Arial" w:cs="Arial" w:eastAsia="Arial" w:hAnsi="Arial"/>
                <w:sz w:val="18"/>
                <w:szCs w:val="18"/>
                <w:color w:val="auto"/>
              </w:rPr>
              <w:t>101.DEF</w:t>
            </w:r>
          </w:p>
        </w:tc>
        <w:tc>
          <w:tcPr>
            <w:tcW w:w="360" w:type="dxa"/>
            <w:vAlign w:val="bottom"/>
          </w:tcPr>
          <w:p>
            <w:pPr>
              <w:spacing w:after="0"/>
              <w:rPr>
                <w:sz w:val="23"/>
                <w:szCs w:val="23"/>
                <w:color w:val="auto"/>
              </w:rPr>
            </w:pPr>
          </w:p>
        </w:tc>
        <w:tc>
          <w:tcPr>
            <w:tcW w:w="5220" w:type="dxa"/>
            <w:vAlign w:val="bottom"/>
            <w:gridSpan w:val="1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8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000" w:type="dxa"/>
            <w:vAlign w:val="bottom"/>
          </w:tcPr>
          <w:p>
            <w:pPr>
              <w:jc w:val="center"/>
              <w:ind w:left="1014"/>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918"/>
        </w:trPr>
        <w:tc>
          <w:tcPr>
            <w:tcW w:w="840" w:type="dxa"/>
            <w:vAlign w:val="bottom"/>
          </w:tcPr>
          <w:p>
            <w:pPr>
              <w:spacing w:after="0"/>
              <w:rPr>
                <w:sz w:val="24"/>
                <w:szCs w:val="24"/>
                <w:color w:val="auto"/>
              </w:rPr>
            </w:pPr>
          </w:p>
        </w:tc>
        <w:tc>
          <w:tcPr>
            <w:tcW w:w="5080" w:type="dxa"/>
            <w:vAlign w:val="bottom"/>
            <w:gridSpan w:val="8"/>
          </w:tcPr>
          <w:p>
            <w:pPr>
              <w:jc w:val="right"/>
              <w:ind w:right="40"/>
              <w:spacing w:after="0"/>
              <w:rPr>
                <w:sz w:val="20"/>
                <w:szCs w:val="20"/>
                <w:color w:val="auto"/>
              </w:rPr>
            </w:pPr>
            <w:r>
              <w:rPr>
                <w:rFonts w:ascii="Arial" w:cs="Arial" w:eastAsia="Arial" w:hAnsi="Arial"/>
                <w:sz w:val="18"/>
                <w:szCs w:val="18"/>
                <w:color w:val="auto"/>
              </w:rPr>
              <w:t>- 44-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AMKOR TECHNOLOGY, INC.</w:t>
      </w:r>
    </w:p>
    <w:p>
      <w:pPr>
        <w:spacing w:after="0" w:line="200" w:lineRule="exact"/>
        <w:rPr>
          <w:sz w:val="20"/>
          <w:szCs w:val="20"/>
          <w:color w:val="auto"/>
        </w:rPr>
      </w:pPr>
    </w:p>
    <w:p>
      <w:pPr>
        <w:spacing w:after="0" w:line="295" w:lineRule="exact"/>
        <w:rPr>
          <w:sz w:val="20"/>
          <w:szCs w:val="20"/>
          <w:color w:val="auto"/>
        </w:rPr>
      </w:pPr>
    </w:p>
    <w:p>
      <w:pPr>
        <w:ind w:left="5180"/>
        <w:spacing w:after="0"/>
        <w:tabs>
          <w:tab w:leader="none" w:pos="5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2019</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- 45-</w:t>
      </w:r>
    </w:p>
    <w:p>
      <w:pPr>
        <w:sectPr>
          <w:pgSz w:w="11900" w:h="16838" w:orient="portrait"/>
          <w:cols w:equalWidth="0" w:num="1">
            <w:col w:w="11400"/>
          </w:cols>
          <w:pgMar w:left="240" w:top="121"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Stephen D. Kelley,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p>
      <w:pPr>
        <w:sectPr>
          <w:pgSz w:w="11900" w:h="16838" w:orient="portrait"/>
          <w:cols w:equalWidth="0" w:num="1">
            <w:col w:w="11420"/>
          </w:cols>
          <w:pgMar w:left="240" w:top="66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Megan Faust, certify that:</w:t>
      </w:r>
    </w:p>
    <w:p>
      <w:pPr>
        <w:spacing w:after="0" w:line="17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Amkor Technology,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p>
      <w:pPr>
        <w:sectPr>
          <w:pgSz w:w="11900" w:h="16838" w:orient="portrait"/>
          <w:cols w:equalWidth="0" w:num="1">
            <w:col w:w="11420"/>
          </w:cols>
          <w:pgMar w:left="240" w:top="661"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March 31, 2019, as filed with the Securities and Exchange Commission on the date hereof (the “Report”), I, Stephen D. Kelley, President and Chief Executive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Stephen D.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Stephen D. Kelley</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President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Amkor Technology, Inc. (the “Company”) on Form 10-Q for the period ended March 31, 2019, as filed with the Securities and Exchange Commission on the date hereof (the “Report”), I, Megan Faust, Corporate Vice President and Chief Financial Officer of the Company, certify, pursuant to 18 U.S.C. Section 1350, as adopted pursuant to Section 906 of the Sarbanes-Oxley Act of 2002, that:</w:t>
      </w:r>
    </w:p>
    <w:p>
      <w:pPr>
        <w:spacing w:after="0" w:line="111" w:lineRule="exact"/>
        <w:rPr>
          <w:sz w:val="20"/>
          <w:szCs w:val="20"/>
          <w:color w:val="auto"/>
        </w:rPr>
      </w:pPr>
    </w:p>
    <w:p>
      <w:pPr>
        <w:ind w:left="920" w:hanging="264"/>
        <w:spacing w:after="0"/>
        <w:tabs>
          <w:tab w:leader="none" w:pos="9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920" w:hanging="264"/>
        <w:spacing w:after="0"/>
        <w:tabs>
          <w:tab w:leader="none" w:pos="9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31750</wp:posOffset>
            </wp:positionV>
            <wp:extent cx="35502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57"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Megan Faust</w:t>
      </w:r>
    </w:p>
    <w:p>
      <w:pPr>
        <w:spacing w:after="0" w:line="6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Corporate Vice President and</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May 2, 2019</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lvl w:ilvl="1">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lvl w:ilvl="1">
      <w:lvlJc w:val="left"/>
      <w:lvlText w:val="-"/>
      <w:numFmt w:val="bullet"/>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lvl w:ilvl="1">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lvl w:ilvl="1">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0" Type="http://schemas.openxmlformats.org/officeDocument/2006/relationships/hyperlink" Target="http://www.sec.gov/Archives/edgar/data/1047127/000119312519076193/d71223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2019-12-28T13:10:04Z</dcterms:created>
  <dcterms:modified xsi:type="dcterms:W3CDTF">2019-12-28T13:10:04Z</dcterms:modified>
</cp:coreProperties>
</file>