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4"/>
          <w:szCs w:val="24"/>
          <w:color w:val="auto"/>
        </w:rPr>
      </w:pPr>
    </w:p>
    <w:p>
      <w:pPr>
        <w:ind w:left="1920" w:right="2360" w:hanging="888"/>
        <w:spacing w:after="0" w:line="256" w:lineRule="auto"/>
        <w:tabs>
          <w:tab w:leader="none" w:pos="19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920" w:right="2340" w:hanging="888"/>
        <w:spacing w:after="0" w:line="256" w:lineRule="auto"/>
        <w:tabs>
          <w:tab w:leader="none" w:pos="19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9"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201"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524"/>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50"/>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spacing w:after="0"/>
              <w:rPr>
                <w:sz w:val="24"/>
                <w:szCs w:val="24"/>
                <w:color w:val="auto"/>
              </w:rPr>
            </w:pPr>
          </w:p>
        </w:tc>
        <w:tc>
          <w:tcPr>
            <w:tcW w:w="4440" w:type="dxa"/>
            <w:vAlign w:val="bottom"/>
          </w:tcPr>
          <w:p>
            <w:pPr>
              <w:jc w:val="center"/>
              <w:ind w:left="797"/>
              <w:spacing w:after="0"/>
              <w:rPr>
                <w:sz w:val="20"/>
                <w:szCs w:val="20"/>
                <w:color w:val="auto"/>
              </w:rPr>
            </w:pPr>
            <w:r>
              <w:rPr>
                <w:rFonts w:ascii="Arial" w:cs="Arial" w:eastAsia="Arial" w:hAnsi="Arial"/>
                <w:sz w:val="18"/>
                <w:szCs w:val="18"/>
                <w:b w:val="1"/>
                <w:bCs w:val="1"/>
                <w:color w:val="auto"/>
                <w:w w:val="91"/>
              </w:rPr>
              <w:t>23-1722724</w:t>
            </w:r>
          </w:p>
        </w:tc>
      </w:tr>
      <w:tr>
        <w:trPr>
          <w:trHeight w:val="184"/>
        </w:trPr>
        <w:tc>
          <w:tcPr>
            <w:tcW w:w="3520" w:type="dxa"/>
            <w:vAlign w:val="bottom"/>
          </w:tcPr>
          <w:p>
            <w:pPr>
              <w:jc w:val="center"/>
              <w:spacing w:after="0"/>
              <w:rPr>
                <w:sz w:val="20"/>
                <w:szCs w:val="20"/>
                <w:color w:val="auto"/>
              </w:rPr>
            </w:pPr>
            <w:r>
              <w:rPr>
                <w:rFonts w:ascii="Arial" w:cs="Arial" w:eastAsia="Arial" w:hAnsi="Arial"/>
                <w:sz w:val="14"/>
                <w:szCs w:val="14"/>
                <w:i w:val="1"/>
                <w:iCs w:val="1"/>
                <w:color w:val="auto"/>
                <w:w w:val="96"/>
              </w:rPr>
              <w:t>(State of incorporation)</w:t>
            </w:r>
          </w:p>
        </w:tc>
        <w:tc>
          <w:tcPr>
            <w:tcW w:w="3280" w:type="dxa"/>
            <w:vAlign w:val="bottom"/>
          </w:tcPr>
          <w:p>
            <w:pPr>
              <w:spacing w:after="0"/>
              <w:rPr>
                <w:sz w:val="15"/>
                <w:szCs w:val="15"/>
                <w:color w:val="auto"/>
              </w:rPr>
            </w:pPr>
          </w:p>
        </w:tc>
        <w:tc>
          <w:tcPr>
            <w:tcW w:w="4440" w:type="dxa"/>
            <w:vAlign w:val="bottom"/>
          </w:tcPr>
          <w:p>
            <w:pPr>
              <w:jc w:val="center"/>
              <w:ind w:left="797"/>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3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40" w:type="dxa"/>
            <w:vAlign w:val="bottom"/>
          </w:tcPr>
          <w:p>
            <w:pPr>
              <w:jc w:val="center"/>
              <w:ind w:left="797"/>
              <w:spacing w:after="0"/>
              <w:rPr>
                <w:sz w:val="20"/>
                <w:szCs w:val="20"/>
                <w:color w:val="auto"/>
              </w:rPr>
            </w:pPr>
            <w:r>
              <w:rPr>
                <w:rFonts w:ascii="Arial" w:cs="Arial" w:eastAsia="Arial" w:hAnsi="Arial"/>
                <w:sz w:val="14"/>
                <w:szCs w:val="14"/>
                <w:i w:val="1"/>
                <w:iCs w:val="1"/>
                <w:color w:val="auto"/>
                <w:w w:val="96"/>
              </w:rPr>
              <w:t>Identification Number)</w:t>
            </w:r>
          </w:p>
        </w:tc>
      </w:tr>
      <w:tr>
        <w:trPr>
          <w:trHeight w:val="304"/>
        </w:trPr>
        <w:tc>
          <w:tcPr>
            <w:tcW w:w="3520" w:type="dxa"/>
            <w:vAlign w:val="bottom"/>
          </w:tcPr>
          <w:p>
            <w:pPr>
              <w:spacing w:after="0"/>
              <w:rPr>
                <w:sz w:val="24"/>
                <w:szCs w:val="24"/>
                <w:color w:val="auto"/>
              </w:rPr>
            </w:pPr>
          </w:p>
        </w:tc>
        <w:tc>
          <w:tcPr>
            <w:tcW w:w="328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2045 East Innovation Circle</w:t>
            </w:r>
          </w:p>
        </w:tc>
        <w:tc>
          <w:tcPr>
            <w:tcW w:w="44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328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Tempe, AZ 85284</w:t>
            </w:r>
          </w:p>
        </w:tc>
        <w:tc>
          <w:tcPr>
            <w:tcW w:w="4440" w:type="dxa"/>
            <w:vAlign w:val="bottom"/>
          </w:tcPr>
          <w:p>
            <w:pPr>
              <w:spacing w:after="0"/>
              <w:rPr>
                <w:sz w:val="18"/>
                <w:szCs w:val="18"/>
                <w:color w:val="auto"/>
              </w:rPr>
            </w:pP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r>
      <w:tr>
        <w:trPr>
          <w:trHeight w:val="323"/>
        </w:trPr>
        <w:tc>
          <w:tcPr>
            <w:tcW w:w="3520" w:type="dxa"/>
            <w:vAlign w:val="bottom"/>
          </w:tcPr>
          <w:p>
            <w:pPr>
              <w:spacing w:after="0"/>
              <w:rPr>
                <w:sz w:val="24"/>
                <w:szCs w:val="24"/>
                <w:color w:val="auto"/>
              </w:rPr>
            </w:pPr>
          </w:p>
        </w:tc>
        <w:tc>
          <w:tcPr>
            <w:tcW w:w="3280" w:type="dxa"/>
            <w:vAlign w:val="bottom"/>
          </w:tcPr>
          <w:p>
            <w:pPr>
              <w:jc w:val="center"/>
              <w:ind w:left="838"/>
              <w:spacing w:after="0"/>
              <w:rPr>
                <w:sz w:val="20"/>
                <w:szCs w:val="20"/>
                <w:color w:val="auto"/>
              </w:rPr>
            </w:pPr>
            <w:r>
              <w:rPr>
                <w:rFonts w:ascii="Arial" w:cs="Arial" w:eastAsia="Arial" w:hAnsi="Arial"/>
                <w:sz w:val="18"/>
                <w:szCs w:val="18"/>
                <w:b w:val="1"/>
                <w:bCs w:val="1"/>
                <w:color w:val="auto"/>
                <w:w w:val="90"/>
              </w:rPr>
              <w:t>(480) 821-5000</w:t>
            </w:r>
          </w:p>
        </w:tc>
        <w:tc>
          <w:tcPr>
            <w:tcW w:w="4440" w:type="dxa"/>
            <w:vAlign w:val="bottom"/>
          </w:tcPr>
          <w:p>
            <w:pPr>
              <w:spacing w:after="0"/>
              <w:rPr>
                <w:sz w:val="24"/>
                <w:szCs w:val="24"/>
                <w:color w:val="auto"/>
              </w:rPr>
            </w:pPr>
          </w:p>
        </w:tc>
      </w:tr>
      <w:tr>
        <w:trPr>
          <w:trHeight w:val="217"/>
        </w:trPr>
        <w:tc>
          <w:tcPr>
            <w:tcW w:w="3520" w:type="dxa"/>
            <w:vAlign w:val="bottom"/>
          </w:tcPr>
          <w:p>
            <w:pPr>
              <w:spacing w:after="0"/>
              <w:rPr>
                <w:sz w:val="18"/>
                <w:szCs w:val="18"/>
                <w:color w:val="auto"/>
              </w:rPr>
            </w:pPr>
          </w:p>
        </w:tc>
        <w:tc>
          <w:tcPr>
            <w:tcW w:w="772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16"/>
        </w:trPr>
        <w:tc>
          <w:tcPr>
            <w:tcW w:w="3520" w:type="dxa"/>
            <w:vAlign w:val="bottom"/>
          </w:tcPr>
          <w:p>
            <w:pPr>
              <w:spacing w:after="0"/>
              <w:rPr>
                <w:sz w:val="18"/>
                <w:szCs w:val="18"/>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17"/>
        </w:trPr>
        <w:tc>
          <w:tcPr>
            <w:tcW w:w="3520" w:type="dxa"/>
            <w:vAlign w:val="bottom"/>
          </w:tcPr>
          <w:p>
            <w:pPr>
              <w:jc w:val="center"/>
              <w:ind w:left="28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Pr>
          <w:p>
            <w:pPr>
              <w:jc w:val="center"/>
              <w:ind w:right="258"/>
              <w:spacing w:after="0"/>
              <w:rPr>
                <w:sz w:val="20"/>
                <w:szCs w:val="20"/>
                <w:color w:val="auto"/>
              </w:rPr>
            </w:pPr>
            <w:r>
              <w:rPr>
                <w:rFonts w:ascii="Arial" w:cs="Arial" w:eastAsia="Arial" w:hAnsi="Arial"/>
                <w:sz w:val="18"/>
                <w:szCs w:val="18"/>
                <w:b w:val="1"/>
                <w:bCs w:val="1"/>
                <w:color w:val="auto"/>
                <w:w w:val="92"/>
              </w:rPr>
              <w:t>Trading Symbol</w:t>
            </w:r>
          </w:p>
        </w:tc>
        <w:tc>
          <w:tcPr>
            <w:tcW w:w="4440" w:type="dxa"/>
            <w:vAlign w:val="bottom"/>
          </w:tcPr>
          <w:p>
            <w:pPr>
              <w:jc w:val="center"/>
              <w:ind w:right="637"/>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35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left="26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58"/>
              <w:spacing w:after="0"/>
              <w:rPr>
                <w:sz w:val="20"/>
                <w:szCs w:val="20"/>
                <w:color w:val="auto"/>
              </w:rPr>
            </w:pPr>
            <w:r>
              <w:rPr>
                <w:rFonts w:ascii="Arial" w:cs="Arial" w:eastAsia="Arial" w:hAnsi="Arial"/>
                <w:sz w:val="18"/>
                <w:szCs w:val="18"/>
                <w:color w:val="auto"/>
              </w:rPr>
              <w:t>AMKR</w:t>
            </w:r>
          </w:p>
        </w:tc>
        <w:tc>
          <w:tcPr>
            <w:tcW w:w="4440" w:type="dxa"/>
            <w:vAlign w:val="bottom"/>
          </w:tcPr>
          <w:p>
            <w:pPr>
              <w:jc w:val="center"/>
              <w:ind w:right="657"/>
              <w:spacing w:after="0"/>
              <w:rPr>
                <w:sz w:val="20"/>
                <w:szCs w:val="20"/>
                <w:color w:val="auto"/>
              </w:rPr>
            </w:pPr>
            <w:r>
              <w:rPr>
                <w:rFonts w:ascii="Arial" w:cs="Arial" w:eastAsia="Arial" w:hAnsi="Arial"/>
                <w:sz w:val="18"/>
                <w:szCs w:val="18"/>
                <w:color w:val="auto"/>
                <w:w w:val="93"/>
              </w:rPr>
              <w:t>The NASDAQ Global Select Market</w:t>
            </w:r>
          </w:p>
        </w:tc>
      </w:tr>
    </w:tbl>
    <w:p>
      <w:pPr>
        <w:spacing w:after="0" w:line="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0" w:lineRule="exact"/>
        <w:rPr>
          <w:sz w:val="24"/>
          <w:szCs w:val="24"/>
          <w:color w:val="auto"/>
        </w:rPr>
      </w:pPr>
    </w:p>
    <w:tbl>
      <w:tblPr>
        <w:tblLayout w:type="fixed"/>
        <w:tblInd w:w="120" w:type="dxa"/>
        <w:tblCellMar>
          <w:top w:w="0" w:type="dxa"/>
          <w:left w:w="0" w:type="dxa"/>
          <w:bottom w:w="0" w:type="dxa"/>
          <w:right w:w="0" w:type="dxa"/>
        </w:tblCellMar>
      </w:tblPr>
      <w:tr>
        <w:trPr>
          <w:trHeight w:val="249"/>
        </w:trPr>
        <w:tc>
          <w:tcPr>
            <w:tcW w:w="20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tcPr>
          <w:p>
            <w:pPr>
              <w:ind w:left="232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2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2120" w:type="dxa"/>
            <w:vAlign w:val="bottom"/>
          </w:tcPr>
          <w:p>
            <w:pPr>
              <w:ind w:left="100"/>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2480" w:type="dxa"/>
            <w:vAlign w:val="bottom"/>
          </w:tcPr>
          <w:p>
            <w:pPr>
              <w:ind w:left="120"/>
              <w:spacing w:after="0"/>
              <w:rPr>
                <w:sz w:val="20"/>
                <w:szCs w:val="20"/>
                <w:color w:val="auto"/>
              </w:rPr>
            </w:pPr>
            <w:r>
              <w:rPr>
                <w:rFonts w:ascii="Arial" w:cs="Arial" w:eastAsia="Arial" w:hAnsi="Arial"/>
                <w:sz w:val="18"/>
                <w:szCs w:val="18"/>
                <w:color w:val="auto"/>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5339080</wp:posOffset>
            </wp:positionH>
            <wp:positionV relativeFrom="paragraph">
              <wp:posOffset>-250190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-250190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98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July 24, 2020 was 241,369,553.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103505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7480" w:type="dxa"/>
            <w:vAlign w:val="bottom"/>
          </w:tcPr>
          <w:p>
            <w:pPr>
              <w:ind w:left="240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 Financial Information</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48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Consolidated Statements of Income - Three and Six Months Ended June 30, 2020 and 2019</w:t>
              </w:r>
            </w:hyperlink>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7480" w:type="dxa"/>
            <w:vAlign w:val="bottom"/>
          </w:tcPr>
          <w:p>
            <w:pPr>
              <w:ind w:left="20"/>
              <w:spacing w:after="0" w:line="176" w:lineRule="exact"/>
              <w:rPr>
                <w:rFonts w:ascii="Arial" w:cs="Arial" w:eastAsia="Arial" w:hAnsi="Arial"/>
                <w:sz w:val="18"/>
                <w:szCs w:val="18"/>
                <w:color w:val="auto"/>
                <w:w w:val="90"/>
              </w:rPr>
            </w:pPr>
            <w:hyperlink w:anchor="page3">
              <w:r>
                <w:rPr>
                  <w:rFonts w:ascii="Arial" w:cs="Arial" w:eastAsia="Arial" w:hAnsi="Arial"/>
                  <w:sz w:val="18"/>
                  <w:szCs w:val="18"/>
                  <w:color w:val="auto"/>
                  <w:w w:val="90"/>
                </w:rPr>
                <w:t>Consolidated Statements of Comprehensive Income - Three and Six Months Ended June 30, 2020 and</w:t>
              </w:r>
            </w:hyperlink>
          </w:p>
        </w:tc>
        <w:tc>
          <w:tcPr>
            <w:tcW w:w="4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480" w:type="dxa"/>
            <w:vAlign w:val="bottom"/>
          </w:tcPr>
          <w:p>
            <w:pPr>
              <w:ind w:left="260"/>
              <w:spacing w:after="0"/>
              <w:rPr>
                <w:rFonts w:ascii="Arial" w:cs="Arial" w:eastAsia="Arial" w:hAnsi="Arial"/>
                <w:sz w:val="18"/>
                <w:szCs w:val="18"/>
                <w:color w:val="auto"/>
              </w:rPr>
            </w:pPr>
            <w:hyperlink w:anchor="page3">
              <w:r>
                <w:rPr>
                  <w:rFonts w:ascii="Arial" w:cs="Arial" w:eastAsia="Arial" w:hAnsi="Arial"/>
                  <w:sz w:val="18"/>
                  <w:szCs w:val="18"/>
                  <w:color w:val="auto"/>
                </w:rPr>
                <w:t>2019</w:t>
              </w:r>
            </w:hyperlink>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748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Consolidated Balance Sheets - June 30, 2020 and December 31, 2019</w:t>
              </w:r>
            </w:hyperlink>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7480" w:type="dxa"/>
            <w:vAlign w:val="bottom"/>
          </w:tcPr>
          <w:p>
            <w:pPr>
              <w:ind w:left="20"/>
              <w:spacing w:after="0" w:line="176" w:lineRule="exact"/>
              <w:rPr>
                <w:rFonts w:ascii="Arial" w:cs="Arial" w:eastAsia="Arial" w:hAnsi="Arial"/>
                <w:sz w:val="18"/>
                <w:szCs w:val="18"/>
                <w:color w:val="auto"/>
                <w:w w:val="92"/>
              </w:rPr>
            </w:pPr>
            <w:hyperlink w:anchor="page5">
              <w:r>
                <w:rPr>
                  <w:rFonts w:ascii="Arial" w:cs="Arial" w:eastAsia="Arial" w:hAnsi="Arial"/>
                  <w:sz w:val="18"/>
                  <w:szCs w:val="18"/>
                  <w:color w:val="auto"/>
                  <w:w w:val="92"/>
                </w:rPr>
                <w:t>Consolidated Statements of Stockholders’ Equity — Three and Six Months Ended June 30, 2020 and</w:t>
              </w:r>
            </w:hyperlink>
          </w:p>
        </w:tc>
        <w:tc>
          <w:tcPr>
            <w:tcW w:w="4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480" w:type="dxa"/>
            <w:vAlign w:val="bottom"/>
          </w:tcPr>
          <w:p>
            <w:pPr>
              <w:ind w:left="260"/>
              <w:spacing w:after="0"/>
              <w:rPr>
                <w:rFonts w:ascii="Arial" w:cs="Arial" w:eastAsia="Arial" w:hAnsi="Arial"/>
                <w:sz w:val="18"/>
                <w:szCs w:val="18"/>
                <w:color w:val="auto"/>
              </w:rPr>
            </w:pPr>
            <w:hyperlink w:anchor="page5">
              <w:r>
                <w:rPr>
                  <w:rFonts w:ascii="Arial" w:cs="Arial" w:eastAsia="Arial" w:hAnsi="Arial"/>
                  <w:sz w:val="18"/>
                  <w:szCs w:val="18"/>
                  <w:color w:val="auto"/>
                </w:rPr>
                <w:t>2019</w:t>
              </w:r>
            </w:hyperlink>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480" w:type="dxa"/>
            <w:vAlign w:val="bottom"/>
          </w:tcPr>
          <w:p>
            <w:pPr>
              <w:ind w:left="20"/>
              <w:spacing w:after="0"/>
              <w:rPr>
                <w:rFonts w:ascii="Arial" w:cs="Arial" w:eastAsia="Arial" w:hAnsi="Arial"/>
                <w:sz w:val="18"/>
                <w:szCs w:val="18"/>
                <w:color w:val="auto"/>
                <w:w w:val="95"/>
              </w:rPr>
            </w:pPr>
            <w:hyperlink w:anchor="page7">
              <w:r>
                <w:rPr>
                  <w:rFonts w:ascii="Arial" w:cs="Arial" w:eastAsia="Arial" w:hAnsi="Arial"/>
                  <w:sz w:val="18"/>
                  <w:szCs w:val="18"/>
                  <w:color w:val="auto"/>
                  <w:w w:val="95"/>
                </w:rPr>
                <w:t>Condensed Consolidated Statements of Cash Flows - Six Months Ended June 30, 2020 and 2019</w:t>
              </w:r>
            </w:hyperlink>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480" w:type="dxa"/>
            <w:vAlign w:val="bottom"/>
          </w:tcPr>
          <w:p>
            <w:pPr>
              <w:ind w:left="20"/>
              <w:spacing w:after="0"/>
              <w:rPr>
                <w:rFonts w:ascii="Arial" w:cs="Arial" w:eastAsia="Arial" w:hAnsi="Arial"/>
                <w:sz w:val="18"/>
                <w:szCs w:val="18"/>
                <w:color w:val="auto"/>
              </w:rPr>
            </w:pPr>
            <w:hyperlink w:anchor="page8">
              <w:r>
                <w:rPr>
                  <w:rFonts w:ascii="Arial" w:cs="Arial" w:eastAsia="Arial" w:hAnsi="Arial"/>
                  <w:sz w:val="18"/>
                  <w:szCs w:val="18"/>
                  <w:color w:val="auto"/>
                </w:rPr>
                <w:t>Notes to Consolidated Financial Statements</w:t>
              </w:r>
            </w:hyperlink>
          </w:p>
        </w:tc>
        <w:tc>
          <w:tcPr>
            <w:tcW w:w="4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4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91"/>
        </w:trPr>
        <w:tc>
          <w:tcPr>
            <w:tcW w:w="780" w:type="dxa"/>
            <w:vAlign w:val="bottom"/>
          </w:tcPr>
          <w:p>
            <w:pPr>
              <w:spacing w:after="0"/>
              <w:rPr>
                <w:sz w:val="24"/>
                <w:szCs w:val="24"/>
                <w:color w:val="auto"/>
              </w:rPr>
            </w:pPr>
          </w:p>
        </w:tc>
        <w:tc>
          <w:tcPr>
            <w:tcW w:w="7480" w:type="dxa"/>
            <w:vAlign w:val="bottom"/>
          </w:tcPr>
          <w:p>
            <w:pPr>
              <w:ind w:left="2500"/>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Legal Proceedings</w:t>
              </w:r>
            </w:hyperlink>
          </w:p>
        </w:tc>
        <w:tc>
          <w:tcPr>
            <w:tcW w:w="4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1A.</w:t>
              </w:r>
            </w:hyperlink>
          </w:p>
        </w:tc>
        <w:tc>
          <w:tcPr>
            <w:tcW w:w="748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Risk Factors</w:t>
              </w:r>
            </w:hyperlink>
          </w:p>
        </w:tc>
        <w:tc>
          <w:tcPr>
            <w:tcW w:w="4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Unregistered Sales of Equity Securities and Use of Proceeds</w:t>
              </w:r>
            </w:hyperlink>
          </w:p>
        </w:tc>
        <w:tc>
          <w:tcPr>
            <w:tcW w:w="48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Defaults Upon Senior Securities</w:t>
              </w:r>
            </w:hyperlink>
          </w:p>
        </w:tc>
        <w:tc>
          <w:tcPr>
            <w:tcW w:w="4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29"/>
        </w:trPr>
        <w:tc>
          <w:tcPr>
            <w:tcW w:w="78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Mine Safety Disclosures</w:t>
              </w:r>
            </w:hyperlink>
          </w:p>
        </w:tc>
        <w:tc>
          <w:tcPr>
            <w:tcW w:w="4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5.</w:t>
              </w:r>
            </w:hyperlink>
          </w:p>
        </w:tc>
        <w:tc>
          <w:tcPr>
            <w:tcW w:w="748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Other Information</w:t>
              </w:r>
            </w:hyperlink>
          </w:p>
        </w:tc>
        <w:tc>
          <w:tcPr>
            <w:tcW w:w="4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Item 6.</w:t>
              </w:r>
            </w:hyperlink>
          </w:p>
        </w:tc>
        <w:tc>
          <w:tcPr>
            <w:tcW w:w="7480" w:type="dxa"/>
            <w:vAlign w:val="bottom"/>
          </w:tcPr>
          <w:p>
            <w:pPr>
              <w:ind w:left="20"/>
              <w:spacing w:after="0"/>
              <w:rPr>
                <w:rFonts w:ascii="Arial" w:cs="Arial" w:eastAsia="Arial" w:hAnsi="Arial"/>
                <w:sz w:val="18"/>
                <w:szCs w:val="18"/>
                <w:color w:val="auto"/>
              </w:rPr>
            </w:pPr>
            <w:hyperlink w:anchor="page48">
              <w:r>
                <w:rPr>
                  <w:rFonts w:ascii="Arial" w:cs="Arial" w:eastAsia="Arial" w:hAnsi="Arial"/>
                  <w:sz w:val="18"/>
                  <w:szCs w:val="18"/>
                  <w:color w:val="auto"/>
                </w:rPr>
                <w:t>Exhibits</w:t>
              </w:r>
            </w:hyperlink>
          </w:p>
        </w:tc>
        <w:tc>
          <w:tcPr>
            <w:tcW w:w="48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rFonts w:ascii="Arial" w:cs="Arial" w:eastAsia="Arial" w:hAnsi="Arial"/>
                <w:sz w:val="18"/>
                <w:szCs w:val="18"/>
                <w:color w:val="auto"/>
                <w:w w:val="88"/>
              </w:rPr>
            </w:pPr>
            <w:hyperlink w:anchor="page49">
              <w:r>
                <w:rPr>
                  <w:rFonts w:ascii="Arial" w:cs="Arial" w:eastAsia="Arial" w:hAnsi="Arial"/>
                  <w:sz w:val="18"/>
                  <w:szCs w:val="18"/>
                  <w:color w:val="auto"/>
                  <w:w w:val="88"/>
                </w:rPr>
                <w:t>Signatures</w:t>
              </w:r>
            </w:hyperlink>
          </w:p>
        </w:tc>
        <w:tc>
          <w:tcPr>
            <w:tcW w:w="7480" w:type="dxa"/>
            <w:vAlign w:val="bottom"/>
          </w:tcPr>
          <w:p>
            <w:pPr>
              <w:spacing w:after="0"/>
              <w:rPr>
                <w:sz w:val="20"/>
                <w:szCs w:val="20"/>
                <w:color w:val="auto"/>
              </w:rPr>
            </w:pPr>
          </w:p>
        </w:tc>
        <w:tc>
          <w:tcPr>
            <w:tcW w:w="4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2020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novel coronavirus disease, or Covid-19, pandemic on our operations and financial results, (5) the focus of our research and development activities, (6) the anticipated impact of the Tax Cuts and Jobs Act (the “Tax Act”) and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our covenants, (12) expected contributions to foreign pension plans, (13) liability for unrecognized tax benefits and the potential impact of our unrecognized tax benefits on our effective tax rate, (14) expected timing of and charges related to restructuring activities, (15) the effect of foreign currency exchange rate exposure on our financial results, (16) the volatility of the trading price of our common stock, (17) changes to our internal controls related to integration of acquired operations and implementation of an enterprise resource planning system, (18) our efforts to enlarge our customer base in certain geographic areas and markets, (19) demand for advanced packages in mobile and automotive devices and our technology leadership and potential growth in this market, (20) projects to install and integrate new information technology systems or upgrade our existing systems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7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1,172,909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895,305</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2,325,525</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1,790,269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980,589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771,851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1,944,297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1,546,054</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192,320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123,454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381,228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244,215</w:t>
            </w: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74,260</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64,758</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146,842</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136,345</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31,536</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36,186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63,789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71,940</w:t>
            </w:r>
          </w:p>
        </w:tc>
      </w:tr>
      <w:tr>
        <w:trPr>
          <w:trHeight w:val="237"/>
        </w:trPr>
        <w:tc>
          <w:tcPr>
            <w:tcW w:w="47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105,796</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100,944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210,631</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208,285</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86,524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22,510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170,597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35,930</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16,012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18,653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33,057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37,926</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1,467</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6,966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2,401</w:t>
            </w:r>
          </w:p>
        </w:tc>
      </w:tr>
      <w:tr>
        <w:trPr>
          <w:trHeight w:val="237"/>
        </w:trPr>
        <w:tc>
          <w:tcPr>
            <w:tcW w:w="474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17,479</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25,619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32,209</w:t>
            </w: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40,327</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69,045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138,388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(4,397)</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12,905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5,897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17,751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27,277</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56,140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120,637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(31,674)</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(655)</w:t>
            </w:r>
          </w:p>
        </w:tc>
      </w:tr>
      <w:tr>
        <w:trPr>
          <w:trHeight w:val="27"/>
        </w:trPr>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Amkor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55,424</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(9,450)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119,313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(32,329)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Amkor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0.23</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241,098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239,508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241,009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239,461</w:t>
            </w:r>
          </w:p>
        </w:tc>
      </w:tr>
      <w:tr>
        <w:trPr>
          <w:trHeight w:val="27"/>
        </w:trPr>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241,410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239,508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241,345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239,461</w:t>
            </w:r>
          </w:p>
        </w:tc>
      </w:tr>
      <w:tr>
        <w:trPr>
          <w:trHeight w:val="27"/>
        </w:trPr>
        <w:tc>
          <w:tcPr>
            <w:tcW w:w="4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20" w:type="dxa"/>
            <w:vAlign w:val="bottom"/>
          </w:tcPr>
          <w:p>
            <w:pPr>
              <w:spacing w:after="0"/>
              <w:rPr>
                <w:sz w:val="16"/>
                <w:szCs w:val="16"/>
                <w:color w:val="auto"/>
              </w:rPr>
            </w:pPr>
          </w:p>
        </w:tc>
        <w:tc>
          <w:tcPr>
            <w:tcW w:w="23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96"/>
        </w:trPr>
        <w:tc>
          <w:tcPr>
            <w:tcW w:w="6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196"/>
        </w:trPr>
        <w:tc>
          <w:tcPr>
            <w:tcW w:w="6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56,140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120,637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Adjustments to net unrealized gains (losses) on available-for-sale debt investments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22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(189)</w:t>
            </w:r>
          </w:p>
        </w:tc>
      </w:tr>
      <w:tr>
        <w:trPr>
          <w:trHeight w:val="27"/>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3,694</w:t>
            </w:r>
          </w:p>
        </w:tc>
      </w:tr>
      <w:tr>
        <w:trPr>
          <w:trHeight w:val="237"/>
        </w:trPr>
        <w:tc>
          <w:tcPr>
            <w:tcW w:w="6220" w:type="dxa"/>
            <w:vAlign w:val="bottom"/>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3,505</w:t>
            </w:r>
          </w:p>
        </w:tc>
      </w:tr>
      <w:tr>
        <w:trPr>
          <w:trHeight w:val="27"/>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(28,169)</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(655)</w:t>
            </w:r>
          </w:p>
        </w:tc>
      </w:tr>
      <w:tr>
        <w:trPr>
          <w:trHeight w:val="27"/>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Amkor</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54,987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119,470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shd w:val="clear" w:color="auto" w:fill="CCEEFF"/>
          </w:tcPr>
          <w:p>
            <w:pPr>
              <w:ind w:left="504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783,228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894,948</w:t>
            </w:r>
          </w:p>
        </w:tc>
        <w:tc>
          <w:tcPr>
            <w:tcW w:w="0" w:type="dxa"/>
            <w:vAlign w:val="bottom"/>
          </w:tcPr>
          <w:p>
            <w:pPr>
              <w:spacing w:after="0"/>
              <w:rPr>
                <w:sz w:val="1"/>
                <w:szCs w:val="1"/>
                <w:color w:val="auto"/>
              </w:rPr>
            </w:pPr>
          </w:p>
        </w:tc>
      </w:tr>
      <w:tr>
        <w:trPr>
          <w:trHeight w:val="226"/>
        </w:trPr>
        <w:tc>
          <w:tcPr>
            <w:tcW w:w="736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 (amortized cost of $310,246 in 2020)</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310,634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6,348</w:t>
            </w:r>
          </w:p>
        </w:tc>
        <w:tc>
          <w:tcPr>
            <w:tcW w:w="0" w:type="dxa"/>
            <w:vAlign w:val="bottom"/>
          </w:tcPr>
          <w:p>
            <w:pPr>
              <w:spacing w:after="0"/>
              <w:rPr>
                <w:sz w:val="1"/>
                <w:szCs w:val="1"/>
                <w:color w:val="auto"/>
              </w:rPr>
            </w:pPr>
          </w:p>
        </w:tc>
      </w:tr>
      <w:tr>
        <w:trPr>
          <w:trHeight w:val="225"/>
        </w:trPr>
        <w:tc>
          <w:tcPr>
            <w:tcW w:w="7360" w:type="dxa"/>
            <w:vAlign w:val="bottom"/>
          </w:tcPr>
          <w:p>
            <w:pPr>
              <w:ind w:left="220"/>
              <w:spacing w:after="0"/>
              <w:rPr>
                <w:sz w:val="20"/>
                <w:szCs w:val="20"/>
                <w:color w:val="auto"/>
              </w:rPr>
            </w:pPr>
            <w:r>
              <w:rPr>
                <w:rFonts w:ascii="Arial" w:cs="Arial" w:eastAsia="Arial" w:hAnsi="Arial"/>
                <w:sz w:val="17"/>
                <w:szCs w:val="17"/>
                <w:color w:val="auto"/>
              </w:rPr>
              <w:t>Accounts receivable, net of allowances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898,717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850,753</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306,902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220,602</w:t>
            </w:r>
          </w:p>
        </w:tc>
        <w:tc>
          <w:tcPr>
            <w:tcW w:w="0" w:type="dxa"/>
            <w:vAlign w:val="bottom"/>
          </w:tcPr>
          <w:p>
            <w:pPr>
              <w:spacing w:after="0"/>
              <w:rPr>
                <w:sz w:val="1"/>
                <w:szCs w:val="1"/>
                <w:color w:val="auto"/>
              </w:rPr>
            </w:pPr>
          </w:p>
        </w:tc>
      </w:tr>
      <w:tr>
        <w:trPr>
          <w:trHeight w:val="226"/>
        </w:trPr>
        <w:tc>
          <w:tcPr>
            <w:tcW w:w="736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41,383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28,272</w:t>
            </w:r>
          </w:p>
        </w:tc>
        <w:tc>
          <w:tcPr>
            <w:tcW w:w="0" w:type="dxa"/>
            <w:vAlign w:val="bottom"/>
          </w:tcPr>
          <w:p>
            <w:pPr>
              <w:spacing w:after="0"/>
              <w:rPr>
                <w:sz w:val="1"/>
                <w:szCs w:val="1"/>
                <w:color w:val="auto"/>
              </w:rPr>
            </w:pPr>
          </w:p>
        </w:tc>
      </w:tr>
      <w:tr>
        <w:trPr>
          <w:trHeight w:val="31"/>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2,341,795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2,001,533</w:t>
            </w: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2,471,977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2,404,850</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 of use assets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146,013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148,549</w:t>
            </w: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26,140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25,976</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3,027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2,974</w:t>
            </w: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126,436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111,733</w:t>
            </w:r>
          </w:p>
        </w:tc>
        <w:tc>
          <w:tcPr>
            <w:tcW w:w="0" w:type="dxa"/>
            <w:vAlign w:val="bottom"/>
          </w:tcPr>
          <w:p>
            <w:pPr>
              <w:spacing w:after="0"/>
              <w:rPr>
                <w:sz w:val="1"/>
                <w:szCs w:val="1"/>
                <w:color w:val="auto"/>
              </w:rPr>
            </w:pPr>
          </w:p>
        </w:tc>
      </w:tr>
      <w:tr>
        <w:trPr>
          <w:trHeight w:val="31"/>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5,115,388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4,695,615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4280"/>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148,872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144,479</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Trade accounts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583,341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571,054</w:t>
            </w:r>
          </w:p>
        </w:tc>
        <w:tc>
          <w:tcPr>
            <w:tcW w:w="0" w:type="dxa"/>
            <w:vAlign w:val="bottom"/>
          </w:tcPr>
          <w:p>
            <w:pPr>
              <w:spacing w:after="0"/>
              <w:rPr>
                <w:sz w:val="1"/>
                <w:szCs w:val="1"/>
                <w:color w:val="auto"/>
              </w:rPr>
            </w:pPr>
          </w:p>
        </w:tc>
      </w:tr>
      <w:tr>
        <w:trPr>
          <w:trHeight w:val="225"/>
        </w:trPr>
        <w:tc>
          <w:tcPr>
            <w:tcW w:w="7360" w:type="dxa"/>
            <w:vAlign w:val="bottom"/>
          </w:tcPr>
          <w:p>
            <w:pPr>
              <w:ind w:left="220"/>
              <w:spacing w:after="0"/>
              <w:rPr>
                <w:sz w:val="20"/>
                <w:szCs w:val="20"/>
                <w:color w:val="auto"/>
              </w:rPr>
            </w:pPr>
            <w:r>
              <w:rPr>
                <w:rFonts w:ascii="Arial" w:cs="Arial" w:eastAsia="Arial" w:hAnsi="Arial"/>
                <w:sz w:val="17"/>
                <w:szCs w:val="17"/>
                <w:color w:val="auto"/>
              </w:rPr>
              <w:t>Capital expenditures payable</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259,344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77,044</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291,278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267,226</w:t>
            </w:r>
          </w:p>
        </w:tc>
        <w:tc>
          <w:tcPr>
            <w:tcW w:w="0" w:type="dxa"/>
            <w:vAlign w:val="bottom"/>
          </w:tcPr>
          <w:p>
            <w:pPr>
              <w:spacing w:after="0"/>
              <w:rPr>
                <w:sz w:val="1"/>
                <w:szCs w:val="1"/>
                <w:color w:val="auto"/>
              </w:rPr>
            </w:pPr>
          </w:p>
        </w:tc>
      </w:tr>
      <w:tr>
        <w:trPr>
          <w:trHeight w:val="219"/>
        </w:trPr>
        <w:tc>
          <w:tcPr>
            <w:tcW w:w="736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1,282,835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1,059,803</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1,396,389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1,305,755</w:t>
            </w: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7"/>
                <w:szCs w:val="17"/>
                <w:color w:val="auto"/>
              </w:rPr>
              <w:t>Pension and severance obligations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165,401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176,971</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87,204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91,107</w:t>
            </w:r>
          </w:p>
        </w:tc>
        <w:tc>
          <w:tcPr>
            <w:tcW w:w="0" w:type="dxa"/>
            <w:vAlign w:val="bottom"/>
          </w:tcPr>
          <w:p>
            <w:pPr>
              <w:spacing w:after="0"/>
              <w:rPr>
                <w:sz w:val="1"/>
                <w:szCs w:val="1"/>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66,631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71,740</w:t>
            </w:r>
          </w:p>
        </w:tc>
        <w:tc>
          <w:tcPr>
            <w:tcW w:w="0" w:type="dxa"/>
            <w:vAlign w:val="bottom"/>
          </w:tcPr>
          <w:p>
            <w:pPr>
              <w:spacing w:after="0"/>
              <w:rPr>
                <w:sz w:val="1"/>
                <w:szCs w:val="1"/>
                <w:color w:val="auto"/>
              </w:rPr>
            </w:pPr>
          </w:p>
        </w:tc>
      </w:tr>
      <w:tr>
        <w:trPr>
          <w:trHeight w:val="31"/>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2,998,460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2,705,376</w:t>
            </w:r>
          </w:p>
        </w:tc>
        <w:tc>
          <w:tcPr>
            <w:tcW w:w="0" w:type="dxa"/>
            <w:vAlign w:val="bottom"/>
          </w:tcPr>
          <w:p>
            <w:pPr>
              <w:spacing w:after="0"/>
              <w:rPr>
                <w:sz w:val="1"/>
                <w:szCs w:val="1"/>
                <w:color w:val="auto"/>
              </w:rPr>
            </w:pPr>
          </w:p>
        </w:tc>
      </w:tr>
      <w:tr>
        <w:trPr>
          <w:trHeight w:val="205"/>
        </w:trPr>
        <w:tc>
          <w:tcPr>
            <w:tcW w:w="7360" w:type="dxa"/>
            <w:vAlign w:val="bottom"/>
          </w:tcPr>
          <w:p>
            <w:pPr>
              <w:ind w:left="20"/>
              <w:spacing w:after="0"/>
              <w:rPr>
                <w:sz w:val="20"/>
                <w:szCs w:val="20"/>
                <w:color w:val="auto"/>
              </w:rPr>
            </w:pPr>
            <w:r>
              <w:rPr>
                <w:rFonts w:ascii="Arial" w:cs="Arial" w:eastAsia="Arial" w:hAnsi="Arial"/>
                <w:sz w:val="17"/>
                <w:szCs w:val="17"/>
                <w:color w:val="auto"/>
              </w:rPr>
              <w:t>Commitments and contingencies (Note 14)</w:t>
            </w: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360" w:type="dxa"/>
            <w:vAlign w:val="bottom"/>
          </w:tcPr>
          <w:p>
            <w:pPr>
              <w:ind w:left="480"/>
              <w:spacing w:after="0"/>
              <w:rPr>
                <w:sz w:val="20"/>
                <w:szCs w:val="20"/>
                <w:color w:val="auto"/>
              </w:rPr>
            </w:pPr>
            <w:r>
              <w:rPr>
                <w:rFonts w:ascii="Arial" w:cs="Arial" w:eastAsia="Arial" w:hAnsi="Arial"/>
                <w:sz w:val="17"/>
                <w:szCs w:val="17"/>
                <w:color w:val="auto"/>
                <w:w w:val="95"/>
              </w:rPr>
              <w:t>Preferred stock, $0.001 par value, 10,000 shares authorized, designated Series A, none issued</w:t>
            </w:r>
          </w:p>
        </w:tc>
        <w:tc>
          <w:tcPr>
            <w:tcW w:w="24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4"/>
        </w:trPr>
        <w:tc>
          <w:tcPr>
            <w:tcW w:w="7360" w:type="dxa"/>
            <w:vAlign w:val="bottom"/>
            <w:shd w:val="clear" w:color="auto" w:fill="CCEEFF"/>
          </w:tcPr>
          <w:p>
            <w:pPr>
              <w:ind w:left="480"/>
              <w:spacing w:after="0" w:line="164" w:lineRule="exact"/>
              <w:rPr>
                <w:sz w:val="20"/>
                <w:szCs w:val="20"/>
                <w:color w:val="auto"/>
              </w:rPr>
            </w:pPr>
            <w:r>
              <w:rPr>
                <w:rFonts w:ascii="Arial" w:cs="Arial" w:eastAsia="Arial" w:hAnsi="Arial"/>
                <w:sz w:val="17"/>
                <w:szCs w:val="17"/>
                <w:color w:val="auto"/>
                <w:w w:val="92"/>
              </w:rPr>
              <w:t>Common stock, $0.001 par value, 500,000 shares authorized; 287,319 and 286,877 shares issued;</w:t>
            </w:r>
          </w:p>
        </w:tc>
        <w:tc>
          <w:tcPr>
            <w:tcW w:w="2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287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241,236 and 240,805 shares outstanding in 2020 and 2019, respectively</w:t>
            </w:r>
          </w:p>
        </w:tc>
        <w:tc>
          <w:tcPr>
            <w:tcW w:w="2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46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1,934,047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1,927,739</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353,390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234,077</w:t>
            </w:r>
          </w:p>
        </w:tc>
        <w:tc>
          <w:tcPr>
            <w:tcW w:w="0" w:type="dxa"/>
            <w:vAlign w:val="bottom"/>
          </w:tcPr>
          <w:p>
            <w:pPr>
              <w:spacing w:after="0"/>
              <w:rPr>
                <w:sz w:val="1"/>
                <w:szCs w:val="1"/>
                <w:color w:val="auto"/>
              </w:rPr>
            </w:pPr>
          </w:p>
        </w:tc>
      </w:tr>
      <w:tr>
        <w:trPr>
          <w:trHeight w:val="225"/>
        </w:trPr>
        <w:tc>
          <w:tcPr>
            <w:tcW w:w="7360" w:type="dxa"/>
            <w:vAlign w:val="bottom"/>
          </w:tcPr>
          <w:p>
            <w:pPr>
              <w:ind w:left="46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19,272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19,115</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Treasury stock, at cost, 46,083 and 46,072 shares, in 2020 and 2019, respectively</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(217,592)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(217,479)</w:t>
            </w:r>
          </w:p>
        </w:tc>
        <w:tc>
          <w:tcPr>
            <w:tcW w:w="0" w:type="dxa"/>
            <w:vAlign w:val="bottom"/>
          </w:tcPr>
          <w:p>
            <w:pPr>
              <w:spacing w:after="0"/>
              <w:rPr>
                <w:sz w:val="1"/>
                <w:szCs w:val="1"/>
                <w:color w:val="auto"/>
              </w:rPr>
            </w:pPr>
          </w:p>
        </w:tc>
      </w:tr>
      <w:tr>
        <w:trPr>
          <w:trHeight w:val="221"/>
        </w:trPr>
        <w:tc>
          <w:tcPr>
            <w:tcW w:w="7360" w:type="dxa"/>
            <w:vAlign w:val="bottom"/>
          </w:tcPr>
          <w:p>
            <w:pPr>
              <w:ind w:left="660"/>
              <w:spacing w:after="0"/>
              <w:rPr>
                <w:sz w:val="20"/>
                <w:szCs w:val="20"/>
                <w:color w:val="auto"/>
              </w:rPr>
            </w:pPr>
            <w:r>
              <w:rPr>
                <w:rFonts w:ascii="Arial" w:cs="Arial" w:eastAsia="Arial" w:hAnsi="Arial"/>
                <w:sz w:val="17"/>
                <w:szCs w:val="17"/>
                <w:color w:val="auto"/>
              </w:rPr>
              <w:t>Total Amkor stockholders’ equity</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color w:val="auto"/>
              </w:rPr>
              <w:t>2,089,404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1,963,739</w:t>
            </w:r>
          </w:p>
        </w:tc>
        <w:tc>
          <w:tcPr>
            <w:tcW w:w="0" w:type="dxa"/>
            <w:vAlign w:val="bottom"/>
          </w:tcPr>
          <w:p>
            <w:pPr>
              <w:spacing w:after="0"/>
              <w:rPr>
                <w:sz w:val="1"/>
                <w:szCs w:val="1"/>
                <w:color w:val="auto"/>
              </w:rPr>
            </w:pPr>
          </w:p>
        </w:tc>
      </w:tr>
      <w:tr>
        <w:trPr>
          <w:trHeight w:val="31"/>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 in subsidiaries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27,524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26,500</w:t>
            </w:r>
          </w:p>
        </w:tc>
        <w:tc>
          <w:tcPr>
            <w:tcW w:w="0" w:type="dxa"/>
            <w:vAlign w:val="bottom"/>
          </w:tcPr>
          <w:p>
            <w:pPr>
              <w:spacing w:after="0"/>
              <w:rPr>
                <w:sz w:val="1"/>
                <w:szCs w:val="1"/>
                <w:color w:val="auto"/>
              </w:rPr>
            </w:pPr>
          </w:p>
        </w:tc>
      </w:tr>
      <w:tr>
        <w:trPr>
          <w:trHeight w:val="219"/>
        </w:trPr>
        <w:tc>
          <w:tcPr>
            <w:tcW w:w="7360" w:type="dxa"/>
            <w:vAlign w:val="bottom"/>
          </w:tcPr>
          <w:p>
            <w:pPr>
              <w:ind w:left="660"/>
              <w:spacing w:after="0"/>
              <w:rPr>
                <w:sz w:val="20"/>
                <w:szCs w:val="20"/>
                <w:color w:val="auto"/>
              </w:rPr>
            </w:pPr>
            <w:r>
              <w:rPr>
                <w:rFonts w:ascii="Arial" w:cs="Arial" w:eastAsia="Arial" w:hAnsi="Arial"/>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2,116,928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1,990,239</w:t>
            </w:r>
          </w:p>
        </w:tc>
        <w:tc>
          <w:tcPr>
            <w:tcW w:w="0" w:type="dxa"/>
            <w:vAlign w:val="bottom"/>
          </w:tcPr>
          <w:p>
            <w:pPr>
              <w:spacing w:after="0"/>
              <w:rPr>
                <w:sz w:val="1"/>
                <w:szCs w:val="1"/>
                <w:color w:val="auto"/>
              </w:rPr>
            </w:pPr>
          </w:p>
        </w:tc>
      </w:tr>
      <w:tr>
        <w:trPr>
          <w:trHeight w:val="31"/>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5,115,388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4,695,615</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0720"/>
          </w:cols>
          <w:pgMar w:left="320" w:top="121"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66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620" w:type="dxa"/>
            <w:vAlign w:val="bottom"/>
            <w:gridSpan w:val="5"/>
          </w:tcPr>
          <w:p>
            <w:pPr>
              <w:ind w:left="400"/>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Total Amkor</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Noncontrolling</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00"/>
              <w:spacing w:after="0" w:line="108" w:lineRule="exact"/>
              <w:rPr>
                <w:sz w:val="20"/>
                <w:szCs w:val="20"/>
                <w:color w:val="auto"/>
              </w:rPr>
            </w:pPr>
            <w:r>
              <w:rPr>
                <w:rFonts w:ascii="Arial" w:cs="Arial" w:eastAsia="Arial" w:hAnsi="Arial"/>
                <w:sz w:val="11"/>
                <w:szCs w:val="11"/>
                <w:b w:val="1"/>
                <w:bCs w:val="1"/>
                <w:color w:val="auto"/>
                <w:w w:val="93"/>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Interest in</w:t>
            </w:r>
          </w:p>
        </w:tc>
        <w:tc>
          <w:tcPr>
            <w:tcW w:w="180" w:type="dxa"/>
            <w:vAlign w:val="bottom"/>
          </w:tcPr>
          <w:p>
            <w:pPr>
              <w:spacing w:after="0"/>
              <w:rPr>
                <w:sz w:val="4"/>
                <w:szCs w:val="4"/>
                <w:color w:val="auto"/>
              </w:rPr>
            </w:pPr>
          </w:p>
        </w:tc>
        <w:tc>
          <w:tcPr>
            <w:tcW w:w="720" w:type="dxa"/>
            <w:vAlign w:val="bottom"/>
            <w:vMerge w:val="restart"/>
          </w:tcPr>
          <w:p>
            <w:pPr>
              <w:jc w:val="right"/>
              <w:ind w:right="258"/>
              <w:spacing w:after="0" w:line="108"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4"/>
        </w:trPr>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640" w:type="dxa"/>
            <w:vAlign w:val="bottom"/>
          </w:tcPr>
          <w:p>
            <w:pPr>
              <w:spacing w:after="0"/>
              <w:rPr>
                <w:sz w:val="12"/>
                <w:szCs w:val="12"/>
                <w:color w:val="auto"/>
              </w:rPr>
            </w:pP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2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180" w:type="dxa"/>
            <w:vAlign w:val="bottom"/>
          </w:tcPr>
          <w:p>
            <w:pPr>
              <w:spacing w:after="0"/>
              <w:rPr>
                <w:sz w:val="12"/>
                <w:szCs w:val="12"/>
                <w:color w:val="auto"/>
              </w:rPr>
            </w:pPr>
          </w:p>
        </w:tc>
        <w:tc>
          <w:tcPr>
            <w:tcW w:w="72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ind w:left="620"/>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89"/>
              </w:rPr>
              <w:t>Balance at March 31, 2020</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287,093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1,931,088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297,966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19,709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9"/>
              </w:rPr>
              <w:t>(46,077)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6"/>
              </w:rPr>
              <w:t>(217,533)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2,031,517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27,108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6"/>
              </w:rPr>
              <w:t>2,058,625</w:t>
            </w:r>
          </w:p>
        </w:tc>
        <w:tc>
          <w:tcPr>
            <w:tcW w:w="0" w:type="dxa"/>
            <w:vAlign w:val="bottom"/>
          </w:tcPr>
          <w:p>
            <w:pPr>
              <w:spacing w:after="0"/>
              <w:rPr>
                <w:sz w:val="1"/>
                <w:szCs w:val="1"/>
                <w:color w:val="auto"/>
              </w:rPr>
            </w:pPr>
          </w:p>
        </w:tc>
      </w:tr>
      <w:tr>
        <w:trPr>
          <w:trHeight w:val="181"/>
        </w:trPr>
        <w:tc>
          <w:tcPr>
            <w:tcW w:w="16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55,424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55,424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56,140</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Treasury stock acquired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w w:val="89"/>
              </w:rPr>
              <w:t>through surrender of shares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Issuance of stock through</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share-based compensation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Arial" w:cs="Arial" w:eastAsia="Arial" w:hAnsi="Arial"/>
                <w:sz w:val="13"/>
                <w:szCs w:val="13"/>
                <w:color w:val="auto"/>
                <w:w w:val="90"/>
              </w:rPr>
              <w:t>Share-based compensation</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1,737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1,737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1,737</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to</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89"/>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w w:val="93"/>
              </w:rPr>
              <w:t>Balance at June 30, 2020</w:t>
            </w:r>
          </w:p>
        </w:tc>
        <w:tc>
          <w:tcPr>
            <w:tcW w:w="6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287,319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1,934,047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353,390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19,272</w:t>
            </w:r>
          </w:p>
        </w:tc>
        <w:tc>
          <w:tcPr>
            <w:tcW w:w="1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w w:val="99"/>
              </w:rPr>
              <w:t>(46,083)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w w:val="96"/>
              </w:rPr>
              <w:t>(217,592)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2,089,404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27,524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w w:val="96"/>
              </w:rPr>
              <w:t>2,116,928</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80"/>
              <w:spacing w:after="0" w:line="144" w:lineRule="exact"/>
              <w:rPr>
                <w:sz w:val="20"/>
                <w:szCs w:val="20"/>
                <w:color w:val="auto"/>
              </w:rPr>
            </w:pPr>
            <w:r>
              <w:rPr>
                <w:rFonts w:ascii="Arial" w:cs="Arial" w:eastAsia="Arial" w:hAnsi="Arial"/>
                <w:sz w:val="13"/>
                <w:szCs w:val="13"/>
                <w:b w:val="1"/>
                <w:bCs w:val="1"/>
                <w:color w:val="auto"/>
                <w:w w:val="93"/>
              </w:rPr>
              <w:t>Balance at 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286,877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1,927,739</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234,077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19,115</w:t>
            </w:r>
          </w:p>
        </w:tc>
        <w:tc>
          <w:tcPr>
            <w:tcW w:w="120" w:type="dxa"/>
            <w:vAlign w:val="bottom"/>
          </w:tcPr>
          <w:p>
            <w:pPr>
              <w:spacing w:after="0"/>
              <w:rPr>
                <w:sz w:val="14"/>
                <w:szCs w:val="14"/>
                <w:color w:val="auto"/>
              </w:rPr>
            </w:pPr>
          </w:p>
        </w:tc>
        <w:tc>
          <w:tcPr>
            <w:tcW w:w="620" w:type="dxa"/>
            <w:vAlign w:val="bottom"/>
          </w:tcPr>
          <w:p>
            <w:pPr>
              <w:jc w:val="right"/>
              <w:ind w:right="58"/>
              <w:spacing w:after="0"/>
              <w:rPr>
                <w:sz w:val="20"/>
                <w:szCs w:val="20"/>
                <w:color w:val="auto"/>
              </w:rPr>
            </w:pPr>
            <w:r>
              <w:rPr>
                <w:rFonts w:ascii="Arial" w:cs="Arial" w:eastAsia="Arial" w:hAnsi="Arial"/>
                <w:sz w:val="13"/>
                <w:szCs w:val="13"/>
                <w:color w:val="auto"/>
                <w:w w:val="99"/>
              </w:rPr>
              <w:t>(46,072)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w w:val="96"/>
              </w:rPr>
              <w:t>(217,479)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1,963,739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26,500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w w:val="96"/>
              </w:rPr>
              <w:t>1,990,239</w:t>
            </w:r>
          </w:p>
        </w:tc>
        <w:tc>
          <w:tcPr>
            <w:tcW w:w="0" w:type="dxa"/>
            <w:vAlign w:val="bottom"/>
          </w:tcPr>
          <w:p>
            <w:pPr>
              <w:spacing w:after="0"/>
              <w:rPr>
                <w:sz w:val="1"/>
                <w:szCs w:val="1"/>
                <w:color w:val="auto"/>
              </w:rPr>
            </w:pPr>
          </w:p>
        </w:tc>
      </w:tr>
      <w:tr>
        <w:trPr>
          <w:trHeight w:val="197"/>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119,313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119,313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120,637</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acquired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9"/>
              </w:rPr>
              <w:t>through surrender of shares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w w:val="97"/>
              </w:rPr>
              <w:t>Issuance of stock through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w w:val="91"/>
              </w:rPr>
              <w:t>share-based compensation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2,741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97"/>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0"/>
              </w:rPr>
              <w:t>Share-based compensation</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3,567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3,567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3,567</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Subsidiary dividends to</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214"/>
        </w:trPr>
        <w:tc>
          <w:tcPr>
            <w:tcW w:w="1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w w:val="93"/>
              </w:rPr>
              <w:t>Balance at June 30, 2020</w:t>
            </w:r>
          </w:p>
        </w:tc>
        <w:tc>
          <w:tcPr>
            <w:tcW w:w="6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287,319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1,934,047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353,390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19,272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w w:val="99"/>
              </w:rPr>
              <w:t>(46,083)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96"/>
              </w:rPr>
              <w:t>(217,592)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2,089,404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27,524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w w:val="96"/>
              </w:rPr>
              <w:t>2,116,928</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720" w:type="dxa"/>
            <w:vAlign w:val="bottom"/>
            <w:gridSpan w:val="5"/>
          </w:tcPr>
          <w:p>
            <w:pPr>
              <w:ind w:left="46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1640" w:type="dxa"/>
            <w:vAlign w:val="bottom"/>
            <w:gridSpan w:val="5"/>
          </w:tcPr>
          <w:p>
            <w:pPr>
              <w:ind w:left="420"/>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Noncontrolling</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0"/>
              </w:rPr>
              <w:t>Additional Paid-</w:t>
            </w: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1"/>
              </w:rPr>
              <w:t>Interest in</w:t>
            </w:r>
          </w:p>
        </w:tc>
        <w:tc>
          <w:tcPr>
            <w:tcW w:w="180" w:type="dxa"/>
            <w:vAlign w:val="bottom"/>
          </w:tcPr>
          <w:p>
            <w:pPr>
              <w:spacing w:after="0"/>
              <w:rPr>
                <w:sz w:val="4"/>
                <w:szCs w:val="4"/>
                <w:color w:val="auto"/>
              </w:rPr>
            </w:pPr>
          </w:p>
        </w:tc>
        <w:tc>
          <w:tcPr>
            <w:tcW w:w="720" w:type="dxa"/>
            <w:vAlign w:val="bottom"/>
            <w:vMerge w:val="restart"/>
          </w:tcPr>
          <w:p>
            <w:pPr>
              <w:jc w:val="right"/>
              <w:ind w:right="258"/>
              <w:spacing w:after="0" w:line="108"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4"/>
        </w:trPr>
        <w:tc>
          <w:tcPr>
            <w:tcW w:w="1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640" w:type="dxa"/>
            <w:vAlign w:val="bottom"/>
          </w:tcPr>
          <w:p>
            <w:pPr>
              <w:spacing w:after="0"/>
              <w:rPr>
                <w:sz w:val="12"/>
                <w:szCs w:val="12"/>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In Capital</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Retained Earnings</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16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Subsidiaries</w:t>
            </w:r>
          </w:p>
        </w:tc>
        <w:tc>
          <w:tcPr>
            <w:tcW w:w="180" w:type="dxa"/>
            <w:vAlign w:val="bottom"/>
          </w:tcPr>
          <w:p>
            <w:pPr>
              <w:spacing w:after="0"/>
              <w:rPr>
                <w:sz w:val="12"/>
                <w:szCs w:val="12"/>
                <w:color w:val="auto"/>
              </w:rPr>
            </w:pPr>
          </w:p>
        </w:tc>
        <w:tc>
          <w:tcPr>
            <w:tcW w:w="72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ind w:left="600"/>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89"/>
              </w:rPr>
              <w:t>Balance at March 31, 2019</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285,430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1,911,179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90,310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21,456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(45,972)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w w:val="93"/>
              </w:rPr>
              <w:t>(216,219)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1,807,011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6"/>
              </w:rPr>
              <w:t>1,832,582</w:t>
            </w:r>
          </w:p>
        </w:tc>
        <w:tc>
          <w:tcPr>
            <w:tcW w:w="0" w:type="dxa"/>
            <w:vAlign w:val="bottom"/>
          </w:tcPr>
          <w:p>
            <w:pPr>
              <w:spacing w:after="0"/>
              <w:rPr>
                <w:sz w:val="1"/>
                <w:szCs w:val="1"/>
                <w:color w:val="auto"/>
              </w:rPr>
            </w:pPr>
          </w:p>
        </w:tc>
      </w:tr>
      <w:tr>
        <w:trPr>
          <w:trHeight w:val="181"/>
        </w:trPr>
        <w:tc>
          <w:tcPr>
            <w:tcW w:w="16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(9,450)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(9,450)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(9,006)</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5,861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5,861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5,861</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Treasury stock acquired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w w:val="89"/>
              </w:rPr>
              <w:t>through surrender of shares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Issuance of stock through</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share-based compensation</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Arial" w:cs="Arial" w:eastAsia="Arial" w:hAnsi="Arial"/>
                <w:sz w:val="13"/>
                <w:szCs w:val="13"/>
                <w:color w:val="auto"/>
                <w:w w:val="90"/>
              </w:rPr>
              <w:t>Share-based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1,774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1,774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1,774</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to</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9"/>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w w:val="93"/>
              </w:rPr>
              <w:t>Balance at June 30, 2019</w:t>
            </w: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285,510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1,913,103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80,860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27,317</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(45,978)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w w:val="93"/>
              </w:rPr>
              <w:t>(216,254)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1,805,311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25,865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w w:val="96"/>
              </w:rPr>
              <w:t>1,831,176</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40" w:type="dxa"/>
            <w:vAlign w:val="bottom"/>
          </w:tcPr>
          <w:p>
            <w:pPr>
              <w:ind w:left="180"/>
              <w:spacing w:after="0" w:line="144" w:lineRule="exact"/>
              <w:rPr>
                <w:sz w:val="20"/>
                <w:szCs w:val="20"/>
                <w:color w:val="auto"/>
              </w:rPr>
            </w:pPr>
            <w:r>
              <w:rPr>
                <w:rFonts w:ascii="Arial" w:cs="Arial" w:eastAsia="Arial" w:hAnsi="Arial"/>
                <w:sz w:val="13"/>
                <w:szCs w:val="13"/>
                <w:b w:val="1"/>
                <w:bCs w:val="1"/>
                <w:color w:val="auto"/>
                <w:w w:val="93"/>
              </w:rPr>
              <w:t>Balance at December 31,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180"/>
              <w:spacing w:after="0"/>
              <w:rPr>
                <w:sz w:val="20"/>
                <w:szCs w:val="20"/>
                <w:color w:val="auto"/>
              </w:rPr>
            </w:pPr>
            <w:r>
              <w:rPr>
                <w:rFonts w:ascii="Arial" w:cs="Arial" w:eastAsia="Arial" w:hAnsi="Arial"/>
                <w:sz w:val="13"/>
                <w:szCs w:val="13"/>
                <w:b w:val="1"/>
                <w:bCs w:val="1"/>
                <w:color w:val="auto"/>
              </w:rPr>
              <w:t>2018</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285,352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1,909,425</w:t>
            </w:r>
          </w:p>
        </w:tc>
        <w:tc>
          <w:tcPr>
            <w:tcW w:w="10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113,189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23,812</w:t>
            </w:r>
          </w:p>
        </w:tc>
        <w:tc>
          <w:tcPr>
            <w:tcW w:w="1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(45,967)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w w:val="93"/>
              </w:rPr>
              <w:t>(216,171)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1,830,540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25,360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8"/>
              <w:spacing w:after="0"/>
              <w:rPr>
                <w:sz w:val="20"/>
                <w:szCs w:val="20"/>
                <w:color w:val="auto"/>
              </w:rPr>
            </w:pPr>
            <w:r>
              <w:rPr>
                <w:rFonts w:ascii="Arial" w:cs="Arial" w:eastAsia="Arial" w:hAnsi="Arial"/>
                <w:sz w:val="13"/>
                <w:szCs w:val="13"/>
                <w:color w:val="auto"/>
                <w:w w:val="96"/>
              </w:rPr>
              <w:t>1,855,900</w:t>
            </w:r>
          </w:p>
        </w:tc>
        <w:tc>
          <w:tcPr>
            <w:tcW w:w="0" w:type="dxa"/>
            <w:vAlign w:val="bottom"/>
          </w:tcPr>
          <w:p>
            <w:pPr>
              <w:spacing w:after="0"/>
              <w:rPr>
                <w:sz w:val="1"/>
                <w:szCs w:val="1"/>
                <w:color w:val="auto"/>
              </w:rPr>
            </w:pPr>
          </w:p>
        </w:tc>
      </w:tr>
      <w:tr>
        <w:trPr>
          <w:trHeight w:val="197"/>
        </w:trPr>
        <w:tc>
          <w:tcPr>
            <w:tcW w:w="1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(32,329)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(31,674)</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3,505</w:t>
            </w:r>
          </w:p>
        </w:tc>
        <w:tc>
          <w:tcPr>
            <w:tcW w:w="10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3,505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3,505</w:t>
            </w:r>
          </w:p>
        </w:tc>
        <w:tc>
          <w:tcPr>
            <w:tcW w:w="0" w:type="dxa"/>
            <w:vAlign w:val="bottom"/>
          </w:tcPr>
          <w:p>
            <w:pPr>
              <w:spacing w:after="0"/>
              <w:rPr>
                <w:sz w:val="1"/>
                <w:szCs w:val="1"/>
                <w:color w:val="auto"/>
              </w:rPr>
            </w:pPr>
          </w:p>
        </w:tc>
      </w:tr>
      <w:tr>
        <w:trPr>
          <w:trHeight w:val="15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acquired</w:t>
            </w: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9"/>
              </w:rPr>
              <w:t>through surrender of shares</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w w:val="97"/>
              </w:rPr>
              <w:t>Issuance of stock through</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w w:val="91"/>
              </w:rPr>
              <w:t>share-based compensation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97"/>
        </w:trPr>
        <w:tc>
          <w:tcPr>
            <w:tcW w:w="16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0"/>
              </w:rPr>
              <w:t>Share-based compensation</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3,242</w:t>
            </w:r>
          </w:p>
        </w:tc>
        <w:tc>
          <w:tcPr>
            <w:tcW w:w="0" w:type="dxa"/>
            <w:vAlign w:val="bottom"/>
          </w:tcPr>
          <w:p>
            <w:pPr>
              <w:spacing w:after="0"/>
              <w:rPr>
                <w:sz w:val="1"/>
                <w:szCs w:val="1"/>
                <w:color w:val="auto"/>
              </w:rPr>
            </w:pPr>
          </w:p>
        </w:tc>
      </w:tr>
      <w:tr>
        <w:trPr>
          <w:trHeight w:val="148"/>
        </w:trPr>
        <w:tc>
          <w:tcPr>
            <w:tcW w:w="1640" w:type="dxa"/>
            <w:vAlign w:val="bottom"/>
          </w:tcPr>
          <w:p>
            <w:pPr>
              <w:ind w:left="180"/>
              <w:spacing w:after="0" w:line="148" w:lineRule="exact"/>
              <w:rPr>
                <w:sz w:val="20"/>
                <w:szCs w:val="20"/>
                <w:color w:val="auto"/>
              </w:rPr>
            </w:pPr>
            <w:r>
              <w:rPr>
                <w:rFonts w:ascii="Arial" w:cs="Arial" w:eastAsia="Arial" w:hAnsi="Arial"/>
                <w:sz w:val="13"/>
                <w:szCs w:val="13"/>
                <w:color w:val="auto"/>
              </w:rPr>
              <w:t>Subsidiary dividends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14"/>
        </w:trPr>
        <w:tc>
          <w:tcPr>
            <w:tcW w:w="1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w w:val="93"/>
              </w:rPr>
              <w:t>Balance at June 30, 2019</w:t>
            </w:r>
          </w:p>
        </w:tc>
        <w:tc>
          <w:tcPr>
            <w:tcW w:w="7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285,510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1,913,103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80,860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27,317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(45,978)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w w:val="93"/>
              </w:rPr>
              <w:t>(216,254)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1,805,311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25,865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w w:val="96"/>
              </w:rPr>
              <w:t>1,831,176</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120,637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(31,674)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248,036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268,819</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33,112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(101,329)</w:t>
            </w:r>
          </w:p>
        </w:tc>
        <w:tc>
          <w:tcPr>
            <w:tcW w:w="0" w:type="dxa"/>
            <w:vAlign w:val="bottom"/>
          </w:tcPr>
          <w:p>
            <w:pPr>
              <w:spacing w:after="0"/>
              <w:rPr>
                <w:sz w:val="1"/>
                <w:szCs w:val="1"/>
                <w:color w:val="auto"/>
              </w:rPr>
            </w:pPr>
          </w:p>
        </w:tc>
      </w:tr>
      <w:tr>
        <w:trPr>
          <w:trHeight w:val="237"/>
        </w:trPr>
        <w:tc>
          <w:tcPr>
            <w:tcW w:w="810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242,402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168,928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(134,340)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(273,672)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3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for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(325,632)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(435,113)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(261,023)</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short-term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62,495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29,781</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Payments of short-term debt</w:t>
            </w: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(66,609)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(25,548)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225,985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614,375</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3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(201,425)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(732,178)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of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82,542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(131,145)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898,532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688,051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787,186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556,906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259,520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135,126</w:t>
            </w:r>
          </w:p>
        </w:tc>
        <w:tc>
          <w:tcPr>
            <w:tcW w:w="0" w:type="dxa"/>
            <w:vAlign w:val="bottom"/>
          </w:tcPr>
          <w:p>
            <w:pPr>
              <w:spacing w:after="0"/>
              <w:rPr>
                <w:sz w:val="1"/>
                <w:szCs w:val="1"/>
                <w:color w:val="auto"/>
              </w:rPr>
            </w:pPr>
          </w:p>
        </w:tc>
      </w:tr>
      <w:tr>
        <w:trPr>
          <w:trHeight w:val="27"/>
        </w:trPr>
        <w:tc>
          <w:tcPr>
            <w:tcW w:w="8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June 30, 2020, and for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2019, are unaudited, pursuant to the rules and regulations of the United States Securities and Exchange Commission (“SEC”). The December 31, 2019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2019, filed on Form 10-K with the SEC on February 19, 2020. The results of operations for the three and six months ended June 30, 2020 are not necessarily indicative of the results to be expected for the full year. Unless the context otherwise requires, all references to “Amkor,” “we,” “us,” “our” or the “company” are to Amkor Technology, Inc. and our subsidiaries. Certain prior year amounts have been reclassified to conform to current year presentation.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Consolidated Financial Statements have been prepared in conformity with U.S. GAAP, using management’s best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including the impact of Covid-19 and any worsening of the global business and economic environment.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June 30, 2020 and December 31, 2019 were $152.4 million and $125.4 million, respectively.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Sales by Product Group and End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28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7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Advanced products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729,359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432,639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1,434,517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855,084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Mainstream products (2)</w:t>
            </w:r>
          </w:p>
        </w:tc>
        <w:tc>
          <w:tcPr>
            <w:tcW w:w="26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8"/>
                <w:szCs w:val="18"/>
                <w:color w:val="auto"/>
              </w:rPr>
              <w:t>443,550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462,666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891,008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935,185</w:t>
            </w:r>
          </w:p>
        </w:tc>
      </w:tr>
      <w:tr>
        <w:trPr>
          <w:trHeight w:val="27"/>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1,172,909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895,305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2,325,525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1,790,269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0" w:type="dxa"/>
            <w:vAlign w:val="bottom"/>
            <w:tcBorders>
              <w:bottom w:val="single" w:sz="8" w:color="auto"/>
            </w:tcBorders>
            <w:gridSpan w:val="11"/>
          </w:tcPr>
          <w:p>
            <w:pPr>
              <w:jc w:val="right"/>
              <w:ind w:right="34"/>
              <w:spacing w:after="0"/>
              <w:rPr>
                <w:sz w:val="20"/>
                <w:szCs w:val="20"/>
                <w:color w:val="auto"/>
              </w:rPr>
            </w:pPr>
            <w:r>
              <w:rPr>
                <w:rFonts w:ascii="Arial" w:cs="Arial" w:eastAsia="Arial" w:hAnsi="Arial"/>
                <w:sz w:val="14"/>
                <w:szCs w:val="14"/>
                <w:b w:val="1"/>
                <w:bCs w:val="1"/>
                <w:color w:val="auto"/>
                <w:w w:val="98"/>
              </w:rPr>
              <w:t>For the Three Months Ended June 30,</w:t>
            </w:r>
          </w:p>
        </w:tc>
        <w:tc>
          <w:tcPr>
            <w:tcW w:w="100" w:type="dxa"/>
            <w:vAlign w:val="bottom"/>
          </w:tcPr>
          <w:p>
            <w:pPr>
              <w:spacing w:after="0"/>
              <w:rPr>
                <w:sz w:val="16"/>
                <w:szCs w:val="16"/>
                <w:color w:val="auto"/>
              </w:rPr>
            </w:pPr>
          </w:p>
        </w:tc>
        <w:tc>
          <w:tcPr>
            <w:tcW w:w="250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21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 (handheld devices, smartphones, tablets)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400" w:type="dxa"/>
            <w:vAlign w:val="bottom"/>
            <w:gridSpan w:val="5"/>
          </w:tcPr>
          <w:p>
            <w:pPr>
              <w:ind w:left="20"/>
              <w:spacing w:after="0"/>
              <w:rPr>
                <w:sz w:val="20"/>
                <w:szCs w:val="20"/>
                <w:color w:val="auto"/>
              </w:rPr>
            </w:pPr>
            <w:r>
              <w:rPr>
                <w:rFonts w:ascii="Arial" w:cs="Arial" w:eastAsia="Arial" w:hAnsi="Arial"/>
                <w:sz w:val="18"/>
                <w:szCs w:val="18"/>
                <w:color w:val="auto"/>
                <w:w w:val="96"/>
              </w:rPr>
              <w:t>Consumer (connected home, set-top boxes, televisions, visual imaging, wearables)</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8"/>
              </w:rPr>
              <w:t>Automotive, industrial and other (driver assist, infotainment, performance, safety)</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2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60" w:type="dxa"/>
            <w:vAlign w:val="bottom"/>
          </w:tcPr>
          <w:p>
            <w:pPr>
              <w:spacing w:after="0"/>
              <w:rPr>
                <w:sz w:val="20"/>
                <w:szCs w:val="20"/>
                <w:color w:val="auto"/>
              </w:rPr>
            </w:pPr>
            <w:r>
              <w:rPr>
                <w:rFonts w:ascii="Arial" w:cs="Arial" w:eastAsia="Arial" w:hAnsi="Arial"/>
                <w:sz w:val="18"/>
                <w:szCs w:val="18"/>
                <w:color w:val="auto"/>
              </w:rPr>
              <w:t>Other income and expense consist of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right"/>
              <w:ind w:right="268"/>
              <w:spacing w:after="0"/>
              <w:rPr>
                <w:sz w:val="20"/>
                <w:szCs w:val="20"/>
                <w:color w:val="auto"/>
              </w:rPr>
            </w:pPr>
            <w:r>
              <w:rPr>
                <w:rFonts w:ascii="Arial" w:cs="Arial" w:eastAsia="Arial" w:hAnsi="Arial"/>
                <w:sz w:val="14"/>
                <w:szCs w:val="14"/>
                <w:b w:val="1"/>
                <w:bCs w:val="1"/>
                <w:color w:val="auto"/>
                <w:w w:val="99"/>
              </w:rPr>
              <w:t>For the Three Months Ended June 30,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213"/>
              <w:spacing w:after="0"/>
              <w:rPr>
                <w:sz w:val="20"/>
                <w:szCs w:val="20"/>
                <w:color w:val="auto"/>
              </w:rPr>
            </w:pPr>
            <w:r>
              <w:rPr>
                <w:rFonts w:ascii="Arial" w:cs="Arial" w:eastAsia="Arial" w:hAnsi="Arial"/>
                <w:sz w:val="14"/>
                <w:szCs w:val="14"/>
                <w:b w:val="1"/>
                <w:bCs w:val="1"/>
                <w:color w:val="auto"/>
                <w:w w:val="97"/>
              </w:rPr>
              <w:t>For the Six Months Ended June 30,</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6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260" w:type="dxa"/>
            <w:vAlign w:val="bottom"/>
          </w:tcPr>
          <w:p>
            <w:pPr>
              <w:spacing w:after="0"/>
              <w:rPr>
                <w:sz w:val="21"/>
                <w:szCs w:val="21"/>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of $17.8 million for the six months ended June 30, 2020 reflects income taxes, foreign withholding taxes and minimum taxes.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$26.2 million at December 31, 2019 to $25.7 million as of June 30, 2020, primarily due to the lapse of statutes of limitations in foreign jurisdictions.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tax returns that are open to examination in various jurisdictions for tax years 2012-2019. The open years contain matters that could be subject to differing interpretations of applicable tax laws and regulations related to the amount and/or timing of income, deductions and tax credits. There can be no assurance that the outcome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examinations will be favorable. </w:t>
      </w:r>
      <w:r>
        <w:rPr>
          <w:rFonts w:ascii="Arial" w:cs="Arial" w:eastAsia="Arial" w:hAnsi="Arial"/>
          <w:sz w:val="18"/>
          <w:szCs w:val="18"/>
          <w:color w:val="212529"/>
        </w:rPr>
        <w:t>In certain circumstances where we elect to appeal the results of an examination, we may be required to make tax</w:t>
      </w:r>
      <w:r>
        <w:rPr>
          <w:rFonts w:ascii="Arial" w:cs="Arial" w:eastAsia="Arial" w:hAnsi="Arial"/>
          <w:sz w:val="18"/>
          <w:szCs w:val="18"/>
          <w:color w:val="auto"/>
        </w:rPr>
        <w:t xml:space="preserve"> </w:t>
      </w:r>
      <w:r>
        <w:rPr>
          <w:rFonts w:ascii="Arial" w:cs="Arial" w:eastAsia="Arial" w:hAnsi="Arial"/>
          <w:sz w:val="18"/>
          <w:szCs w:val="18"/>
          <w:color w:val="212529"/>
        </w:rPr>
        <w:t>assessment payments to proceed with the administrative appeal process.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440" w:type="dxa"/>
            <w:vAlign w:val="bottom"/>
          </w:tcPr>
          <w:p>
            <w:pPr>
              <w:spacing w:after="0"/>
              <w:rPr>
                <w:sz w:val="16"/>
                <w:szCs w:val="16"/>
                <w:color w:val="auto"/>
              </w:rPr>
            </w:pPr>
          </w:p>
        </w:tc>
        <w:tc>
          <w:tcPr>
            <w:tcW w:w="27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5"/>
              </w:rPr>
              <w:t>For the Six Months Ended June 30,</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3"/>
          </w:tcPr>
          <w:p>
            <w:pPr>
              <w:jc w:val="center"/>
              <w:ind w:left="59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income (loss) attributable to Amkor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55,424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119,313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(32,329)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number of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241,098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239,508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241,009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239,461</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Stock options and restricted share awards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w w:val="99"/>
              </w:rPr>
              <w:t>Weighted-average number of common shares outstanding -</w:t>
            </w: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241,410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rPr>
              <w:t>239,508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241,345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239,461</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(loss) attributable to Amkor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4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For the Three Months Ended June 30,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196"/>
        </w:trPr>
        <w:tc>
          <w:tcPr>
            <w:tcW w:w="5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7"/>
                <w:szCs w:val="17"/>
                <w:color w:val="auto"/>
              </w:rPr>
            </w:pPr>
          </w:p>
        </w:tc>
        <w:tc>
          <w:tcPr>
            <w:tcW w:w="1340" w:type="dxa"/>
            <w:vAlign w:val="bottom"/>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822"/>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96"/>
        </w:trPr>
        <w:tc>
          <w:tcPr>
            <w:tcW w:w="48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5"/>
              </w:rPr>
              <w:t>(In thousands)</w:t>
            </w:r>
          </w:p>
        </w:tc>
        <w:tc>
          <w:tcPr>
            <w:tcW w:w="1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49"/>
        </w:trPr>
        <w:tc>
          <w:tcPr>
            <w:tcW w:w="5740" w:type="dxa"/>
            <w:vAlign w:val="bottom"/>
            <w:gridSpan w:val="2"/>
            <w:shd w:val="clear" w:color="auto" w:fill="CCEEFF"/>
          </w:tcPr>
          <w:p>
            <w:pPr>
              <w:jc w:val="right"/>
              <w:ind w:right="2668"/>
              <w:spacing w:after="0"/>
              <w:rPr>
                <w:sz w:val="20"/>
                <w:szCs w:val="20"/>
                <w:color w:val="auto"/>
              </w:rPr>
            </w:pPr>
            <w:r>
              <w:rPr>
                <w:rFonts w:ascii="Arial" w:cs="Arial" w:eastAsia="Arial" w:hAnsi="Arial"/>
                <w:sz w:val="18"/>
                <w:szCs w:val="18"/>
                <w:color w:val="auto"/>
                <w:w w:val="88"/>
              </w:rPr>
              <w:t>Stock options and restricted share awards</w:t>
            </w:r>
          </w:p>
        </w:tc>
        <w:tc>
          <w:tcPr>
            <w:tcW w:w="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3"/>
              </w:rPr>
              <w:t>4,260</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4,260</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7,618</w:t>
            </w:r>
          </w:p>
        </w:tc>
      </w:tr>
      <w:tr>
        <w:trPr>
          <w:trHeight w:val="27"/>
        </w:trPr>
        <w:tc>
          <w:tcPr>
            <w:tcW w:w="48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Unrealized Gains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680" w:type="dxa"/>
            <w:vAlign w:val="bottom"/>
            <w:gridSpan w:val="2"/>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(Losses) on Available-</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Defined Benefit Pension</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4"/>
              </w:rPr>
              <w:t>for-Sale Debt</w:t>
            </w: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Investments (1)</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Accumulated other comprehensive income (loss) at December</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31, 2019</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23,935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200" w:type="dxa"/>
            <w:vAlign w:val="bottom"/>
          </w:tcPr>
          <w:p>
            <w:pPr>
              <w:spacing w:after="0"/>
              <w:rPr>
                <w:sz w:val="21"/>
                <w:szCs w:val="21"/>
                <w:color w:val="auto"/>
              </w:rPr>
            </w:pPr>
          </w:p>
        </w:tc>
        <w:tc>
          <w:tcPr>
            <w:tcW w:w="1480" w:type="dxa"/>
            <w:vAlign w:val="bottom"/>
          </w:tcPr>
          <w:p>
            <w:pPr>
              <w:jc w:val="right"/>
              <w:ind w:right="177"/>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880" w:type="dxa"/>
            <w:vAlign w:val="bottom"/>
          </w:tcPr>
          <w:p>
            <w:pPr>
              <w:ind w:left="4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77"/>
              <w:spacing w:after="0"/>
              <w:rPr>
                <w:sz w:val="20"/>
                <w:szCs w:val="20"/>
                <w:color w:val="auto"/>
              </w:rPr>
            </w:pPr>
            <w:r>
              <w:rPr>
                <w:rFonts w:ascii="Arial" w:cs="Arial" w:eastAsia="Arial" w:hAnsi="Arial"/>
                <w:sz w:val="18"/>
                <w:szCs w:val="18"/>
                <w:color w:val="auto"/>
              </w:rPr>
              <w:t>358</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Accumulated other comprehensive income (loss) at June 30,</w:t>
            </w:r>
          </w:p>
        </w:tc>
        <w:tc>
          <w:tcPr>
            <w:tcW w:w="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color w:val="auto"/>
              </w:rPr>
              <w:t>358</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23,711</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Defined Benefit Pension</w:t>
            </w: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4"/>
                <w:szCs w:val="24"/>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Accumulated other comprehensive income (loss) at December 31,</w:t>
            </w:r>
          </w:p>
        </w:tc>
        <w:tc>
          <w:tcPr>
            <w:tcW w:w="1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4880" w:type="dxa"/>
            <w:vAlign w:val="bottom"/>
          </w:tcPr>
          <w:p>
            <w:pPr>
              <w:ind w:left="4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w w:val="90"/>
              </w:rPr>
              <w:t>Accumulated other comprehensive income (loss) at June 30, 2019</w:t>
            </w:r>
          </w:p>
        </w:tc>
        <w:tc>
          <w:tcPr>
            <w:tcW w:w="14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24,847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171" w:lineRule="exact"/>
        <w:rPr>
          <w:rFonts w:ascii="Arial" w:cs="Arial" w:eastAsia="Arial" w:hAnsi="Arial"/>
          <w:sz w:val="18"/>
          <w:szCs w:val="18"/>
          <w:color w:val="auto"/>
        </w:rPr>
      </w:pPr>
    </w:p>
    <w:p>
      <w:pPr>
        <w:ind w:left="660" w:hanging="328"/>
        <w:spacing w:after="0" w:line="277" w:lineRule="auto"/>
        <w:tabs>
          <w:tab w:leader="none" w:pos="591"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w:t>
      </w:r>
    </w:p>
    <w:p>
      <w:pPr>
        <w:spacing w:after="0" w:line="35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our short-term investments in fixed income securities as available-for-sale debt investments, except for one foreign government security classified as held-to-maturity and recorded at amortized cost. All of our available-for-sale debt investments as of June 30, 2020 are available to fund current operations and are recorded at fair value (Note 13).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if and when a decline in value below the adjusted cost of our available-for-sale debt investments is an impairment, we evaluate on an ongoing basis the market conditions, trends of earnings, financial condition, credit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ratings, any underlying collateral and other key measures for our short-term investments.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4"/>
              </w:rPr>
              <w:t>June 30, 2020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39"/>
        </w:trPr>
        <w:tc>
          <w:tcPr>
            <w:tcW w:w="350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Gross Unrealized</w:t>
            </w:r>
          </w:p>
        </w:tc>
        <w:tc>
          <w:tcPr>
            <w:tcW w:w="12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Certificate of deposits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293,308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293,308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293,308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bonds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336,449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301,028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42,603</w:t>
            </w: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Certificate of deposits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12,989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12,989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12,989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43,245</w:t>
            </w: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114,901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115,206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115,206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16,255</w:t>
            </w: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agency bonds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bonds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0"/>
              <w:spacing w:after="0"/>
              <w:rPr>
                <w:sz w:val="20"/>
                <w:szCs w:val="20"/>
                <w:color w:val="auto"/>
              </w:rPr>
            </w:pPr>
            <w:r>
              <w:rPr>
                <w:rFonts w:ascii="Arial" w:cs="Arial" w:eastAsia="Arial" w:hAnsi="Arial"/>
                <w:sz w:val="18"/>
                <w:szCs w:val="18"/>
                <w:color w:val="auto"/>
              </w:rPr>
              <w:t>Variable rate demand notes</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305,809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306,197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253,179</w:t>
            </w:r>
          </w:p>
        </w:tc>
        <w:tc>
          <w:tcPr>
            <w:tcW w:w="0" w:type="dxa"/>
            <w:vAlign w:val="bottom"/>
          </w:tcPr>
          <w:p>
            <w:pPr>
              <w:spacing w:after="0"/>
              <w:rPr>
                <w:sz w:val="1"/>
                <w:szCs w:val="1"/>
                <w:color w:val="auto"/>
              </w:rPr>
            </w:pPr>
          </w:p>
        </w:tc>
      </w:tr>
      <w:tr>
        <w:trPr>
          <w:trHeight w:val="264"/>
        </w:trPr>
        <w:tc>
          <w:tcPr>
            <w:tcW w:w="3500" w:type="dxa"/>
            <w:vAlign w:val="bottom"/>
          </w:tcPr>
          <w:p>
            <w:pPr>
              <w:ind w:left="660"/>
              <w:spacing w:after="0"/>
              <w:rPr>
                <w:sz w:val="20"/>
                <w:szCs w:val="20"/>
                <w:color w:val="auto"/>
              </w:rPr>
            </w:pPr>
            <w:r>
              <w:rPr>
                <w:rFonts w:ascii="Arial" w:cs="Arial" w:eastAsia="Arial" w:hAnsi="Arial"/>
                <w:sz w:val="18"/>
                <w:szCs w:val="18"/>
                <w:color w:val="auto"/>
              </w:rPr>
              <w:t>Total (2)</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642,206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642,646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354,046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288,600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42"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2020, we increased our available-for-sale debt investments by $60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420" w:type="dxa"/>
            <w:vAlign w:val="bottom"/>
            <w:gridSpan w:val="2"/>
          </w:tcPr>
          <w:p>
            <w:pPr>
              <w:ind w:left="680"/>
              <w:spacing w:after="0"/>
              <w:rPr>
                <w:sz w:val="20"/>
                <w:szCs w:val="20"/>
                <w:color w:val="auto"/>
              </w:rPr>
            </w:pPr>
            <w:r>
              <w:rPr>
                <w:rFonts w:ascii="Arial" w:cs="Arial" w:eastAsia="Arial" w:hAnsi="Arial"/>
                <w:sz w:val="14"/>
                <w:szCs w:val="14"/>
                <w:b w:val="1"/>
                <w:bCs w:val="1"/>
                <w:color w:val="auto"/>
              </w:rPr>
              <w:t>Amortized Cost</w:t>
            </w:r>
          </w:p>
        </w:tc>
        <w:tc>
          <w:tcPr>
            <w:tcW w:w="2340" w:type="dxa"/>
            <w:vAlign w:val="bottom"/>
          </w:tcPr>
          <w:p>
            <w:pPr>
              <w:jc w:val="right"/>
              <w:ind w:right="75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23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608,074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608,470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2320" w:type="dxa"/>
            <w:vAlign w:val="bottom"/>
          </w:tcPr>
          <w:p>
            <w:pPr>
              <w:jc w:val="right"/>
              <w:ind w:right="74"/>
              <w:spacing w:after="0"/>
              <w:rPr>
                <w:sz w:val="20"/>
                <w:szCs w:val="20"/>
                <w:color w:val="auto"/>
              </w:rPr>
            </w:pPr>
            <w:r>
              <w:rPr>
                <w:rFonts w:ascii="Arial" w:cs="Arial" w:eastAsia="Arial" w:hAnsi="Arial"/>
                <w:sz w:val="18"/>
                <w:szCs w:val="18"/>
                <w:color w:val="auto"/>
              </w:rPr>
              <w:t>31,691</w:t>
            </w:r>
          </w:p>
        </w:tc>
        <w:tc>
          <w:tcPr>
            <w:tcW w:w="100" w:type="dxa"/>
            <w:vAlign w:val="bottom"/>
          </w:tcPr>
          <w:p>
            <w:pPr>
              <w:spacing w:after="0"/>
              <w:rPr>
                <w:sz w:val="21"/>
                <w:szCs w:val="21"/>
                <w:color w:val="auto"/>
              </w:rPr>
            </w:pPr>
          </w:p>
        </w:tc>
        <w:tc>
          <w:tcPr>
            <w:tcW w:w="2340" w:type="dxa"/>
            <w:vAlign w:val="bottom"/>
          </w:tcPr>
          <w:p>
            <w:pPr>
              <w:jc w:val="right"/>
              <w:ind w:right="74"/>
              <w:spacing w:after="0"/>
              <w:rPr>
                <w:sz w:val="20"/>
                <w:szCs w:val="20"/>
                <w:color w:val="auto"/>
              </w:rPr>
            </w:pPr>
            <w:r>
              <w:rPr>
                <w:rFonts w:ascii="Arial" w:cs="Arial" w:eastAsia="Arial" w:hAnsi="Arial"/>
                <w:sz w:val="18"/>
                <w:szCs w:val="18"/>
                <w:color w:val="auto"/>
              </w:rPr>
              <w:t>31,739</w:t>
            </w:r>
          </w:p>
        </w:tc>
      </w:tr>
      <w:tr>
        <w:trPr>
          <w:trHeight w:val="27"/>
        </w:trPr>
        <w:tc>
          <w:tcPr>
            <w:tcW w:w="64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2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2,437</w:t>
            </w:r>
          </w:p>
        </w:tc>
      </w:tr>
      <w:tr>
        <w:trPr>
          <w:trHeight w:val="263"/>
        </w:trPr>
        <w:tc>
          <w:tcPr>
            <w:tcW w:w="6480" w:type="dxa"/>
            <w:vAlign w:val="bottom"/>
          </w:tcPr>
          <w:p>
            <w:pPr>
              <w:ind w:left="22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642,206</w:t>
            </w:r>
          </w:p>
        </w:tc>
        <w:tc>
          <w:tcPr>
            <w:tcW w:w="10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642,646</w:t>
            </w:r>
          </w:p>
        </w:tc>
      </w:tr>
      <w:tr>
        <w:trPr>
          <w:trHeight w:val="21"/>
        </w:trPr>
        <w:tc>
          <w:tcPr>
            <w:tcW w:w="648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the issuers may have the right to call or prepay obligations without call or prepayment penalties, and we view our available-for-sale debt investments as available for current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 amortized cost and the fair market value of our held-to-maturity security (Level 1) maturing within a year is $4.4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investments as of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r>
      <w:tr>
        <w:trPr>
          <w:trHeight w:val="196"/>
        </w:trPr>
        <w:tc>
          <w:tcPr>
            <w:tcW w:w="9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1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 money market funds (Level 1)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384,474</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Short-term investment government bond (Level 2) (2)</w:t>
            </w:r>
          </w:p>
        </w:tc>
        <w:tc>
          <w:tcPr>
            <w:tcW w:w="180" w:type="dxa"/>
            <w:vAlign w:val="bottom"/>
          </w:tcPr>
          <w:p>
            <w:pPr>
              <w:spacing w:after="0"/>
              <w:rPr>
                <w:sz w:val="21"/>
                <w:szCs w:val="21"/>
                <w:color w:val="auto"/>
              </w:rPr>
            </w:pPr>
          </w:p>
        </w:tc>
        <w:tc>
          <w:tcPr>
            <w:tcW w:w="1500" w:type="dxa"/>
            <w:vAlign w:val="bottom"/>
          </w:tcPr>
          <w:p>
            <w:pPr>
              <w:jc w:val="right"/>
              <w:ind w:right="79"/>
              <w:spacing w:after="0"/>
              <w:rPr>
                <w:sz w:val="20"/>
                <w:szCs w:val="20"/>
                <w:color w:val="auto"/>
              </w:rPr>
            </w:pPr>
            <w:r>
              <w:rPr>
                <w:rFonts w:ascii="Arial" w:cs="Arial" w:eastAsia="Arial" w:hAnsi="Arial"/>
                <w:sz w:val="18"/>
                <w:szCs w:val="18"/>
                <w:color w:val="auto"/>
              </w:rPr>
              <w:t>6,348</w:t>
            </w:r>
          </w:p>
        </w:tc>
      </w:tr>
    </w:tbl>
    <w:p>
      <w:pPr>
        <w:spacing w:after="0" w:line="175" w:lineRule="exact"/>
        <w:rPr>
          <w:sz w:val="20"/>
          <w:szCs w:val="20"/>
          <w:color w:val="auto"/>
        </w:rPr>
      </w:pPr>
    </w:p>
    <w:p>
      <w:pPr>
        <w:jc w:val="both"/>
        <w:ind w:left="660" w:hanging="328"/>
        <w:spacing w:after="0" w:line="286" w:lineRule="auto"/>
        <w:tabs>
          <w:tab w:leader="none" w:pos="654"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cash equivalent money market funds (Level 1) at December 31, 2019 have been corrected to include $286.7 million of cash equivalents that were excluded in previously reported amounts. There was no change to total cash and cash equivalents reported on our consolidated balance sheet. We determined this was immaterial to the prior period but have presented the balance as revised for comparability.</w:t>
      </w:r>
    </w:p>
    <w:p>
      <w:pPr>
        <w:spacing w:after="0" w:line="111" w:lineRule="exact"/>
        <w:rPr>
          <w:rFonts w:ascii="Arial" w:cs="Arial" w:eastAsia="Arial" w:hAnsi="Arial"/>
          <w:sz w:val="17"/>
          <w:szCs w:val="17"/>
          <w:color w:val="auto"/>
        </w:rPr>
      </w:pPr>
    </w:p>
    <w:p>
      <w:pPr>
        <w:ind w:left="640" w:hanging="308"/>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fair market value of the security is $6.3 million.</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Factoring of Accounts Receivable</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six months ended June 30, 2020, we sold receivables totaling $94.0 million and $264.5 million, net of discounts and fees of $0.6 million and $1.6 million, respectively. For the three and six months ended June 30, 2019, we sold receivables totaling $149.1 million and $304.8 million, net of discounts and fees of $1.1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17" w:lineRule="exact"/>
        <w:rPr>
          <w:sz w:val="20"/>
          <w:szCs w:val="20"/>
          <w:color w:val="auto"/>
        </w:rPr>
      </w:pPr>
    </w:p>
    <w:p>
      <w:pPr>
        <w:jc w:val="right"/>
        <w:ind w:right="240"/>
        <w:spacing w:after="0"/>
        <w:tabs>
          <w:tab w:leader="none" w:pos="114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23495</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Software and computer equipment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fixtures and other equipment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Construction in progress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property, plant and equipment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depreciation and amortization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depreciation expense: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219,969</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219,785</w:t>
            </w:r>
          </w:p>
        </w:tc>
        <w:tc>
          <w:tcPr>
            <w:tcW w:w="60" w:type="dxa"/>
            <w:vAlign w:val="bottom"/>
          </w:tcPr>
          <w:p>
            <w:pPr>
              <w:spacing w:after="0"/>
              <w:rPr>
                <w:sz w:val="20"/>
                <w:szCs w:val="20"/>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1,585,915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1,571,653</w:t>
            </w:r>
          </w:p>
        </w:tc>
        <w:tc>
          <w:tcPr>
            <w:tcW w:w="6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5,502,380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5,303,729</w:t>
            </w:r>
          </w:p>
        </w:tc>
        <w:tc>
          <w:tcPr>
            <w:tcW w:w="6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34,854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34,158</w:t>
            </w:r>
          </w:p>
        </w:tc>
        <w:tc>
          <w:tcPr>
            <w:tcW w:w="6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224,265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220,264</w:t>
            </w:r>
          </w:p>
        </w:tc>
        <w:tc>
          <w:tcPr>
            <w:tcW w:w="6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20,293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19,740</w:t>
            </w:r>
          </w:p>
        </w:tc>
        <w:tc>
          <w:tcPr>
            <w:tcW w:w="6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52,719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12,593</w:t>
            </w:r>
          </w:p>
        </w:tc>
        <w:tc>
          <w:tcPr>
            <w:tcW w:w="60" w:type="dxa"/>
            <w:vAlign w:val="bottom"/>
          </w:tcPr>
          <w:p>
            <w:pPr>
              <w:spacing w:after="0"/>
              <w:rPr>
                <w:sz w:val="23"/>
                <w:szCs w:val="23"/>
                <w:color w:val="auto"/>
              </w:rPr>
            </w:pPr>
          </w:p>
        </w:tc>
      </w:tr>
      <w:tr>
        <w:trPr>
          <w:trHeight w:val="27"/>
        </w:trPr>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7,640,395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7,381,922</w:t>
            </w:r>
          </w:p>
        </w:tc>
        <w:tc>
          <w:tcPr>
            <w:tcW w:w="60" w:type="dxa"/>
            <w:vAlign w:val="bottom"/>
          </w:tcPr>
          <w:p>
            <w:pPr>
              <w:spacing w:after="0"/>
              <w:rPr>
                <w:sz w:val="20"/>
                <w:szCs w:val="20"/>
                <w:color w:val="auto"/>
              </w:rPr>
            </w:pPr>
          </w:p>
        </w:tc>
      </w:tr>
      <w:tr>
        <w:trPr>
          <w:trHeight w:val="270"/>
        </w:trPr>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w w:val="99"/>
              </w:rPr>
              <w:t>(5,168,418)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(4,977,072)</w:t>
            </w:r>
          </w:p>
        </w:tc>
        <w:tc>
          <w:tcPr>
            <w:tcW w:w="60" w:type="dxa"/>
            <w:vAlign w:val="bottom"/>
          </w:tcPr>
          <w:p>
            <w:pPr>
              <w:spacing w:after="0"/>
              <w:rPr>
                <w:sz w:val="23"/>
                <w:szCs w:val="23"/>
                <w:color w:val="auto"/>
              </w:rPr>
            </w:pPr>
          </w:p>
        </w:tc>
      </w:tr>
      <w:tr>
        <w:trPr>
          <w:trHeight w:val="27"/>
        </w:trPr>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1600" w:type="dxa"/>
            <w:vAlign w:val="bottom"/>
          </w:tcPr>
          <w:p>
            <w:pPr>
              <w:spacing w:after="0"/>
              <w:rPr>
                <w:sz w:val="20"/>
                <w:szCs w:val="20"/>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2,471,977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2,404,850</w:t>
            </w:r>
          </w:p>
        </w:tc>
        <w:tc>
          <w:tcPr>
            <w:tcW w:w="60" w:type="dxa"/>
            <w:vAlign w:val="bottom"/>
          </w:tcPr>
          <w:p>
            <w:pPr>
              <w:spacing w:after="0"/>
              <w:rPr>
                <w:sz w:val="20"/>
                <w:szCs w:val="20"/>
                <w:color w:val="auto"/>
              </w:rPr>
            </w:pPr>
          </w:p>
        </w:tc>
      </w:tr>
      <w:tr>
        <w:trPr>
          <w:trHeight w:val="27"/>
        </w:trPr>
        <w:tc>
          <w:tcPr>
            <w:tcW w:w="314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
        </w:trPr>
        <w:tc>
          <w:tcPr>
            <w:tcW w:w="3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757"/>
        </w:trPr>
        <w:tc>
          <w:tcPr>
            <w:tcW w:w="3740" w:type="dxa"/>
            <w:vAlign w:val="bottom"/>
            <w:gridSpan w:val="5"/>
          </w:tcPr>
          <w:p>
            <w:pPr>
              <w:ind w:left="420"/>
              <w:spacing w:after="0"/>
              <w:rPr>
                <w:sz w:val="20"/>
                <w:szCs w:val="20"/>
                <w:color w:val="auto"/>
              </w:rPr>
            </w:pPr>
            <w:r>
              <w:rPr>
                <w:rFonts w:ascii="Arial" w:cs="Arial" w:eastAsia="Arial" w:hAnsi="Arial"/>
                <w:sz w:val="14"/>
                <w:szCs w:val="14"/>
                <w:b w:val="1"/>
                <w:bCs w:val="1"/>
                <w:color w:val="auto"/>
              </w:rPr>
              <w:t>For the Three Months Ended June 30,</w:t>
            </w:r>
          </w:p>
        </w:tc>
        <w:tc>
          <w:tcPr>
            <w:tcW w:w="28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16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190"/>
        </w:trPr>
        <w:tc>
          <w:tcPr>
            <w:tcW w:w="1600" w:type="dxa"/>
            <w:vAlign w:val="bottom"/>
          </w:tcPr>
          <w:p>
            <w:pPr>
              <w:spacing w:after="0"/>
              <w:rPr>
                <w:sz w:val="16"/>
                <w:szCs w:val="16"/>
                <w:color w:val="auto"/>
              </w:rPr>
            </w:pPr>
          </w:p>
        </w:tc>
        <w:tc>
          <w:tcPr>
            <w:tcW w:w="2140" w:type="dxa"/>
            <w:vAlign w:val="bottom"/>
            <w:gridSpan w:val="4"/>
          </w:tcPr>
          <w:p>
            <w:pPr>
              <w:ind w:left="1200"/>
              <w:spacing w:after="0"/>
              <w:rPr>
                <w:sz w:val="20"/>
                <w:szCs w:val="20"/>
                <w:color w:val="auto"/>
              </w:rPr>
            </w:pPr>
            <w:r>
              <w:rPr>
                <w:rFonts w:ascii="Arial" w:cs="Arial" w:eastAsia="Arial" w:hAnsi="Arial"/>
                <w:sz w:val="14"/>
                <w:szCs w:val="14"/>
                <w:b w:val="1"/>
                <w:bCs w:val="1"/>
                <w:color w:val="auto"/>
                <w:w w:val="95"/>
              </w:rPr>
              <w:t>(In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-2177415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-1834515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-1491615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-1140460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20" w:space="480"/>
            <w:col w:w="65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0" w:type="dxa"/>
            <w:vAlign w:val="bottom"/>
          </w:tcPr>
          <w:p>
            <w:pPr>
              <w:spacing w:after="0"/>
              <w:rPr>
                <w:sz w:val="22"/>
                <w:szCs w:val="22"/>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124,224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132,642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247,725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268,139</w:t>
            </w:r>
          </w:p>
        </w:tc>
        <w:tc>
          <w:tcPr>
            <w:tcW w:w="60" w:type="dxa"/>
            <w:vAlign w:val="bottom"/>
          </w:tcPr>
          <w:p>
            <w:pPr>
              <w:spacing w:after="0"/>
              <w:rPr>
                <w:sz w:val="22"/>
                <w:szCs w:val="22"/>
                <w:color w:val="auto"/>
              </w:rPr>
            </w:pPr>
          </w:p>
        </w:tc>
      </w:tr>
      <w:tr>
        <w:trPr>
          <w:trHeight w:val="78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39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c>
          <w:tcPr>
            <w:tcW w:w="60" w:type="dxa"/>
            <w:vAlign w:val="bottom"/>
            <w:tcBorders>
              <w:bottom w:val="single" w:sz="8" w:color="auto"/>
            </w:tcBorders>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4"/>
          </w:tcPr>
          <w:p>
            <w:pPr>
              <w:jc w:val="right"/>
              <w:ind w:right="111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r>
      <w:tr>
        <w:trPr>
          <w:trHeight w:val="256"/>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1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115,693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43,251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40,972</w:t>
            </w:r>
          </w:p>
        </w:tc>
        <w:tc>
          <w:tcPr>
            <w:tcW w:w="60" w:type="dxa"/>
            <w:vAlign w:val="bottom"/>
          </w:tcPr>
          <w:p>
            <w:pPr>
              <w:spacing w:after="0"/>
              <w:rPr>
                <w:sz w:val="21"/>
                <w:szCs w:val="21"/>
                <w:color w:val="auto"/>
              </w:rPr>
            </w:pPr>
          </w:p>
        </w:tc>
      </w:tr>
      <w:tr>
        <w:trPr>
          <w:trHeight w:val="27"/>
        </w:trPr>
        <w:tc>
          <w:tcPr>
            <w:tcW w:w="39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Deferred revenue and customer advances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14,968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16,177</w:t>
            </w:r>
          </w:p>
        </w:tc>
        <w:tc>
          <w:tcPr>
            <w:tcW w:w="60" w:type="dxa"/>
            <w:vAlign w:val="bottom"/>
          </w:tcPr>
          <w:p>
            <w:pPr>
              <w:spacing w:after="0"/>
              <w:rPr>
                <w:sz w:val="21"/>
                <w:szCs w:val="21"/>
                <w:color w:val="auto"/>
              </w:rPr>
            </w:pPr>
          </w:p>
        </w:tc>
      </w:tr>
      <w:tr>
        <w:trPr>
          <w:trHeight w:val="27"/>
        </w:trPr>
        <w:tc>
          <w:tcPr>
            <w:tcW w:w="39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Accrued severance plan obligations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13,408</w:t>
            </w:r>
          </w:p>
        </w:tc>
        <w:tc>
          <w:tcPr>
            <w:tcW w:w="60" w:type="dxa"/>
            <w:vAlign w:val="bottom"/>
          </w:tcPr>
          <w:p>
            <w:pPr>
              <w:spacing w:after="0"/>
              <w:rPr>
                <w:sz w:val="21"/>
                <w:szCs w:val="21"/>
                <w:color w:val="auto"/>
              </w:rPr>
            </w:pPr>
          </w:p>
        </w:tc>
      </w:tr>
      <w:tr>
        <w:trPr>
          <w:trHeight w:val="27"/>
        </w:trPr>
        <w:tc>
          <w:tcPr>
            <w:tcW w:w="39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57,749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48,556</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88"/>
        </w:trPr>
        <w:tc>
          <w:tcPr>
            <w:tcW w:w="6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accrued expenses</w:t>
            </w:r>
          </w:p>
        </w:tc>
        <w:tc>
          <w:tcPr>
            <w:tcW w:w="1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291,278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267,226</w:t>
            </w:r>
          </w:p>
        </w:tc>
        <w:tc>
          <w:tcPr>
            <w:tcW w:w="60" w:type="dxa"/>
            <w:vAlign w:val="bottom"/>
            <w:tcBorders>
              <w:bottom w:val="single" w:sz="8" w:color="auto"/>
            </w:tcBorders>
            <w:shd w:val="clear" w:color="auto" w:fill="CCEEFF"/>
          </w:tcPr>
          <w:p>
            <w:pPr>
              <w:spacing w:after="0"/>
              <w:rPr>
                <w:sz w:val="24"/>
                <w:szCs w:val="24"/>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4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6.625% Senior notes, due September 2027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Debt of subsidiaries: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Amkor Technology Korea, Inc.:</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460"/>
              <w:spacing w:after="0"/>
              <w:rPr>
                <w:sz w:val="20"/>
                <w:szCs w:val="20"/>
                <w:color w:val="auto"/>
              </w:rPr>
            </w:pPr>
            <w:r>
              <w:rPr>
                <w:rFonts w:ascii="Arial" w:cs="Arial" w:eastAsia="Arial" w:hAnsi="Arial"/>
                <w:sz w:val="18"/>
                <w:szCs w:val="18"/>
                <w:color w:val="auto"/>
              </w:rPr>
              <w:t>$30 million revolving credit facility, LIBOR plus the applicable bank rate (1)</w:t>
            </w:r>
          </w:p>
        </w:tc>
        <w:tc>
          <w:tcPr>
            <w:tcW w:w="30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$30 million revolving credit facility, applicable bank rate plus 1.51% (2)</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fund floating rate plus 1.60%, due June 2020 (3)</w:t>
            </w:r>
          </w:p>
        </w:tc>
        <w:tc>
          <w:tcPr>
            <w:tcW w:w="30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1.80%, due May 2021 (4)</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applicable bank rate plus 2.03%, due July 2022</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applicable bank rate plus 2.03%, due September 2022 (5)</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applicable bank rate plus 1.77%, due April 2023 (6)</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124,715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LIBOR plus 2.56%, due December 2023 (7)</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applicable bank rate plus 1.98%, due December 2028 (3)</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Amkor Technology Japan, Inc.:</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Short-term term loans, variable rate (8)</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0.86%, due June 2022</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18,531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fixed rate at 0.60%, due July 2022</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1.30%, due July 2023</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156,583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179,541</w:t>
            </w: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fixed rate at 1.35%, due December 2024 (7)</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237,654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262,407</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480"/>
              <w:spacing w:after="0"/>
              <w:rPr>
                <w:sz w:val="20"/>
                <w:szCs w:val="20"/>
                <w:color w:val="auto"/>
              </w:rPr>
            </w:pPr>
            <w:r>
              <w:rPr>
                <w:rFonts w:ascii="Arial" w:cs="Arial" w:eastAsia="Arial" w:hAnsi="Arial"/>
                <w:sz w:val="18"/>
                <w:szCs w:val="18"/>
                <w:color w:val="auto"/>
              </w:rPr>
              <w:t>Term loan, LIBOR plus 1.60%, due March 2022</w:t>
            </w:r>
          </w:p>
        </w:tc>
        <w:tc>
          <w:tcPr>
            <w:tcW w:w="300" w:type="dxa"/>
            <w:vAlign w:val="bottom"/>
          </w:tcPr>
          <w:p>
            <w:pPr>
              <w:spacing w:after="0"/>
              <w:rPr>
                <w:sz w:val="23"/>
                <w:szCs w:val="23"/>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LIBOR Plus 1.40%, due March 2022</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19,250</w:t>
            </w:r>
          </w:p>
        </w:tc>
        <w:tc>
          <w:tcPr>
            <w:tcW w:w="0" w:type="dxa"/>
            <w:vAlign w:val="bottom"/>
          </w:tcPr>
          <w:p>
            <w:pPr>
              <w:spacing w:after="0"/>
              <w:rPr>
                <w:sz w:val="1"/>
                <w:szCs w:val="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9"/>
              </w:rPr>
              <w:t>$250.0 million senior secured revolving credit facility, LIBOR plus 1.25% - 1.75%, due July 2023</w:t>
            </w:r>
          </w:p>
        </w:tc>
        <w:tc>
          <w:tcPr>
            <w:tcW w:w="3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(Singapore) (9)</w:t>
            </w:r>
          </w:p>
        </w:tc>
        <w:tc>
          <w:tcPr>
            <w:tcW w:w="3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w w:val="99"/>
              </w:rPr>
              <w:t>Revolving credit facility, TAIFX plus the applicable bank rate, due December 2024 (Taiwan) (10)</w:t>
            </w:r>
          </w:p>
        </w:tc>
        <w:tc>
          <w:tcPr>
            <w:tcW w:w="3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1,554,664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1,460,351</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3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(144,479)</w:t>
            </w:r>
          </w:p>
        </w:tc>
        <w:tc>
          <w:tcPr>
            <w:tcW w:w="0" w:type="dxa"/>
            <w:vAlign w:val="bottom"/>
          </w:tcPr>
          <w:p>
            <w:pPr>
              <w:spacing w:after="0"/>
              <w:rPr>
                <w:sz w:val="1"/>
                <w:szCs w:val="1"/>
                <w:color w:val="auto"/>
              </w:rPr>
            </w:pPr>
          </w:p>
        </w:tc>
      </w:tr>
      <w:tr>
        <w:trPr>
          <w:trHeight w:val="264"/>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1,396,389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1,305,755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20" w:hanging="328"/>
        <w:spacing w:after="0" w:line="286" w:lineRule="auto"/>
        <w:tabs>
          <w:tab w:leader="none" w:pos="65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2019, we renewed our revolving credit facility agreement with availability of $30.0 million which expires in October 2020. Principal is payable at maturity, six months after draw of funds, and interest is payable monthly in arrears. During the six months ended June 30, 2020, we borrowed $30.0 million and repaid the full $30.0 million. As of June 30, 2020, $30.0 million was available to be drawn.</w:t>
      </w:r>
    </w:p>
    <w:p>
      <w:pPr>
        <w:spacing w:after="0" w:line="111" w:lineRule="exact"/>
        <w:rPr>
          <w:rFonts w:ascii="Arial" w:cs="Arial" w:eastAsia="Arial" w:hAnsi="Arial"/>
          <w:sz w:val="17"/>
          <w:szCs w:val="17"/>
          <w:color w:val="auto"/>
        </w:rPr>
      </w:pPr>
    </w:p>
    <w:p>
      <w:pPr>
        <w:ind w:left="660" w:hanging="328"/>
        <w:spacing w:after="0" w:line="277"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May 2020, we entered into a revolving credit facility agreement with availability of $30.0 million which expires in December 2020. Principal is payable at maturity and interest is payable monthly in arrears, at 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applicable bank rate plus 1.51%. During the three months ended June 30, 2020, we borrowed the entire $30.0 million at a weighted interest rate of 2.21%, which is due September 2020.</w:t>
      </w:r>
    </w:p>
    <w:p>
      <w:pPr>
        <w:spacing w:after="0" w:line="116" w:lineRule="exact"/>
        <w:rPr>
          <w:sz w:val="20"/>
          <w:szCs w:val="20"/>
          <w:color w:val="auto"/>
        </w:rPr>
      </w:pPr>
    </w:p>
    <w:p>
      <w:pPr>
        <w:jc w:val="both"/>
        <w:ind w:left="660" w:hanging="328"/>
        <w:spacing w:after="0" w:line="286"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December 2018, we entered into a term loan agreement pursuant to which we may borrow up to $90.0 million for capital expenditures. Principal is payable in semiannual installments and interest is payable quarterly in arrears (fixed at a weighted average of 4.21% as of June 30, 2020). During the six months ended June 30, 2020, we drew down the remaining $24.0 million to repay our term loan due June 2020.</w:t>
      </w:r>
    </w:p>
    <w:p>
      <w:pPr>
        <w:spacing w:after="0" w:line="78" w:lineRule="exact"/>
        <w:rPr>
          <w:rFonts w:ascii="Arial" w:cs="Arial" w:eastAsia="Arial" w:hAnsi="Arial"/>
          <w:sz w:val="17"/>
          <w:szCs w:val="17"/>
          <w:color w:val="auto"/>
        </w:rPr>
      </w:pPr>
    </w:p>
    <w:p>
      <w:pPr>
        <w:jc w:val="both"/>
        <w:ind w:left="660" w:hanging="328"/>
        <w:spacing w:after="0" w:line="294"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May 2020, we entered into a KRW ₩60 billion term loan agreement with the option to re-borrow the funds through May 2021. Principal is payable at maturity and interest is payable monthly in arrears, at a fixed rate of 1.80%. During the three months ended June 30, 2020, we borrowed and repaid ₩60 billion ($48.4 million). As of June 30, 2020, ₩60 billion was available to be drawn.</w:t>
      </w:r>
    </w:p>
    <w:p>
      <w:pPr>
        <w:spacing w:after="0" w:line="81"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2019, we entered into a $140.0 million term loan due September 2022. Principal is payable at maturity, and interest is payable quarterly in arrears (fixed at a weighted average of 2.94% as of June 30, 2020). During the six months ended June 30, 2020, we borrowed the remaining $80.0 million available under this loan.</w:t>
      </w:r>
    </w:p>
    <w:p>
      <w:pPr>
        <w:spacing w:after="0" w:line="96" w:lineRule="exact"/>
        <w:rPr>
          <w:rFonts w:ascii="Arial" w:cs="Arial" w:eastAsia="Arial" w:hAnsi="Arial"/>
          <w:sz w:val="18"/>
          <w:szCs w:val="18"/>
          <w:color w:val="auto"/>
        </w:rPr>
      </w:pPr>
    </w:p>
    <w:p>
      <w:pPr>
        <w:ind w:left="660" w:right="20" w:hanging="328"/>
        <w:spacing w:after="0" w:line="338"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2020, we entered into a KRW ₩150 billion term loan due April 2023. Principal is payable at maturity and interest is payable monthly in arrears (2.87% as of June 30, 2020). We immediately borrowed the full ₩150 billion ($124.7 million).</w:t>
      </w:r>
    </w:p>
    <w:p>
      <w:pPr>
        <w:spacing w:after="0" w:line="43"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2020, we used proceeds from our term loan due December 2024 to repay $120.0 million of our term loan due December 2023.</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June 30, 2020 is at TIBOR plus 0.10% to 0.20% (weighted average of 0.18% as of June 30, 2020). As of June 30, 2020, $6.5 million was available to be drawn.</w:t>
      </w:r>
    </w:p>
    <w:p>
      <w:pPr>
        <w:spacing w:after="0" w:line="129" w:lineRule="exact"/>
        <w:rPr>
          <w:rFonts w:ascii="Arial" w:cs="Arial" w:eastAsia="Arial" w:hAnsi="Arial"/>
          <w:sz w:val="18"/>
          <w:szCs w:val="18"/>
          <w:color w:val="auto"/>
        </w:rPr>
      </w:pPr>
    </w:p>
    <w:p>
      <w:pPr>
        <w:jc w:val="both"/>
        <w:ind w:left="660" w:hanging="328"/>
        <w:spacing w:after="0" w:line="279"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During the six months ended June 30, 2020, we borrowed and repaid $150.0 million. As of June 30, 2020, $250.0 million was available to be drawn.</w:t>
      </w:r>
    </w:p>
    <w:p>
      <w:pPr>
        <w:spacing w:after="0" w:line="117" w:lineRule="exact"/>
        <w:rPr>
          <w:rFonts w:ascii="Arial" w:cs="Arial" w:eastAsia="Arial" w:hAnsi="Arial"/>
          <w:sz w:val="17"/>
          <w:szCs w:val="17"/>
          <w:color w:val="auto"/>
        </w:rPr>
      </w:pPr>
    </w:p>
    <w:p>
      <w:pPr>
        <w:jc w:val="both"/>
        <w:ind w:left="660" w:hanging="328"/>
        <w:spacing w:after="0" w:line="279" w:lineRule="auto"/>
        <w:tabs>
          <w:tab w:leader="none" w:pos="6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December 2019, we entered into a $56.0 million revolving credit facility. Interest is payable monthly at TAIFX plus the applicable bank rate (2.78% as of June 30, 2020). In December 2019, we borrowed $20.0 million with the principal payable at maturity of the facility in December 2024. During the six months ended June 30, 2020 we borrowed, repaid and re-borrowed the remaining $36.0 million at a lower interest rate, with the principal payable in December 2024, based on incurring a certain level of qualified eligible transactions.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From time to time, Amkor Technology, Inc. and Amkor Technology Singapore Holding Pte, Ltd. guarantee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440" w:type="dxa"/>
            <w:vAlign w:val="bottom"/>
          </w:tcPr>
          <w:p>
            <w:pPr>
              <w:spacing w:after="0"/>
              <w:rPr>
                <w:sz w:val="16"/>
                <w:szCs w:val="16"/>
                <w:color w:val="auto"/>
              </w:rPr>
            </w:pPr>
          </w:p>
        </w:tc>
        <w:tc>
          <w:tcPr>
            <w:tcW w:w="27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96"/>
        </w:trPr>
        <w:tc>
          <w:tcPr>
            <w:tcW w:w="47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15,766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2,629</w:t>
            </w: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26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(188)</w:t>
            </w:r>
          </w:p>
        </w:tc>
      </w:tr>
      <w:tr>
        <w:trPr>
          <w:trHeight w:val="27"/>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14,847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14,994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440" w:type="dxa"/>
            <w:vAlign w:val="bottom"/>
          </w:tcPr>
          <w:p>
            <w:pPr>
              <w:spacing w:after="0"/>
              <w:rPr>
                <w:sz w:val="16"/>
                <w:szCs w:val="16"/>
                <w:color w:val="auto"/>
              </w:rPr>
            </w:pPr>
          </w:p>
        </w:tc>
        <w:tc>
          <w:tcPr>
            <w:tcW w:w="274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96"/>
        </w:trPr>
        <w:tc>
          <w:tcPr>
            <w:tcW w:w="47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96"/>
        </w:trPr>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 expense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3,725</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3,352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8,541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7,756</w:t>
            </w:r>
          </w:p>
        </w:tc>
      </w:tr>
      <w:tr>
        <w:trPr>
          <w:trHeight w:val="27"/>
        </w:trPr>
        <w:tc>
          <w:tcPr>
            <w:tcW w:w="4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Short-term investments, including money market funds (Note 7), are valued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using quoted market prices in active markets for identical assets.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using quoted market prices for similar instruments or non-binding market prices that are corroborated by observable market data. We use inputs such as actual trade data, benchmark yields, broker/dealer quotes, and other similar data, which are obtained from quoted market prices, and independent pricing vendors to determine the fair value of these assets and liabilities.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3"/>
                <w:szCs w:val="13"/>
                <w:color w:val="auto"/>
              </w:rPr>
            </w:pPr>
          </w:p>
        </w:tc>
        <w:tc>
          <w:tcPr>
            <w:tcW w:w="120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1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2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r>
      <w:tr>
        <w:trPr>
          <w:trHeight w:val="196"/>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563,425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515,597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576,875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519,211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3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1,034,445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8"/>
                <w:szCs w:val="18"/>
                <w:color w:val="auto"/>
              </w:rPr>
              <w:t>1,029,664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940,756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931,023</w:t>
            </w:r>
          </w:p>
        </w:tc>
      </w:tr>
      <w:tr>
        <w:trPr>
          <w:trHeight w:val="27"/>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1,597,870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1,545,261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1,517,631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1,450,234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Other Exit Activities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translation adjustments.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2020, we recorded restructuring charges of $1.9 million and $3.8 million, respectively, associated with our Japan factory consolidation efforts. We recorded these charges to selling, general and administrative expenses within the Consolidated Statements of Income. All amounts accrued at June 30, 2020 are classified as current liabilities. We expect to complete our restructuring actions in the first half of fiscal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Employee</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Facility Costs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Separation</w:t>
            </w:r>
          </w:p>
        </w:tc>
        <w:tc>
          <w:tcPr>
            <w:tcW w:w="120" w:type="dxa"/>
            <w:vAlign w:val="bottom"/>
          </w:tcPr>
          <w:p>
            <w:pPr>
              <w:spacing w:after="0"/>
              <w:rPr>
                <w:sz w:val="12"/>
                <w:szCs w:val="12"/>
                <w:color w:val="auto"/>
              </w:rPr>
            </w:pPr>
          </w:p>
        </w:tc>
        <w:tc>
          <w:tcPr>
            <w:tcW w:w="14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Other Exit Costs (2)</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23"/>
                <w:szCs w:val="23"/>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70"/>
        </w:trPr>
        <w:tc>
          <w:tcPr>
            <w:tcW w:w="4760" w:type="dxa"/>
            <w:vAlign w:val="bottom"/>
          </w:tcPr>
          <w:p>
            <w:pPr>
              <w:ind w:left="140"/>
              <w:spacing w:after="0"/>
              <w:rPr>
                <w:sz w:val="20"/>
                <w:szCs w:val="20"/>
                <w:color w:val="auto"/>
              </w:rPr>
            </w:pPr>
            <w:r>
              <w:rPr>
                <w:rFonts w:ascii="Arial" w:cs="Arial" w:eastAsia="Arial" w:hAnsi="Arial"/>
                <w:sz w:val="18"/>
                <w:szCs w:val="18"/>
                <w:color w:val="auto"/>
              </w:rPr>
              <w:t>Non-cash Amounts</w:t>
            </w:r>
          </w:p>
        </w:tc>
        <w:tc>
          <w:tcPr>
            <w:tcW w:w="18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8"/>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June 30,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1,447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the restructuring actions.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the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80"/>
        <w:spacing w:after="0" w:line="440"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end market where semiconductor content continues to grow and in the analog area for our mainstream wirebond technologies.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and in December 2015, we completed the acquisition of our Japan operations. We believe that taking advantage of these opportunities helps diversify our revenue streams, improve our profits, broaden our portfolio of services and maintain our technological leadership.</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 smartphone inventory correction that impacted the first half of 2019 had recovered and that, prior to the Covid-19 outbreak, the general semiconductor market was nearing stabilization and likely to resume growth going forward.</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demand for our services was strong throughout the second quarter of 2020 in the communications and consumer end markets. We experienced only minor Covid-19 related disruptions to our operations during the period, principally as a result of isolated supply chain constraints and adapting to quarantines and movement control orders in the Philippines and Malaysia. Demand in the automotive and industrial (“automotive”) end market was adversely affected by the Covid-19 pandemic during the quarter ended June 30, 2020. The Covid-19 pandemic is expected to continue to affect our results of operations in the second half of 2020.</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full potential effect of the Covid-19 pandemic is unknown, and there is significant uncertainty related to the ultimate impact that the Covid-19 pandemic will have on our business, results of operations and financial condition. See Part II, Item 1A, including, “The Covid-19 outbreak could impact the supply chain and consumer demand for our customers’ products and services, which may adversely affect our business, results of operations, and financial condition” and “Dependence on the Highly Cyclical Semiconductor Industry - Our Packaging and Test Services Are Used in Volatile Industries and Industry Downturns, and Declines in Global Economic and Financial Conditions Could Harm Our Performance.”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a capital-intensive industry and have a significant level of debt. Servicing our current and future customers requires that we incur significant operating expenses and continue to make significant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During the three months ended March 31, 2020, as a proactive, precautionary measure in light of the uncertainties caused by the Covid-19 pandemic, we elected to draw down approximately $200 million from select lines of credit, including $150 million under our senior secured revolving credit facility. During the three months ended June 30, 2020, we repaid $165 million on these credit facilities, borrowed $125 million in new revolving loans and borrowed $80 million under existing term loans. Collectively, these actions increased our available borrowing capacity and overall liquidity. As of June 30, 2020, we had cash and cash equivalents and short-term investments of $783.2 million and $310.6 million, respectively.</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increased $277.6 million or 31.0% to $1,172.9 million for the three months ended June 30, 2020 from $895.3 million for the three months ended June 30, 2019. This increase was due to higher sales of advanced products in the consumer and communications end markets, partially offset by a decline in the automotive end market.</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margin for the three months ended June 30, 2020 increased to 16.4% from 13.8% for the three months ended June 30, 2019. The increase in gross margin was primarily due to the increase in net sales, partially offset by changes in the mix of products sold with higher material content during the period.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totaled $134.3 million for the six months ended June 30, 2020, compared to $273.7 million for the six months ended June 30, 2019. Our spending was primarily focused on investments in advanced packaging and test equipment.</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operating activities was $242.4 million for the six months ended June 30, 2020, compared to $168.9 million for the six months ended June 30, 2019. This increase was primarily due to higher net sales and higher operating profit, partially offset by changes in our working capital.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For the Three Months Ended June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For the Six Months Ended June 30,</w:t>
            </w:r>
          </w:p>
        </w:tc>
        <w:tc>
          <w:tcPr>
            <w:tcW w:w="180" w:type="dxa"/>
            <w:vAlign w:val="bottom"/>
            <w:tcBorders>
              <w:bottom w:val="single" w:sz="8" w:color="auto"/>
            </w:tcBorders>
          </w:tcPr>
          <w:p>
            <w:pPr>
              <w:spacing w:after="0"/>
              <w:rPr>
                <w:sz w:val="16"/>
                <w:szCs w:val="16"/>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23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440" w:type="dxa"/>
            <w:vAlign w:val="bottom"/>
          </w:tcPr>
          <w:p>
            <w:pPr>
              <w:jc w:val="right"/>
              <w:spacing w:after="0"/>
              <w:rPr>
                <w:sz w:val="20"/>
                <w:szCs w:val="20"/>
                <w:color w:val="auto"/>
              </w:rPr>
            </w:pPr>
            <w:r>
              <w:rPr>
                <w:rFonts w:ascii="Arial" w:cs="Arial" w:eastAsia="Arial" w:hAnsi="Arial"/>
                <w:sz w:val="16"/>
                <w:szCs w:val="16"/>
                <w:color w:val="auto"/>
              </w:rPr>
              <w:t>45.2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440" w:type="dxa"/>
            <w:vAlign w:val="bottom"/>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6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Amkor</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33"/>
        </w:trPr>
        <w:tc>
          <w:tcPr>
            <w:tcW w:w="4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w w:val="96"/>
              </w:rPr>
              <w:t>For the 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196"/>
        </w:trPr>
        <w:tc>
          <w:tcPr>
            <w:tcW w:w="1940" w:type="dxa"/>
            <w:vAlign w:val="bottom"/>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Change</w:t>
            </w:r>
          </w:p>
        </w:tc>
        <w:tc>
          <w:tcPr>
            <w:tcW w:w="19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1,172,909</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895,305</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45"/>
              <w:spacing w:after="0"/>
              <w:rPr>
                <w:sz w:val="20"/>
                <w:szCs w:val="20"/>
                <w:color w:val="auto"/>
              </w:rPr>
            </w:pPr>
            <w:r>
              <w:rPr>
                <w:rFonts w:ascii="Arial" w:cs="Arial" w:eastAsia="Arial" w:hAnsi="Arial"/>
                <w:sz w:val="16"/>
                <w:szCs w:val="16"/>
                <w:color w:val="auto"/>
              </w:rPr>
              <w:t>277,604</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31.0 %  $   2,325,525</w:t>
            </w:r>
          </w:p>
        </w:tc>
        <w:tc>
          <w:tcPr>
            <w:tcW w:w="1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1,790,269</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535,256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29.9 %</w:t>
            </w:r>
          </w:p>
        </w:tc>
      </w:tr>
      <w:tr>
        <w:trPr>
          <w:trHeight w:val="33"/>
        </w:trPr>
        <w:tc>
          <w:tcPr>
            <w:tcW w:w="19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sales for the three and six months ended June 30, 2020 compared to the three and six months ended June 30, 2019 was due to higher sales of advanced products in the consumer and communications end markets, partially offset by a decline in the automotive end market. Sales increased in the consumer end market due to the introduction of a new high-volume consumer product. The communications end market benefited from the recovery in the smartphone market from the prior year inventory correction.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000" w:type="dxa"/>
            <w:vAlign w:val="bottom"/>
          </w:tcPr>
          <w:p>
            <w:pPr>
              <w:spacing w:after="0"/>
              <w:rPr>
                <w:sz w:val="17"/>
                <w:szCs w:val="17"/>
                <w:color w:val="auto"/>
              </w:rPr>
            </w:pPr>
          </w:p>
        </w:tc>
        <w:tc>
          <w:tcPr>
            <w:tcW w:w="11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r>
      <w:tr>
        <w:trPr>
          <w:trHeight w:val="196"/>
        </w:trPr>
        <w:tc>
          <w:tcPr>
            <w:tcW w:w="4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500" w:type="dxa"/>
            <w:vAlign w:val="bottom"/>
            <w:gridSpan w:val="3"/>
          </w:tcPr>
          <w:p>
            <w:pPr>
              <w:jc w:val="right"/>
              <w:ind w:right="64"/>
              <w:spacing w:after="0"/>
              <w:rPr>
                <w:sz w:val="20"/>
                <w:szCs w:val="20"/>
                <w:color w:val="auto"/>
              </w:rPr>
            </w:pPr>
            <w:r>
              <w:rPr>
                <w:rFonts w:ascii="Arial" w:cs="Arial" w:eastAsia="Arial" w:hAnsi="Arial"/>
                <w:sz w:val="14"/>
                <w:szCs w:val="14"/>
                <w:b w:val="1"/>
                <w:bCs w:val="1"/>
                <w:color w:val="auto"/>
                <w:w w:val="99"/>
              </w:rPr>
              <w:t>(In thousands, except percentages)</w:t>
            </w:r>
          </w:p>
        </w:tc>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40" w:type="dxa"/>
            <w:vAlign w:val="bottom"/>
            <w:tcBorders>
              <w:bottom w:val="single" w:sz="8" w:color="CCEEFF"/>
            </w:tcBorders>
            <w:shd w:val="clear" w:color="auto" w:fill="CCEEFF"/>
          </w:tcPr>
          <w:p>
            <w:pPr>
              <w:jc w:val="right"/>
              <w:ind w:right="444"/>
              <w:spacing w:after="0"/>
              <w:rPr>
                <w:sz w:val="20"/>
                <w:szCs w:val="20"/>
                <w:color w:val="auto"/>
              </w:rPr>
            </w:pPr>
            <w:r>
              <w:rPr>
                <w:rFonts w:ascii="Arial" w:cs="Arial" w:eastAsia="Arial" w:hAnsi="Arial"/>
                <w:sz w:val="16"/>
                <w:szCs w:val="16"/>
                <w:color w:val="auto"/>
                <w:w w:val="89"/>
              </w:rPr>
              <w:t>$192,320</w:t>
            </w:r>
          </w:p>
        </w:tc>
        <w:tc>
          <w:tcPr>
            <w:tcW w:w="118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w w:val="98"/>
              </w:rPr>
              <w:t>$123,454</w:t>
            </w:r>
          </w:p>
        </w:tc>
        <w:tc>
          <w:tcPr>
            <w:tcW w:w="1240" w:type="dxa"/>
            <w:vAlign w:val="bottom"/>
            <w:tcBorders>
              <w:bottom w:val="single" w:sz="8" w:color="CCEEFF"/>
            </w:tcBorders>
            <w:shd w:val="clear" w:color="auto" w:fill="CCEEFF"/>
          </w:tcPr>
          <w:p>
            <w:pPr>
              <w:jc w:val="right"/>
              <w:ind w:right="564"/>
              <w:spacing w:after="0"/>
              <w:rPr>
                <w:sz w:val="20"/>
                <w:szCs w:val="20"/>
                <w:color w:val="auto"/>
              </w:rPr>
            </w:pPr>
            <w:r>
              <w:rPr>
                <w:rFonts w:ascii="Arial" w:cs="Arial" w:eastAsia="Arial" w:hAnsi="Arial"/>
                <w:sz w:val="16"/>
                <w:szCs w:val="16"/>
                <w:color w:val="auto"/>
              </w:rPr>
              <w:t>$68,866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44"/>
              <w:spacing w:after="0"/>
              <w:rPr>
                <w:sz w:val="20"/>
                <w:szCs w:val="20"/>
                <w:color w:val="auto"/>
              </w:rPr>
            </w:pPr>
            <w:r>
              <w:rPr>
                <w:rFonts w:ascii="Arial" w:cs="Arial" w:eastAsia="Arial" w:hAnsi="Arial"/>
                <w:sz w:val="16"/>
                <w:szCs w:val="16"/>
                <w:color w:val="auto"/>
                <w:w w:val="89"/>
              </w:rPr>
              <w:t>$381,228</w:t>
            </w:r>
          </w:p>
        </w:tc>
        <w:tc>
          <w:tcPr>
            <w:tcW w:w="118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w w:val="95"/>
              </w:rPr>
              <w:t>$244,215</w:t>
            </w:r>
          </w:p>
        </w:tc>
        <w:tc>
          <w:tcPr>
            <w:tcW w:w="12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98"/>
              </w:rPr>
              <w:t>$137,013</w:t>
            </w:r>
          </w:p>
        </w:tc>
      </w:tr>
      <w:tr>
        <w:trPr>
          <w:trHeight w:val="224"/>
        </w:trPr>
        <w:tc>
          <w:tcPr>
            <w:tcW w:w="400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16.4 %</w:t>
            </w:r>
          </w:p>
        </w:tc>
        <w:tc>
          <w:tcPr>
            <w:tcW w:w="1180" w:type="dxa"/>
            <w:vAlign w:val="bottom"/>
          </w:tcPr>
          <w:p>
            <w:pPr>
              <w:jc w:val="right"/>
              <w:spacing w:after="0"/>
              <w:rPr>
                <w:sz w:val="20"/>
                <w:szCs w:val="20"/>
                <w:color w:val="auto"/>
              </w:rPr>
            </w:pPr>
            <w:r>
              <w:rPr>
                <w:rFonts w:ascii="Arial" w:cs="Arial" w:eastAsia="Arial" w:hAnsi="Arial"/>
                <w:sz w:val="16"/>
                <w:szCs w:val="16"/>
                <w:color w:val="auto"/>
              </w:rPr>
              <w:t>13.8 %</w:t>
            </w: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16.4 %</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13.6 %</w:t>
            </w:r>
          </w:p>
        </w:tc>
        <w:tc>
          <w:tcPr>
            <w:tcW w:w="1240" w:type="dxa"/>
            <w:vAlign w:val="bottom"/>
          </w:tcPr>
          <w:p>
            <w:pPr>
              <w:jc w:val="right"/>
              <w:spacing w:after="0"/>
              <w:rPr>
                <w:sz w:val="20"/>
                <w:szCs w:val="20"/>
                <w:color w:val="auto"/>
              </w:rPr>
            </w:pPr>
            <w:r>
              <w:rPr>
                <w:rFonts w:ascii="Arial" w:cs="Arial" w:eastAsia="Arial" w:hAnsi="Arial"/>
                <w:sz w:val="16"/>
                <w:szCs w:val="16"/>
                <w:color w:val="auto"/>
              </w:rPr>
              <w:t>2.8 %</w:t>
            </w:r>
          </w:p>
        </w:tc>
      </w:tr>
    </w:tbl>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margin increased for the three and six months ended June 30, 2020 compared to the three and six months ended June 30, 2019, primarily due to the increase in net sales, partially offset by changes in the mix of products sold with higher material content during the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w w:val="96"/>
              </w:rPr>
              <w:t>For the Three Months Ended 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64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gridSpan w:val="5"/>
          </w:tcPr>
          <w:p>
            <w:pPr>
              <w:ind w:left="900"/>
              <w:spacing w:after="0"/>
              <w:rPr>
                <w:sz w:val="20"/>
                <w:szCs w:val="20"/>
                <w:color w:val="auto"/>
              </w:rPr>
            </w:pPr>
            <w:r>
              <w:rPr>
                <w:rFonts w:ascii="Arial" w:cs="Arial" w:eastAsia="Arial" w:hAnsi="Arial"/>
                <w:sz w:val="14"/>
                <w:szCs w:val="14"/>
                <w:b w:val="1"/>
                <w:bCs w:val="1"/>
                <w:color w:val="auto"/>
                <w:w w:val="91"/>
              </w:rPr>
              <w:t>(In thousands, except percentages)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74,260</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64,758</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rPr>
              <w:t>9,502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14.7 %  $</w:t>
            </w:r>
          </w:p>
        </w:tc>
        <w:tc>
          <w:tcPr>
            <w:tcW w:w="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146,842</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136,345</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10,497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33"/>
        </w:trPr>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three and six months ended June 30, 2020 increased compared to the three and six months ended June 30, 2019, primarily due to increased employee compensation costs and costs incurred for our factory consolidation efforts in Japan. In addition, we received proceeds from a sale of real estate in the second quarter of 2019 which lowered our expenses that period. These increases were partially offset by our efforts to control expenses, particularly professional fees and travel.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w w:val="96"/>
              </w:rPr>
              <w:t>For the Three Months Ended 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gridSpan w:val="5"/>
          </w:tcPr>
          <w:p>
            <w:pPr>
              <w:jc w:val="right"/>
              <w:ind w:right="4"/>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31,536</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36,186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(4,650)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(12.9) %  $</w:t>
            </w:r>
          </w:p>
        </w:tc>
        <w:tc>
          <w:tcPr>
            <w:tcW w:w="8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63,789</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71,940</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(8,151)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33"/>
        </w:trPr>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six months ended June 30, 2020 decreased compared to the three and six months ended June 30, 2019 due to projects that moved into production, partially offset by new development projects, primarily at our research and development facility in Korea.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Six Months Ended June 30,</w:t>
            </w:r>
          </w:p>
        </w:tc>
        <w:tc>
          <w:tcPr>
            <w:tcW w:w="74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40" w:type="dxa"/>
            <w:vAlign w:val="bottom"/>
            <w:gridSpan w:val="6"/>
          </w:tcPr>
          <w:p>
            <w:pPr>
              <w:ind w:left="200"/>
              <w:spacing w:after="0"/>
              <w:rPr>
                <w:sz w:val="20"/>
                <w:szCs w:val="20"/>
                <w:color w:val="auto"/>
              </w:rPr>
            </w:pPr>
            <w:r>
              <w:rPr>
                <w:rFonts w:ascii="Arial" w:cs="Arial" w:eastAsia="Arial" w:hAnsi="Arial"/>
                <w:sz w:val="14"/>
                <w:szCs w:val="14"/>
                <w:b w:val="1"/>
                <w:bCs w:val="1"/>
                <w:color w:val="auto"/>
                <w:w w:val="94"/>
              </w:rPr>
              <w:t>(In thousands, except percentages)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16,012</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18,653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(2,641)</w:t>
            </w:r>
          </w:p>
        </w:tc>
        <w:tc>
          <w:tcPr>
            <w:tcW w:w="4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33,057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37,926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(4,869)</w:t>
            </w:r>
          </w:p>
        </w:tc>
        <w:tc>
          <w:tcPr>
            <w:tcW w:w="4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r>
      <w:tr>
        <w:trPr>
          <w:trHeight w:val="224"/>
        </w:trPr>
        <w:tc>
          <w:tcPr>
            <w:tcW w:w="21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33"/>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Foreign currency (gain) loss, net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3,461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2,855</w:t>
            </w: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4,639</w:t>
            </w: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54"/>
        </w:trPr>
        <w:tc>
          <w:tcPr>
            <w:tcW w:w="218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40" w:type="dxa"/>
            <w:vAlign w:val="bottom"/>
          </w:tcPr>
          <w:p>
            <w:pPr>
              <w:spacing w:after="0"/>
              <w:rPr>
                <w:sz w:val="22"/>
                <w:szCs w:val="22"/>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8,356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(8,356)</w:t>
            </w:r>
          </w:p>
        </w:tc>
        <w:tc>
          <w:tcPr>
            <w:tcW w:w="4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8,356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(7,928)</w:t>
            </w:r>
          </w:p>
        </w:tc>
        <w:tc>
          <w:tcPr>
            <w:tcW w:w="4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(94.9) %</w:t>
            </w:r>
          </w:p>
        </w:tc>
      </w:tr>
      <w:tr>
        <w:trPr>
          <w:trHeight w:val="259"/>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4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337</w:t>
            </w:r>
          </w:p>
        </w:tc>
        <w:tc>
          <w:tcPr>
            <w:tcW w:w="4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 %</w:t>
            </w:r>
          </w:p>
        </w:tc>
      </w:tr>
      <w:tr>
        <w:trPr>
          <w:trHeight w:val="247"/>
        </w:trPr>
        <w:tc>
          <w:tcPr>
            <w:tcW w:w="2180" w:type="dxa"/>
            <w:vAlign w:val="bottom"/>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17,479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25,619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(8,140)</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 %</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32,209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40,327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(8,118)</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 %</w:t>
            </w:r>
          </w:p>
        </w:tc>
      </w:tr>
      <w:tr>
        <w:trPr>
          <w:trHeight w:val="23"/>
        </w:trPr>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decreased for the three and six months ended June 30, 2020 compared to the three and six months ended June 30, 2019, primarily due to the repayment of higher interest debt with the proceeds from our ¥28.5 billion ($260.6 million) fixed rate term loan agreement in December 2019 and January 2020. Interest expense has also decreased due to overall decreases in interest rates in 2020 for our variable interest rate loans.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foreign currency (gain) loss, net for the three and six months ended June 30, 2020 compared to the three and six months ended June 30, 2019 were due to foreign currency exchange rate movements, mainly the Korean Won, and the associated impact on our net monetary exposure at our foreign subsidiaries.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on debt retirement for the three and six months ended June 30, 2019 was due to the early redemption in April 2019 of the outstanding $525 million aggregate principal amount of our 6.375% Senior Notes due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16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164"/>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96"/>
        </w:trPr>
        <w:tc>
          <w:tcPr>
            <w:tcW w:w="4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196"/>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4"/>
          </w:tcPr>
          <w:p>
            <w:pPr>
              <w:jc w:val="right"/>
              <w:ind w:right="56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12,905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5,897</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7,008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17,751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27,277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(9,526)</w:t>
            </w:r>
          </w:p>
        </w:tc>
      </w:tr>
      <w:tr>
        <w:trPr>
          <w:trHeight w:val="33"/>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six months ended June 30, 2019 also includes a $14.9 million non-cash discrete tax expense primarily for the recognition of a valuation allowance for certain deferred tax assets.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and 2019,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 debt service and other financial requirements for at least the next twelve months. During the three months ended March 31, 2020, as a proactive, precautionary measure in light of the uncertainties caused by the Covid-19 pandemic, we elected to draw down approximately $200 million from select lines of credit, including $150 million under our senior secured revolving credit facility. During the three months ended June 30, 2020, we repaid $165 million on the credit facilities, borrowed $125 million of new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loans, and borrowed $80 million of existing term loans. Collectively, these actions increased our available borrowing capacity and overall liquidity.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We refer you to Note 7 and Note 11 to our Consolidated Financial Statements in Part 1, Item 1 of this Quarterly Report on Form 10-Q for additional information on our investments and borrowings, respectively.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we had cash and cash equivalents and short-term investments of $783.2 million and $310.6 million, respectively. Included in our cash and short-term investments balances as of June 30, 2020, is $715.9 million and $214.7 million, respectively, held offshore by our foreign subsidiaries. We have the ability to access cash held offshore by our foreign subsidiaries primarily through the repayment of intercompany debt obligations. Due to the changes in the U.S. tax law under the Tax Cuts and Jobs Act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 base under our $250.0 million first lien senior secured revolving credit facility entered into by our subsidiary, Amkor Technology Singapore Holding Pte, Ltd. (the “Singapore Revolver”), is limited to the amount of eligible accounts receivable. As of June 30, 2020, we had availability of $250.0 million and no outstanding standby letters of credit. As of June 30, 2020, our foreign subsidiaries had $280.0 million available to be drawn under revolving credit facilities, including the Singapore Revolver, and $56.4 million available to be borrowed under term loan credit facilities for working capital purposes and capital expenditures.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we had $1,545.3 million of debt. Our scheduled principal repayments on debt include $91.8 million due over the remainder of 2020, $114.1 million due in 2021, $344.1 million due in 2022, $306.5 million due in 2023, $121.7 million due in 2024, and $576.4 million due thereafter. We were in compliance with all debt covenants at June 30, 2020, and we expect to remain in compliance with these covenants for at least the next twelve months.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six months ended June 30, 2020 and 2019, we sold accounts receivable totaling $264.5 million and $304.8 million, net of discounts and fees of $1.6 million and $2.2 million, respectively.</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and Amkor Technology Singapore Holding Pte, Ltd. also guarantee certain debt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June 30, 2020,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is primarily focused on investments in advanced packaging and test equipment. We expect 2020 capital expenditures to be approximately $550 million. During the six months ended June 30, 2020, our capital expenditures totaled $134.3 million. Ultimately, the amount of our 2020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investing and financing activities for the six months ended June 30, 2020 and 2019,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right="215"/>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96"/>
        </w:trPr>
        <w:tc>
          <w:tcPr>
            <w:tcW w:w="8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jc w:val="center"/>
              <w:ind w:left="619"/>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17"/>
                <w:szCs w:val="17"/>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242,402</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168,928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(435,113)</w:t>
            </w:r>
          </w:p>
        </w:tc>
        <w:tc>
          <w:tcPr>
            <w:tcW w:w="6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(261,023)</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82,542</w:t>
            </w: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(40,181)</w:t>
            </w:r>
          </w:p>
        </w:tc>
      </w:tr>
      <w:tr>
        <w:trPr>
          <w:trHeight w:val="27"/>
        </w:trPr>
        <w:tc>
          <w:tcPr>
            <w:tcW w:w="8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cash flow provided by operating activities for the six months ended June 30, 2020 increased by $73.5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2019, primarily due to higher net sales and higher operating profit, partially offset by changes in our working capital.</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flows used in investing activities for the six months ended June 30, 2020 increased by $174.1 million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primarily due to purchases of short-term investments. This increase was partially offset by a decrease in payments related to purchases of property, plant and equipment and proceeds from sales and maturities of short-term investments. Payments for property, plant and equipment can fluctuate based on timing of purchase, receipt and acceptance of equipment.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provided by financing activities for the six months ended June 30, 2020 was primarily due to the net borrowing in</w:t>
      </w:r>
      <w:r>
        <w:rPr>
          <w:rFonts w:ascii="Arial" w:cs="Arial" w:eastAsia="Arial" w:hAnsi="Arial"/>
          <w:sz w:val="17"/>
          <w:szCs w:val="17"/>
          <w:i w:val="1"/>
          <w:iCs w:val="1"/>
          <w:color w:val="auto"/>
        </w:rPr>
        <w:t xml:space="preserve"> </w:t>
      </w:r>
      <w:r>
        <w:rPr>
          <w:rFonts w:ascii="Arial" w:cs="Arial" w:eastAsia="Arial" w:hAnsi="Arial"/>
          <w:sz w:val="17"/>
          <w:szCs w:val="17"/>
          <w:color w:val="auto"/>
        </w:rPr>
        <w:t>Korea and Taiwan, partially offset by net repayments of debt in Japan. The net cash used in financing activities for the six months ended June 30, 2019 was primarily due to the redemption of our 6.375% Senior Notes due 2022 as well as repayments of debt in Japan and Korea, partially offset by our issuance of the 6.625% Senior Notes due September 2027 and draw down of our Singapore Revolver.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8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96"/>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r>
      <w:tr>
        <w:trPr>
          <w:trHeight w:val="25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242,402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168,928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30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(134,340)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(273,672)</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9,785</w:t>
            </w:r>
          </w:p>
        </w:tc>
      </w:tr>
      <w:tr>
        <w:trPr>
          <w:trHeight w:val="263"/>
        </w:trPr>
        <w:tc>
          <w:tcPr>
            <w:tcW w:w="810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110,451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(94,959)</w:t>
            </w:r>
          </w:p>
        </w:tc>
      </w:tr>
      <w:tr>
        <w:trPr>
          <w:trHeight w:val="21"/>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June 30, 2020, and the effect such obligations are expected to have on our liquidity and cash flows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88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2020 -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1,554,664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91,817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114,110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344,121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121,669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576,429</w:t>
            </w:r>
          </w:p>
        </w:tc>
        <w:tc>
          <w:tcPr>
            <w:tcW w:w="0" w:type="dxa"/>
            <w:vAlign w:val="bottom"/>
          </w:tcPr>
          <w:p>
            <w:pPr>
              <w:spacing w:after="0"/>
              <w:rPr>
                <w:sz w:val="1"/>
                <w:szCs w:val="1"/>
                <w:color w:val="auto"/>
              </w:rPr>
            </w:pPr>
          </w:p>
        </w:tc>
      </w:tr>
      <w:tr>
        <w:trPr>
          <w:trHeight w:val="197"/>
        </w:trPr>
        <w:tc>
          <w:tcPr>
            <w:tcW w:w="336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331,082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29,036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56,707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52,525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44,239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39,358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109,217</w:t>
            </w: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191,763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179,771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97"/>
        </w:trPr>
        <w:tc>
          <w:tcPr>
            <w:tcW w:w="336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144,768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24,630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44,089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27,347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13,703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10,204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24,795</w:t>
            </w:r>
          </w:p>
        </w:tc>
        <w:tc>
          <w:tcPr>
            <w:tcW w:w="0" w:type="dxa"/>
            <w:vAlign w:val="bottom"/>
          </w:tcPr>
          <w:p>
            <w:pPr>
              <w:spacing w:after="0"/>
              <w:rPr>
                <w:sz w:val="1"/>
                <w:szCs w:val="1"/>
                <w:color w:val="auto"/>
              </w:rPr>
            </w:pPr>
          </w:p>
        </w:tc>
      </w:tr>
      <w:tr>
        <w:trPr>
          <w:trHeight w:val="208"/>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1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114,437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74,599</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2,357,967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335,689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237,531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438,197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375,698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180,869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789,983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June 30, 2020, for variable rate debt.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June 30, 2020.</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June 30, 2020 include:</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$61.8 million of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$25.2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14 to our Consolidated Financial Statements in Part I, Item 1 of this Quarterly Report on Form 10-Q for a discussion of our contingencies related to litigation and other legal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 for the year ended December 31, 2019. During the six months ended June 30, 2020, there were no significant changes in our critical accounting policies as reported in our 2019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dollar is our reporting and functional currency for us and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net monetary liabilities denominated in foreign currencies.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2020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six months ended June 30, 2020 would have been approximately $10 million lower, due to the remeasurement of monetary assets and liabilities.</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six months ended June 30, 2020, approximately 80% of our net sales were denominated in U.S. dollars. Our remaining net sales were principally denominated in Japanese Yen. For the six months ended June 30, 2020, approximately 40%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2020 to assess the potential impact of fluctuations in exchange rates for all foreign denominated sales and operating expenses. Assuming that all foreign currencies appreciated 10% against the U.S. dollar, our operating income for the six months ended June 30, 2020 would have been approximately $59 million lower.</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$0.2 million and a gain of $3.7 million for the six months ended June 30, 2020 and 2019, respectively, and was recognized as an adjustment to equity through other comprehensive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We do not have hedging instruments for our available-for-sale debt investments, and they are held for purposes other than trading. Due to the relatively short-term nature of our investment portfolio, an immediate increase in interest rates will not have a material impact on the fair value of our available-for-sale debt investments. For information regarding our available-for-sale debt investments, see Note 7 to our Consolidated Financial Statements in Part I, Item 1 of this Quarterly Report on Form 10-Q.</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3"/>
                <w:szCs w:val="13"/>
                <w:b w:val="1"/>
                <w:bCs w:val="1"/>
                <w:color w:val="auto"/>
                <w:w w:val="89"/>
              </w:rPr>
              <w:t>2020 - Remaining</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Thereafter</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181"/>
        </w:trPr>
        <w:tc>
          <w:tcPr>
            <w:tcW w:w="204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gridSpan w:val="5"/>
            <w:shd w:val="clear" w:color="auto" w:fill="CCEEFF"/>
          </w:tcPr>
          <w:p>
            <w:pPr>
              <w:jc w:val="right"/>
              <w:ind w:right="410"/>
              <w:spacing w:after="0"/>
              <w:rPr>
                <w:sz w:val="20"/>
                <w:szCs w:val="20"/>
                <w:color w:val="auto"/>
              </w:rPr>
            </w:pPr>
            <w:r>
              <w:rPr>
                <w:rFonts w:ascii="Arial" w:cs="Arial" w:eastAsia="Arial" w:hAnsi="Arial"/>
                <w:sz w:val="13"/>
                <w:szCs w:val="13"/>
                <w:b w:val="1"/>
                <w:bCs w:val="1"/>
                <w:color w:val="auto"/>
              </w:rPr>
              <w:t>($ in thousands)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0"/>
        </w:trPr>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 debt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56,055</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112,110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299,871</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65,669</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1,211,937</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1,256,814</w:t>
            </w:r>
          </w:p>
        </w:tc>
      </w:tr>
      <w:tr>
        <w:trPr>
          <w:trHeight w:val="197"/>
        </w:trPr>
        <w:tc>
          <w:tcPr>
            <w:tcW w:w="204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8"/>
        </w:trPr>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Variable rate debt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35,762</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204,715</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56,000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342,727</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341,056</w:t>
            </w:r>
          </w:p>
        </w:tc>
      </w:tr>
      <w:tr>
        <w:trPr>
          <w:trHeight w:val="196"/>
        </w:trPr>
        <w:tc>
          <w:tcPr>
            <w:tcW w:w="2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91,817</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114,110</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344,121</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306,518</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121,669</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576,429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1,554,664</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1,597,870</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information regarding the fair value of our long-term debt, see Note 13 to our Consolidated Financial Statements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2020 and concluded those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14 to our Consolidated Financial Statements in Part I, Item 1 of this Quarterly Report on Form 10-Q and in Note 17 to our Annual Report on Form 10-K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Many of the following risks and uncertainties are, and will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following risks could affect our business, liquidity, results of operations, financial condition or cash flows.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Covid-19 outbreak has impacted and may continue to impact the supply chain and consumer demand for our customers’ products and services, which may adversely affect our business, results of operations, and financial condition.</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may continue to be adversely impacted by the effects of the Covid-19 outbreak. The impacts have varied, and likely will continue to vary, by location and by industry. We, our suppliers and our customers have been and may continue to be disrupted by worker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Covid-19 on our suppliers or customers or both.</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has adversely affected and may continue to adversely affect the economies and financial markets of many countries, resulting in an economic downturn that may cause a decrease in short-term and long-term consumer demand for our customers’ products and services and impact our operating results. Demand for our products and services for the automotive end market has experienced the most significant impact to date, and there is no certainty as to when demand in that market will return.</w:t>
      </w:r>
    </w:p>
    <w:p>
      <w:pPr>
        <w:spacing w:after="0" w:line="13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Covid-19, and our ability to perform critical functions could be harmed.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are unable to predict the future impacts that Covid-19 will have on our business, financial condition or results of operations due to various uncertainties, including the ultimate spread of Covid-19, the severity of Covid-19, the duration of the outbreak, and the actions that may be taken by governmental authorities and other businesses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has disrupted demand in the automotive end market, an inventory correction in the smartphone market and weakness in the general market reduced demand during 2019, and generally soft economic conditions and a lack of compelling new mobile products constrained overall demand during 2015.</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 Although the magnitude of the impact of Covid-19 pandemic on our business and operations remains uncertain, the continued spread or potential re-emergence of Covid-19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the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margin,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 such as the United Kingdom’s departure from the European Union;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pandemics or other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demand resulting from variations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Covid-19 pandemic has impacted and may continue to impact our operations and the operations of our customers and suppliers as a result of quarantines, facility closures and travel and logistics restrictions in connection with the outbreak. For example, quarantine orders covering certain regions in the Philippines, including where our operations are located, have affected, and may in the future affect, our operations. Similarly, in Malaysia, orders restricting movement throughout the country temporarily forced us to pause operations as we obtained permission to resume operations in compliance with such orders. Other national, regional and local governments have been implementing and may continue to implement similar restrictions to mitigate the spread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their products and services, which may adversely affect demand for our services, our operating results and financial condition.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63% of our net sales for the year ended December 31, 2019, and we expect that percentage to increase for the year ending December 31, 2020.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impacting their financial health and their demand for our services.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 and in March 2020, the Anti-Monopoly Bureau under the State Administration for Market Regulation of People’s Republic of China lifted the restrictive conditions on their approval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the past,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may not materialize, especially if industry conditions deteriorate. As a result, our sales may not adequately cover fixed costs, resulting in reduced profit levels or causing significant losses, either of which may adversely impact our business, liquidity, results of operations, financial condition and cash flows.</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have a negative impact on our business. For example, the actions that government authorities and businesses worldwide have taken in response to Covid-19 have resulted in, to date, limited business disruption, including delays in shipments of equipment, supplies and other materials. To the extent the impact of Covid-19 continues or worsens, we may have greater difficulty obtaining the equipment, supplies and other materials necessary for performance of our services. Furthermore, severe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wafers to some of our customers in a prior year delayed or otherwise adversely impacted the demand for certain of our advanced packaging and test services.</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and other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do so. Significant price increases may adversely impact our gross margin in future periods to the extent we are unable to pass along past or future commodity price increases to our customers.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margin, at least in the near term. While we have completed the initial phases of construction of our factory and research and development facility in Incheon, Korea, there can be no assurance regarding when the facility will be fully utilized, or that the actual scope, costs, timeline or benefits of the project will be consistent with our expectations.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 To the extent this occurs in the future, our business, liquidity, results of operations, financial condition and cash flows could be materially adversely affected.</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fluctuations in global consumer demand and market volatility as a result of the Covid-19 pandemic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June 30, 2020, our total debt balance was $1,545.3 million, of which $148.9 million was classified as a current liability and $815.6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In addition,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liquidity based on our current expectations regarding sales, operating expenses, capital spending,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the performance of our business, our capital expenditure and other investment levels and our ability to repay debt and other long-term obligations out of our operating cash flows or with the proceeds of debt or equity financings.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2020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$114.4 million as of June 30, 2020.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Although we continue to monitor and assess our internal controls for these systems and operations, there is a risk that deficiencies may occur that could constitute significant deficiencies or, in the aggregate, a material weakness.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systems, computer viruses, attacks by computer hackers, telecommunication failures, user errors, malfeasance or catastrophic events. Cybersecurity breaches could result in unauthorized disclosure of confidential information or disruptions to our operations.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w:t>
      </w:r>
      <w:r>
        <w:rPr>
          <w:rFonts w:ascii="Arial" w:cs="Arial" w:eastAsia="Arial" w:hAnsi="Arial"/>
          <w:sz w:val="16"/>
          <w:szCs w:val="16"/>
          <w:color w:val="090909"/>
        </w:rPr>
        <w:t>In addition, in May 2017, we completed our acquisition</w:t>
      </w:r>
      <w:r>
        <w:rPr>
          <w:rFonts w:ascii="Arial" w:cs="Arial" w:eastAsia="Arial" w:hAnsi="Arial"/>
          <w:sz w:val="16"/>
          <w:szCs w:val="16"/>
          <w:color w:val="auto"/>
        </w:rPr>
        <w:t xml:space="preserve"> </w:t>
      </w:r>
      <w:r>
        <w:rPr>
          <w:rFonts w:ascii="Arial" w:cs="Arial" w:eastAsia="Arial" w:hAnsi="Arial"/>
          <w:sz w:val="16"/>
          <w:szCs w:val="16"/>
          <w:color w:val="090909"/>
        </w:rPr>
        <w:t xml:space="preserve">of Nanium and </w:t>
      </w:r>
      <w:r>
        <w:rPr>
          <w:rFonts w:ascii="Arial" w:cs="Arial" w:eastAsia="Arial" w:hAnsi="Arial"/>
          <w:sz w:val="16"/>
          <w:szCs w:val="16"/>
          <w:color w:val="000000"/>
        </w:rPr>
        <w:t>continue</w:t>
      </w:r>
      <w:r>
        <w:rPr>
          <w:rFonts w:ascii="Arial" w:cs="Arial" w:eastAsia="Arial" w:hAnsi="Arial"/>
          <w:sz w:val="16"/>
          <w:szCs w:val="16"/>
          <w:color w:val="090909"/>
        </w:rPr>
        <w:t xml:space="preserve"> to integrate its information </w:t>
      </w:r>
      <w:r>
        <w:rPr>
          <w:rFonts w:ascii="Arial" w:cs="Arial" w:eastAsia="Arial" w:hAnsi="Arial"/>
          <w:sz w:val="16"/>
          <w:szCs w:val="16"/>
          <w:color w:val="000000"/>
        </w:rPr>
        <w:t>technology</w:t>
      </w:r>
      <w:r>
        <w:rPr>
          <w:rFonts w:ascii="Arial" w:cs="Arial" w:eastAsia="Arial" w:hAnsi="Arial"/>
          <w:sz w:val="16"/>
          <w:szCs w:val="16"/>
          <w:color w:val="090909"/>
        </w:rPr>
        <w:t xml:space="preserve"> systems into our existing systems and processes. </w:t>
      </w:r>
      <w:r>
        <w:rPr>
          <w:rFonts w:ascii="Arial" w:cs="Arial" w:eastAsia="Arial" w:hAnsi="Arial"/>
          <w:sz w:val="16"/>
          <w:szCs w:val="16"/>
          <w:color w:val="000000"/>
        </w:rPr>
        <w:t>We face risks in connection with current</w:t>
      </w:r>
      <w:r>
        <w:rPr>
          <w:rFonts w:ascii="Arial" w:cs="Arial" w:eastAsia="Arial" w:hAnsi="Arial"/>
          <w:sz w:val="16"/>
          <w:szCs w:val="16"/>
          <w:color w:val="090909"/>
        </w:rPr>
        <w:t xml:space="preserve"> </w:t>
      </w:r>
      <w:r>
        <w:rPr>
          <w:rFonts w:ascii="Arial" w:cs="Arial" w:eastAsia="Arial" w:hAnsi="Arial"/>
          <w:sz w:val="16"/>
          <w:szCs w:val="16"/>
          <w:color w:val="000000"/>
        </w:rPr>
        <w:t>and future projects to install or integrate new information technology systems or upgrade our existing systems. These risks include:</w:t>
      </w:r>
    </w:p>
    <w:p>
      <w:pPr>
        <w:spacing w:after="0" w:line="1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as any impairment that may result from the effects of Covid-19. Such charges could have a significant adverse impact on our results of operations and our operating flexibility under our debt covenants.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the Organisation for Economic Co-operation and Development has released recommendations and an action plan aimed to standardize and modernize global corporate tax policy, including changes to transfer pricing and other international tax matters to address base erosion and profit shifting impacting multinational companies like Amkor. Changes in U.S. or foreign tax laws arising out of such recommendations or otherwise could have a material adverse impact on our liquidity, results of operations, financial condition and cash flows.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Tax Reform Could Materially Impact Our Financial Position and Results of Operations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However, there is uncertainty in the application of many aspects of the Tax Act and additional guidance with respect to the Tax Act may affect our estimates and could have a material impact on our income tax expense.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SiP modules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17 to the Consolidated Financial Statements in Part II, Item 8 of our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 imposed travel restrictions or quarantines;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and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Mr. James J. Kim, the Executive Chairman of our Board of Directors, Ms. Susan Y. Kim, the Vice Chairman of our Board of Directors, and members of the Kim family and affiliates owned approximately 141.7 million shares, or approximately 59%, of our outstanding common stock. The Kim family also has options to acquire approximately 0.6 million shares. If the options are exercised, the Kim family’s total ownership would be an aggregate of approximately 142.3 million shares of our outstanding common stock or approximately 59% of our outstanding common stock.</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June 30, 2020.</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49"/>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May 1 - May 31</w:t>
            </w:r>
          </w:p>
        </w:tc>
        <w:tc>
          <w:tcPr>
            <w:tcW w:w="1940" w:type="dxa"/>
            <w:vAlign w:val="bottom"/>
          </w:tcPr>
          <w:p>
            <w:pPr>
              <w:jc w:val="right"/>
              <w:ind w:right="5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1940" w:type="dxa"/>
            <w:vAlign w:val="bottom"/>
          </w:tcPr>
          <w:p>
            <w:pPr>
              <w:ind w:left="1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6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previously authorized the repurchase of up to $300.0 million of our common stock, $150.0 million was approved in August 2011 and $150.0 million was approved in February 2012, exclusive of any fees, commissions or other expenses. For the three months ended June 30, 2020, we made no common stock purchases, and at June 30, 2020, approximately $91.6 million was available pursuant to the stock repurchase program.</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8"/>
              </w:rPr>
              <w:t>Incorporated by Reference</w:t>
            </w:r>
          </w:p>
        </w:tc>
        <w:tc>
          <w:tcPr>
            <w:tcW w:w="2000" w:type="dxa"/>
            <w:vAlign w:val="bottom"/>
          </w:tcPr>
          <w:p>
            <w:pPr>
              <w:jc w:val="center"/>
              <w:ind w:left="97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97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120" w:type="dxa"/>
            <w:vAlign w:val="bottom"/>
          </w:tcPr>
          <w:p>
            <w:pPr>
              <w:jc w:val="right"/>
              <w:ind w:right="312"/>
              <w:spacing w:after="0" w:line="139" w:lineRule="exact"/>
              <w:rPr>
                <w:sz w:val="20"/>
                <w:szCs w:val="20"/>
                <w:color w:val="auto"/>
              </w:rPr>
            </w:pPr>
            <w:r>
              <w:rPr>
                <w:rFonts w:ascii="Arial" w:cs="Arial" w:eastAsia="Arial" w:hAnsi="Arial"/>
                <w:sz w:val="14"/>
                <w:szCs w:val="14"/>
                <w:b w:val="1"/>
                <w:bCs w:val="1"/>
                <w:color w:val="auto"/>
              </w:rPr>
              <w:t>Exhibit</w:t>
            </w:r>
          </w:p>
        </w:tc>
        <w:tc>
          <w:tcPr>
            <w:tcW w:w="5140" w:type="dxa"/>
            <w:vAlign w:val="bottom"/>
            <w:gridSpan w:val="18"/>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5140" w:type="dxa"/>
            <w:vAlign w:val="bottom"/>
            <w:tcBorders>
              <w:bottom w:val="single" w:sz="8" w:color="auto"/>
            </w:tcBorders>
            <w:gridSpan w:val="18"/>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92"/>
              <w:spacing w:after="0" w:line="169" w:lineRule="exact"/>
              <w:rPr>
                <w:sz w:val="20"/>
                <w:szCs w:val="20"/>
                <w:color w:val="auto"/>
              </w:rPr>
            </w:pPr>
            <w:r>
              <w:rPr>
                <w:rFonts w:ascii="Arial" w:cs="Arial" w:eastAsia="Arial" w:hAnsi="Arial"/>
                <w:sz w:val="18"/>
                <w:szCs w:val="18"/>
                <w:color w:val="auto"/>
              </w:rPr>
              <w:t>10.1</w:t>
            </w:r>
          </w:p>
        </w:tc>
        <w:tc>
          <w:tcPr>
            <w:tcW w:w="5140" w:type="dxa"/>
            <w:vAlign w:val="bottom"/>
            <w:gridSpan w:val="18"/>
          </w:tcPr>
          <w:p>
            <w:pPr>
              <w:spacing w:after="0" w:line="169" w:lineRule="exact"/>
              <w:rPr>
                <w:rFonts w:ascii="Arial" w:cs="Arial" w:eastAsia="Arial" w:hAnsi="Arial"/>
                <w:sz w:val="18"/>
                <w:szCs w:val="18"/>
                <w:color w:val="0000FF"/>
                <w:w w:val="97"/>
              </w:rPr>
            </w:pPr>
            <w:hyperlink w:anchor="page51">
              <w:r>
                <w:rPr>
                  <w:rFonts w:ascii="Arial" w:cs="Arial" w:eastAsia="Arial" w:hAnsi="Arial"/>
                  <w:sz w:val="18"/>
                  <w:szCs w:val="18"/>
                  <w:color w:val="0000FF"/>
                  <w:w w:val="97"/>
                </w:rPr>
                <w:t>Form of Global Stock Option Award Agreement under the Second</w:t>
              </w:r>
            </w:hyperlink>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0" w:type="dxa"/>
            <w:vAlign w:val="bottom"/>
          </w:tcPr>
          <w:p>
            <w:pPr>
              <w:jc w:val="center"/>
              <w:ind w:left="973"/>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Amended and Restated 2007 Equity Incentive Plan.*</w:t>
              </w:r>
            </w:hyperlink>
          </w:p>
        </w:tc>
        <w:tc>
          <w:tcPr>
            <w:tcW w:w="9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10.2</w:t>
            </w:r>
          </w:p>
        </w:tc>
        <w:tc>
          <w:tcPr>
            <w:tcW w:w="5140" w:type="dxa"/>
            <w:vAlign w:val="bottom"/>
            <w:gridSpan w:val="18"/>
          </w:tcPr>
          <w:p>
            <w:pPr>
              <w:spacing w:after="0" w:line="196" w:lineRule="exact"/>
              <w:rPr>
                <w:rFonts w:ascii="Arial" w:cs="Arial" w:eastAsia="Arial" w:hAnsi="Arial"/>
                <w:sz w:val="18"/>
                <w:szCs w:val="18"/>
                <w:color w:val="0000FF"/>
                <w:w w:val="92"/>
              </w:rPr>
            </w:pPr>
            <w:hyperlink w:anchor="page68">
              <w:r>
                <w:rPr>
                  <w:rFonts w:ascii="Arial" w:cs="Arial" w:eastAsia="Arial" w:hAnsi="Arial"/>
                  <w:sz w:val="18"/>
                  <w:szCs w:val="18"/>
                  <w:color w:val="0000FF"/>
                  <w:w w:val="92"/>
                </w:rPr>
                <w:t>Form of Global Restricted Stock Award Agreement under the Second</w:t>
              </w:r>
            </w:hyperlink>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68">
              <w:r>
                <w:rPr>
                  <w:rFonts w:ascii="Arial" w:cs="Arial" w:eastAsia="Arial" w:hAnsi="Arial"/>
                  <w:sz w:val="18"/>
                  <w:szCs w:val="18"/>
                  <w:color w:val="0000FF"/>
                  <w:w w:val="91"/>
                </w:rPr>
                <w:t>Amended and Restated 2007 Equity Incentive Plan.*</w:t>
              </w:r>
            </w:hyperlink>
          </w:p>
        </w:tc>
        <w:tc>
          <w:tcPr>
            <w:tcW w:w="11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10.3</w:t>
            </w:r>
          </w:p>
        </w:tc>
        <w:tc>
          <w:tcPr>
            <w:tcW w:w="5140" w:type="dxa"/>
            <w:vAlign w:val="bottom"/>
            <w:gridSpan w:val="18"/>
          </w:tcPr>
          <w:p>
            <w:pPr>
              <w:spacing w:after="0" w:line="196" w:lineRule="exact"/>
              <w:rPr>
                <w:rFonts w:ascii="Arial" w:cs="Arial" w:eastAsia="Arial" w:hAnsi="Arial"/>
                <w:sz w:val="18"/>
                <w:szCs w:val="18"/>
                <w:color w:val="0000FF"/>
                <w:w w:val="92"/>
              </w:rPr>
            </w:pPr>
            <w:hyperlink w:anchor="page81">
              <w:r>
                <w:rPr>
                  <w:rFonts w:ascii="Arial" w:cs="Arial" w:eastAsia="Arial" w:hAnsi="Arial"/>
                  <w:sz w:val="18"/>
                  <w:szCs w:val="18"/>
                  <w:color w:val="0000FF"/>
                  <w:w w:val="92"/>
                </w:rPr>
                <w:t>Employment Letter Agreement, dated June 24, 2020, between Amkor</w:t>
              </w:r>
            </w:hyperlink>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Technology, Inc. and Guillaume Marie Jean Rutten.*</w:t>
              </w:r>
            </w:hyperlink>
          </w:p>
        </w:tc>
        <w:tc>
          <w:tcPr>
            <w:tcW w:w="12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10.4</w:t>
            </w:r>
          </w:p>
        </w:tc>
        <w:tc>
          <w:tcPr>
            <w:tcW w:w="5140" w:type="dxa"/>
            <w:vAlign w:val="bottom"/>
            <w:gridSpan w:val="18"/>
          </w:tcPr>
          <w:p>
            <w:pPr>
              <w:spacing w:after="0" w:line="196" w:lineRule="exact"/>
              <w:rPr>
                <w:rFonts w:ascii="Arial" w:cs="Arial" w:eastAsia="Arial" w:hAnsi="Arial"/>
                <w:sz w:val="18"/>
                <w:szCs w:val="18"/>
                <w:color w:val="0000FF"/>
                <w:w w:val="94"/>
              </w:rPr>
            </w:pPr>
            <w:hyperlink w:anchor="page92">
              <w:r>
                <w:rPr>
                  <w:rFonts w:ascii="Arial" w:cs="Arial" w:eastAsia="Arial" w:hAnsi="Arial"/>
                  <w:sz w:val="18"/>
                  <w:szCs w:val="18"/>
                  <w:color w:val="0000FF"/>
                  <w:w w:val="94"/>
                </w:rPr>
                <w:t>Separation Agreement and Release, effective July 4, 2020, between</w:t>
              </w:r>
            </w:hyperlink>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92">
              <w:r>
                <w:rPr>
                  <w:rFonts w:ascii="Arial" w:cs="Arial" w:eastAsia="Arial" w:hAnsi="Arial"/>
                  <w:sz w:val="18"/>
                  <w:szCs w:val="18"/>
                  <w:color w:val="0000FF"/>
                  <w:w w:val="91"/>
                </w:rPr>
                <w:t>Amkor Technology, Inc. and Stephen D. Kelley.*</w:t>
              </w:r>
            </w:hyperlink>
          </w:p>
        </w:tc>
        <w:tc>
          <w:tcPr>
            <w:tcW w:w="13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31.1</w:t>
            </w:r>
          </w:p>
        </w:tc>
        <w:tc>
          <w:tcPr>
            <w:tcW w:w="48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Guillaume Marie Jean Rutten, President and Chief</w:t>
              </w:r>
            </w:hyperlink>
          </w:p>
        </w:tc>
        <w:tc>
          <w:tcPr>
            <w:tcW w:w="34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gridSpan w:val="18"/>
          </w:tcPr>
          <w:p>
            <w:pPr>
              <w:spacing w:after="0" w:line="156" w:lineRule="exact"/>
              <w:rPr>
                <w:rFonts w:ascii="Arial" w:cs="Arial" w:eastAsia="Arial" w:hAnsi="Arial"/>
                <w:sz w:val="18"/>
                <w:szCs w:val="18"/>
                <w:color w:val="0000FF"/>
                <w:w w:val="96"/>
              </w:rPr>
            </w:pPr>
            <w:hyperlink w:anchor="page102">
              <w:r>
                <w:rPr>
                  <w:rFonts w:ascii="Arial" w:cs="Arial" w:eastAsia="Arial" w:hAnsi="Arial"/>
                  <w:sz w:val="18"/>
                  <w:szCs w:val="18"/>
                  <w:color w:val="0000FF"/>
                  <w:w w:val="96"/>
                </w:rPr>
                <w:t>Executive Officer of Amkor Technology, Inc., pursuant to Rule 13a-</w:t>
              </w:r>
            </w:hyperlink>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7"/>
              </w:rPr>
            </w:pPr>
            <w:hyperlink w:anchor="page102">
              <w:r>
                <w:rPr>
                  <w:rFonts w:ascii="Arial" w:cs="Arial" w:eastAsia="Arial" w:hAnsi="Arial"/>
                  <w:sz w:val="18"/>
                  <w:szCs w:val="18"/>
                  <w:color w:val="0000FF"/>
                  <w:w w:val="87"/>
                </w:rPr>
                <w:t>14(a) under the Securities Exchange Act of 1934, as adopted pursuant</w:t>
              </w:r>
            </w:hyperlink>
          </w:p>
        </w:tc>
        <w:tc>
          <w:tcPr>
            <w:tcW w:w="140" w:type="dxa"/>
            <w:vAlign w:val="bottom"/>
            <w:tcBorders>
              <w:bottom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66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to Section 302 of the Sarbanes-Oxley Act of 2002.</w:t>
              </w:r>
            </w:hyperlink>
          </w:p>
        </w:tc>
        <w:tc>
          <w:tcPr>
            <w:tcW w:w="140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47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w:anchor="page103">
              <w:r>
                <w:rPr>
                  <w:rFonts w:ascii="Arial" w:cs="Arial" w:eastAsia="Arial" w:hAnsi="Arial"/>
                  <w:sz w:val="18"/>
                  <w:szCs w:val="18"/>
                  <w:color w:val="0000FF"/>
                  <w:w w:val="91"/>
                </w:rPr>
                <w:t>Certification of Megan Faust, Executive Vice President and Chief</w:t>
              </w:r>
            </w:hyperlink>
          </w:p>
        </w:tc>
        <w:tc>
          <w:tcPr>
            <w:tcW w:w="10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5"/>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880" w:type="dxa"/>
            <w:vAlign w:val="bottom"/>
            <w:tcBorders>
              <w:bottom w:val="single" w:sz="8" w:color="0000FF"/>
            </w:tcBorders>
            <w:gridSpan w:val="12"/>
          </w:tcPr>
          <w:p>
            <w:pPr>
              <w:spacing w:after="0" w:line="156" w:lineRule="exact"/>
              <w:rPr>
                <w:rFonts w:ascii="Arial" w:cs="Arial" w:eastAsia="Arial" w:hAnsi="Arial"/>
                <w:sz w:val="18"/>
                <w:szCs w:val="18"/>
                <w:color w:val="0000FF"/>
                <w:w w:val="92"/>
              </w:rPr>
            </w:pPr>
            <w:hyperlink w:anchor="page103">
              <w:r>
                <w:rPr>
                  <w:rFonts w:ascii="Arial" w:cs="Arial" w:eastAsia="Arial" w:hAnsi="Arial"/>
                  <w:sz w:val="18"/>
                  <w:szCs w:val="18"/>
                  <w:color w:val="0000FF"/>
                  <w:w w:val="92"/>
                </w:rPr>
                <w:t>Financial Officer of Amkor Technology, Inc., pursuant to Rule 13a-</w:t>
              </w:r>
            </w:hyperlink>
          </w:p>
        </w:tc>
        <w:tc>
          <w:tcPr>
            <w:tcW w:w="260" w:type="dxa"/>
            <w:vAlign w:val="bottom"/>
            <w:gridSpan w:val="6"/>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40" w:type="dxa"/>
            <w:vAlign w:val="bottom"/>
            <w:gridSpan w:val="18"/>
          </w:tcPr>
          <w:p>
            <w:pPr>
              <w:spacing w:after="0" w:line="156" w:lineRule="exact"/>
              <w:rPr>
                <w:rFonts w:ascii="Arial" w:cs="Arial" w:eastAsia="Arial" w:hAnsi="Arial"/>
                <w:sz w:val="18"/>
                <w:szCs w:val="18"/>
                <w:color w:val="0000FF"/>
                <w:w w:val="91"/>
              </w:rPr>
            </w:pPr>
            <w:hyperlink w:anchor="page103">
              <w:r>
                <w:rPr>
                  <w:rFonts w:ascii="Arial" w:cs="Arial" w:eastAsia="Arial" w:hAnsi="Arial"/>
                  <w:sz w:val="18"/>
                  <w:szCs w:val="18"/>
                  <w:color w:val="0000FF"/>
                  <w:w w:val="91"/>
                </w:rPr>
                <w:t>14(a) under the Securities Exchange Act of 1934, as adopted pursuant</w:t>
              </w:r>
            </w:hyperlink>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03">
              <w:r>
                <w:rPr>
                  <w:rFonts w:ascii="Arial" w:cs="Arial" w:eastAsia="Arial" w:hAnsi="Arial"/>
                  <w:sz w:val="18"/>
                  <w:szCs w:val="18"/>
                  <w:color w:val="0000FF"/>
                </w:rPr>
                <w:t>to Section 302 of the Sarbanes-Oxley Act of 2002.</w:t>
              </w:r>
            </w:hyperlink>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92"/>
              <w:spacing w:after="0" w:line="196" w:lineRule="exact"/>
              <w:rPr>
                <w:sz w:val="20"/>
                <w:szCs w:val="20"/>
                <w:color w:val="auto"/>
              </w:rPr>
            </w:pPr>
            <w:r>
              <w:rPr>
                <w:rFonts w:ascii="Arial" w:cs="Arial" w:eastAsia="Arial" w:hAnsi="Arial"/>
                <w:sz w:val="18"/>
                <w:szCs w:val="18"/>
                <w:color w:val="auto"/>
              </w:rPr>
              <w:t>32</w:t>
            </w:r>
          </w:p>
        </w:tc>
        <w:tc>
          <w:tcPr>
            <w:tcW w:w="5140" w:type="dxa"/>
            <w:vAlign w:val="bottom"/>
            <w:gridSpan w:val="18"/>
          </w:tcPr>
          <w:p>
            <w:pPr>
              <w:spacing w:after="0" w:line="196" w:lineRule="exact"/>
              <w:rPr>
                <w:rFonts w:ascii="Arial" w:cs="Arial" w:eastAsia="Arial" w:hAnsi="Arial"/>
                <w:sz w:val="18"/>
                <w:szCs w:val="18"/>
                <w:color w:val="0000FF"/>
                <w:w w:val="98"/>
              </w:rPr>
            </w:pPr>
            <w:hyperlink w:anchor="page104">
              <w:r>
                <w:rPr>
                  <w:rFonts w:ascii="Arial" w:cs="Arial" w:eastAsia="Arial" w:hAnsi="Arial"/>
                  <w:sz w:val="18"/>
                  <w:szCs w:val="18"/>
                  <w:color w:val="0000FF"/>
                  <w:w w:val="98"/>
                </w:rPr>
                <w:t>Certification of Chief Executive Officer and Chief Financial Officer</w:t>
              </w:r>
            </w:hyperlink>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jc w:val="center"/>
              <w:ind w:left="97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900" w:type="dxa"/>
            <w:vAlign w:val="bottom"/>
            <w:tcBorders>
              <w:top w:val="single" w:sz="8" w:color="0000FF"/>
            </w:tcBorders>
            <w:gridSpan w:val="13"/>
          </w:tcPr>
          <w:p>
            <w:pPr>
              <w:spacing w:after="0" w:line="156"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pursuant to 18 U.S.C. Section 1350, as adopted pursuant to Section</w:t>
              </w:r>
            </w:hyperlink>
          </w:p>
        </w:tc>
        <w:tc>
          <w:tcPr>
            <w:tcW w:w="240" w:type="dxa"/>
            <w:vAlign w:val="bottom"/>
            <w:gridSpan w:val="5"/>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906 of the Sarbanes-Oxley Act of 2002.</w:t>
              </w:r>
            </w:hyperlink>
          </w:p>
        </w:tc>
        <w:tc>
          <w:tcPr>
            <w:tcW w:w="1960" w:type="dxa"/>
            <w:vAlign w:val="bottom"/>
            <w:tcBorders>
              <w:top w:val="single" w:sz="8" w:color="0000FF"/>
            </w:tcBorders>
            <w:gridSpan w:val="9"/>
          </w:tcPr>
          <w:p>
            <w:pPr>
              <w:spacing w:after="0"/>
              <w:rPr>
                <w:sz w:val="13"/>
                <w:szCs w:val="13"/>
                <w:color w:val="auto"/>
              </w:rPr>
            </w:pPr>
          </w:p>
        </w:tc>
        <w:tc>
          <w:tcPr>
            <w:tcW w:w="300" w:type="dxa"/>
            <w:vAlign w:val="bottom"/>
            <w:gridSpan w:val="8"/>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101.INS</w:t>
            </w:r>
          </w:p>
        </w:tc>
        <w:tc>
          <w:tcPr>
            <w:tcW w:w="5140" w:type="dxa"/>
            <w:vAlign w:val="bottom"/>
            <w:gridSpan w:val="18"/>
          </w:tcPr>
          <w:p>
            <w:pPr>
              <w:spacing w:after="0"/>
              <w:rPr>
                <w:sz w:val="20"/>
                <w:szCs w:val="20"/>
                <w:color w:val="auto"/>
              </w:rPr>
            </w:pPr>
            <w:r>
              <w:rPr>
                <w:rFonts w:ascii="Arial" w:cs="Arial" w:eastAsia="Arial" w:hAnsi="Arial"/>
                <w:sz w:val="18"/>
                <w:szCs w:val="18"/>
                <w:color w:val="auto"/>
                <w:w w:val="97"/>
              </w:rPr>
              <w:t>Inline XBRL Instance Document - the instance document does not</w:t>
            </w: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101.SCH</w:t>
            </w:r>
          </w:p>
        </w:tc>
        <w:tc>
          <w:tcPr>
            <w:tcW w:w="51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101.CAL</w:t>
            </w:r>
          </w:p>
        </w:tc>
        <w:tc>
          <w:tcPr>
            <w:tcW w:w="5140" w:type="dxa"/>
            <w:vAlign w:val="bottom"/>
            <w:gridSpan w:val="18"/>
          </w:tcPr>
          <w:p>
            <w:pPr>
              <w:spacing w:after="0"/>
              <w:rPr>
                <w:sz w:val="20"/>
                <w:szCs w:val="20"/>
                <w:color w:val="auto"/>
              </w:rPr>
            </w:pPr>
            <w:r>
              <w:rPr>
                <w:rFonts w:ascii="Arial" w:cs="Arial" w:eastAsia="Arial" w:hAnsi="Arial"/>
                <w:sz w:val="18"/>
                <w:szCs w:val="18"/>
                <w:color w:val="auto"/>
                <w:w w:val="97"/>
              </w:rPr>
              <w:t>Inline XBRL Taxonomy Extension Calculation Linkbase Document</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101.LAB</w:t>
            </w:r>
          </w:p>
        </w:tc>
        <w:tc>
          <w:tcPr>
            <w:tcW w:w="51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101.PRE</w:t>
            </w:r>
          </w:p>
        </w:tc>
        <w:tc>
          <w:tcPr>
            <w:tcW w:w="5140" w:type="dxa"/>
            <w:vAlign w:val="bottom"/>
            <w:gridSpan w:val="18"/>
          </w:tcPr>
          <w:p>
            <w:pPr>
              <w:spacing w:after="0"/>
              <w:rPr>
                <w:sz w:val="20"/>
                <w:szCs w:val="20"/>
                <w:color w:val="auto"/>
              </w:rPr>
            </w:pPr>
            <w:r>
              <w:rPr>
                <w:rFonts w:ascii="Arial" w:cs="Arial" w:eastAsia="Arial" w:hAnsi="Arial"/>
                <w:sz w:val="18"/>
                <w:szCs w:val="18"/>
                <w:color w:val="auto"/>
                <w:w w:val="95"/>
              </w:rPr>
              <w:t>Inline XBRL Taxonomy Extension Presentation Linkbase Document</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101.DEF</w:t>
            </w:r>
          </w:p>
        </w:tc>
        <w:tc>
          <w:tcPr>
            <w:tcW w:w="5140" w:type="dxa"/>
            <w:vAlign w:val="bottom"/>
            <w:gridSpan w:val="18"/>
          </w:tcPr>
          <w:p>
            <w:pPr>
              <w:spacing w:after="0"/>
              <w:rPr>
                <w:sz w:val="20"/>
                <w:szCs w:val="20"/>
                <w:color w:val="auto"/>
              </w:rPr>
            </w:pPr>
            <w:r>
              <w:rPr>
                <w:rFonts w:ascii="Arial" w:cs="Arial" w:eastAsia="Arial" w:hAnsi="Arial"/>
                <w:sz w:val="18"/>
                <w:szCs w:val="18"/>
                <w:color w:val="auto"/>
                <w:w w:val="99"/>
              </w:rPr>
              <w:t>Inline XBRL Taxonomy Extension Definition Linkbase Document</w:t>
            </w:r>
          </w:p>
        </w:tc>
        <w:tc>
          <w:tcPr>
            <w:tcW w:w="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514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8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0" w:type="dxa"/>
            <w:vAlign w:val="bottom"/>
          </w:tcPr>
          <w:p>
            <w:pPr>
              <w:jc w:val="center"/>
              <w:ind w:left="97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auto"/>
              </w:rPr>
              <w:t>contained in Exhibit 101)</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28" w:lineRule="exact"/>
        <w:rPr>
          <w:sz w:val="20"/>
          <w:szCs w:val="20"/>
          <w:color w:val="auto"/>
        </w:rPr>
      </w:pPr>
    </w:p>
    <w:p>
      <w:pPr>
        <w:ind w:left="50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514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1" w:right="35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2007 EQUITY INCENTIVE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STOCK OPTION AWARD AGREEMENT</w:t>
      </w:r>
    </w:p>
    <w:p>
      <w:pPr>
        <w:spacing w:after="0" w:line="2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Unless otherwise defined herein, the terms defined in the Amkor Technology, Inc. Second Amended and Restated 2007 Equity Incentive Plan (the “Plan”) will have the same defined meanings in this Global Stock Option Award Agreement, including the general terms and conditions for non-U.S. Participants and the additional terms and conditions for certain countries, all as set forth in the appendix attached hereto (the “Appendix” and, together, the “Award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You have been granted an Option to purchase Common Stock of Amkor Technology, Inc. (the "Company"), subject to the terms and conditions of the Plan and this Award Agreement,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Grant Number:</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Date of Grant: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Vesting Commencement Date: </w:t>
      </w:r>
      <w:r>
        <w:rPr>
          <w:rFonts w:ascii="Arial" w:cs="Arial" w:eastAsia="Arial" w:hAnsi="Arial"/>
          <w:sz w:val="20"/>
          <w:szCs w:val="20"/>
          <w:color w:val="auto"/>
        </w:rPr>
        <w:t>See Vesting Schedule Below</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Exercise Price per Share</w:t>
      </w:r>
      <w:r>
        <w:rPr>
          <w:rFonts w:ascii="Arial" w:cs="Arial" w:eastAsia="Arial" w:hAnsi="Arial"/>
          <w:sz w:val="20"/>
          <w:szCs w:val="20"/>
          <w:color w:val="auto"/>
        </w:rPr>
        <w: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Total Number of Shares Granted:</w:t>
      </w:r>
    </w:p>
    <w:p>
      <w:pPr>
        <w:spacing w:after="0" w:line="283"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0"/>
          <w:szCs w:val="20"/>
          <w:b w:val="1"/>
          <w:bCs w:val="1"/>
          <w:color w:val="auto"/>
        </w:rPr>
        <w:t>Type of Option:</w:t>
      </w:r>
      <w:r>
        <w:rPr>
          <w:sz w:val="20"/>
          <w:szCs w:val="20"/>
          <w:color w:val="auto"/>
        </w:rPr>
        <w:tab/>
      </w:r>
      <w:r>
        <w:rPr>
          <w:rFonts w:ascii="Arial" w:cs="Arial" w:eastAsia="Arial" w:hAnsi="Arial"/>
          <w:sz w:val="18"/>
          <w:szCs w:val="18"/>
          <w:color w:val="auto"/>
        </w:rPr>
        <w:t>____ Incentive Stock Option</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____ Non-statutory Stock Option</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Term/Expiration Date:</w:t>
      </w:r>
    </w:p>
    <w:p>
      <w:pPr>
        <w:spacing w:after="0" w:line="289" w:lineRule="exact"/>
        <w:rPr>
          <w:sz w:val="20"/>
          <w:szCs w:val="20"/>
          <w:color w:val="auto"/>
        </w:rPr>
      </w:pPr>
    </w:p>
    <w:p>
      <w:pPr>
        <w:jc w:val="both"/>
        <w:ind w:firstLine="656"/>
        <w:spacing w:after="0" w:line="287"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individual named in this Award Agreement (the “Participant”) an option (the “Option”) to purchase the number of Shares, as set forth in this Award Agreement, at the exercise price per Share set forth in this Award Agreement (the “Exercise Price”),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shall prevail.</w:t>
      </w:r>
    </w:p>
    <w:p>
      <w:pPr>
        <w:sectPr>
          <w:pgSz w:w="11900" w:h="16838" w:orient="portrait"/>
          <w:cols w:equalWidth="0" w:num="1">
            <w:col w:w="11240"/>
          </w:cols>
          <w:pgMar w:left="320" w:top="1435" w:right="339" w:bottom="1440" w:gutter="0" w:footer="0" w:header="0"/>
        </w:sectPr>
      </w:pPr>
    </w:p>
    <w:bookmarkStart w:id="51" w:name="page52"/>
    <w:bookmarkEnd w:id="51"/>
    <w:p>
      <w:pPr>
        <w:spacing w:after="0" w:line="6"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9"/>
          <w:szCs w:val="19"/>
          <w:color w:val="auto"/>
        </w:rPr>
        <w:t>If designated in the Award Agreement as an Incentive Stock Option (“ISO”), this Option is intended to qualify as an Incentive Stock Option under Section 422 of the Code. However, if this Option is intended to be an Incentive Stock Option, to the extent that it exceeds the $100,000 limit set forth in Section 422(d) of the Code, it shall be treated as a Nonstatutory Stock Option (“NSO”)</w:t>
      </w:r>
    </w:p>
    <w:p>
      <w:pPr>
        <w:spacing w:after="0" w:line="195" w:lineRule="exact"/>
        <w:rPr>
          <w:sz w:val="20"/>
          <w:szCs w:val="20"/>
          <w:color w:val="auto"/>
        </w:rPr>
      </w:pPr>
    </w:p>
    <w:p>
      <w:pPr>
        <w:ind w:firstLine="656"/>
        <w:spacing w:after="0" w:line="303"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and subject to any acceleration provisions contained in the Plan or set forth below, this Option will become vested and exercisable in accordance with the following schedule: [INSERT].</w:t>
      </w:r>
    </w:p>
    <w:p>
      <w:pPr>
        <w:spacing w:after="0" w:line="202" w:lineRule="exact"/>
        <w:rPr>
          <w:sz w:val="20"/>
          <w:szCs w:val="20"/>
          <w:color w:val="auto"/>
        </w:rPr>
      </w:pPr>
    </w:p>
    <w:p>
      <w:pPr>
        <w:jc w:val="both"/>
        <w:ind w:firstLine="434"/>
        <w:spacing w:after="0" w:line="329" w:lineRule="auto"/>
        <w:rPr>
          <w:sz w:val="20"/>
          <w:szCs w:val="20"/>
          <w:color w:val="auto"/>
        </w:rPr>
      </w:pPr>
      <w:r>
        <w:rPr>
          <w:rFonts w:ascii="Arial" w:cs="Arial" w:eastAsia="Arial" w:hAnsi="Arial"/>
          <w:sz w:val="18"/>
          <w:szCs w:val="18"/>
          <w:color w:val="auto"/>
        </w:rPr>
        <w:t>Options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is scheduled to occur. For the avoidance of doubt, employment or service during only a portion of the vesting period until the respective vesting date shall not entitle Participant to vest in a pro rata portion of the Option scheduled to vest on such date.</w:t>
      </w:r>
    </w:p>
    <w:p>
      <w:pPr>
        <w:spacing w:after="0" w:line="188"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Termination Period</w:t>
      </w:r>
      <w:r>
        <w:rPr>
          <w:rFonts w:ascii="Arial" w:cs="Arial" w:eastAsia="Arial" w:hAnsi="Arial"/>
          <w:sz w:val="20"/>
          <w:szCs w:val="20"/>
          <w:color w:val="auto"/>
        </w:rPr>
        <w:t>.</w:t>
      </w:r>
    </w:p>
    <w:p>
      <w:pPr>
        <w:spacing w:after="0" w:line="40" w:lineRule="exact"/>
        <w:rPr>
          <w:sz w:val="20"/>
          <w:szCs w:val="20"/>
          <w:color w:val="auto"/>
        </w:rPr>
      </w:pPr>
    </w:p>
    <w:p>
      <w:pPr>
        <w:jc w:val="both"/>
        <w:ind w:firstLine="656"/>
        <w:spacing w:after="0" w:line="310" w:lineRule="auto"/>
        <w:tabs>
          <w:tab w:leader="none" w:pos="9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the event that Participant ceases to be a Service Provider, the portion of the Option that is not vested as of such date shall be immediately forfeited with no consideration due to Participant and the portion of the Option that is vested and exercisable as of the date of such cessation shall remain exercisable (except as otherwise provided below): (x) if Participant ceases to be a Service Provider due to Participant’s resignation for any reason (other than Retirement) or due to termination by the Company or any Subsidiary for any reason, for </w:t>
      </w:r>
      <w:r>
        <w:rPr>
          <w:rFonts w:ascii="Arial" w:cs="Arial" w:eastAsia="Arial" w:hAnsi="Arial"/>
          <w:sz w:val="18"/>
          <w:szCs w:val="18"/>
          <w:b w:val="1"/>
          <w:bCs w:val="1"/>
          <w:color w:val="auto"/>
        </w:rPr>
        <w:t xml:space="preserve">three (3) months </w:t>
      </w:r>
      <w:r>
        <w:rPr>
          <w:rFonts w:ascii="Arial" w:cs="Arial" w:eastAsia="Arial" w:hAnsi="Arial"/>
          <w:sz w:val="18"/>
          <w:szCs w:val="18"/>
          <w:color w:val="auto"/>
        </w:rPr>
        <w:t>after Participant ceases to be a Service Provider; (y) if Participant ceases to be a Service Provider due to death or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w:t>
      </w:r>
      <w:r>
        <w:rPr>
          <w:rFonts w:ascii="Arial" w:cs="Arial" w:eastAsia="Arial" w:hAnsi="Arial"/>
          <w:sz w:val="18"/>
          <w:szCs w:val="18"/>
          <w:b w:val="1"/>
          <w:bCs w:val="1"/>
          <w:color w:val="auto"/>
        </w:rPr>
        <w:t>twenty-four (24) months</w:t>
      </w:r>
      <w:r>
        <w:rPr>
          <w:rFonts w:ascii="Arial" w:cs="Arial" w:eastAsia="Arial" w:hAnsi="Arial"/>
          <w:sz w:val="18"/>
          <w:szCs w:val="18"/>
          <w:color w:val="auto"/>
        </w:rPr>
        <w:t xml:space="preserve"> after Participant ceases to be a Service Provider; and (z) if Participant ceases to be a Service Provider due to Retirement, for </w:t>
      </w:r>
      <w:r>
        <w:rPr>
          <w:rFonts w:ascii="Arial" w:cs="Arial" w:eastAsia="Arial" w:hAnsi="Arial"/>
          <w:sz w:val="18"/>
          <w:szCs w:val="18"/>
          <w:b w:val="1"/>
          <w:bCs w:val="1"/>
          <w:color w:val="auto"/>
        </w:rPr>
        <w:t>twenty-four (24) months</w:t>
      </w:r>
      <w:r>
        <w:rPr>
          <w:rFonts w:ascii="Arial" w:cs="Arial" w:eastAsia="Arial" w:hAnsi="Arial"/>
          <w:sz w:val="18"/>
          <w:szCs w:val="18"/>
          <w:color w:val="auto"/>
        </w:rPr>
        <w:t xml:space="preserve"> following Participant’s Retirement. If the exercise of the Option following the termination of Participant’s status as a Service Provider (other than upon Participant’s death or Disability) would result in liability under Section 16(b), then the vested portion of the Option will terminate on the earlier of (A) the Term/Expiration Date or (B)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after the last date on which such exercise would result in such liability under Section 16(b). If the exercise of the Option following the termination of Participant’s status as a Service Provider (other than upon Participant’s death or Disability) would be prohibited at any time solely because the issuance of Shares would violate the registration requirements under the U.S. Securities Act of 1933, as amended (the “Securities Act”), then the vested portion of the Option will terminate on the earlier of (A) the Term/Expiration Date or (B) three (3) months after the last day on which the exercise of the Option would be in violation of such registration requirements. Notwithstanding anything contained herein to the contrary, in no event shall this Option be exercised later than the Term/Expiration Date as provided above. In addition, the Option may be subject to earlier termination as provided in Section 16(c) of the Plan.</w:t>
      </w:r>
    </w:p>
    <w:p>
      <w:pPr>
        <w:spacing w:after="0" w:line="211" w:lineRule="exact"/>
        <w:rPr>
          <w:rFonts w:ascii="Arial" w:cs="Arial" w:eastAsia="Arial" w:hAnsi="Arial"/>
          <w:sz w:val="18"/>
          <w:szCs w:val="18"/>
          <w:color w:val="auto"/>
        </w:rPr>
      </w:pPr>
    </w:p>
    <w:p>
      <w:pPr>
        <w:ind w:firstLine="656"/>
        <w:spacing w:after="0" w:line="303" w:lineRule="auto"/>
        <w:tabs>
          <w:tab w:leader="none" w:pos="939" w:val="left"/>
        </w:tabs>
        <w:numPr>
          <w:ilvl w:val="0"/>
          <w:numId w:val="29"/>
        </w:numPr>
        <w:rPr>
          <w:rFonts w:ascii="Arial" w:cs="Arial" w:eastAsia="Arial" w:hAnsi="Arial"/>
          <w:sz w:val="20"/>
          <w:szCs w:val="20"/>
          <w:color w:val="auto"/>
        </w:rPr>
      </w:pPr>
      <w:r>
        <w:rPr>
          <w:rFonts w:ascii="Arial" w:cs="Arial" w:eastAsia="Arial" w:hAnsi="Arial"/>
          <w:sz w:val="20"/>
          <w:szCs w:val="20"/>
          <w:color w:val="auto"/>
        </w:rPr>
        <w:t>For purposes of the Option, the Participant's status as a Service Provider will be deemed terminated as of the date Participant is no longer actively providing services to the Company or one of its</w:t>
      </w:r>
    </w:p>
    <w:p>
      <w:pPr>
        <w:sectPr>
          <w:pgSz w:w="11900" w:h="16838" w:orient="portrait"/>
          <w:cols w:equalWidth="0" w:num="1">
            <w:col w:w="11240"/>
          </w:cols>
          <w:pgMar w:left="320" w:top="1440" w:right="339" w:bottom="1440" w:gutter="0" w:footer="0" w:header="0"/>
        </w:sectPr>
      </w:pPr>
    </w:p>
    <w:bookmarkStart w:id="52" w:name="page53"/>
    <w:bookmarkEnd w:id="52"/>
    <w:p>
      <w:pPr>
        <w:spacing w:after="0" w:line="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Subsidiaries (regardless of the reason for such termination and whether or not later found to be invalid or in breach of labor laws in the jurisdiction where the Participant is providing service or the terms of the Participant's employment or other service agreement, if any) and such date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labor laws in the jurisdiction where the Participant is providing service or the terms of Participant's employment or other service agreement, if any). The Administrator shall have the exclusive discretion to determine when Participant is no longer actively provides services for purposes of the Option (including whether Participant may still be considered to be providing services while on a leave of absence).</w:t>
      </w:r>
    </w:p>
    <w:p>
      <w:pPr>
        <w:spacing w:after="0" w:line="208" w:lineRule="exact"/>
        <w:rPr>
          <w:sz w:val="20"/>
          <w:szCs w:val="20"/>
          <w:color w:val="auto"/>
        </w:rPr>
      </w:pPr>
    </w:p>
    <w:p>
      <w:pPr>
        <w:jc w:val="both"/>
        <w:ind w:firstLine="656"/>
        <w:spacing w:after="0" w:line="292"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Administrator Discretion</w:t>
      </w:r>
      <w:r>
        <w:rPr>
          <w:rFonts w:ascii="Arial" w:cs="Arial" w:eastAsia="Arial" w:hAnsi="Arial"/>
          <w:sz w:val="20"/>
          <w:szCs w:val="20"/>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13" w:lineRule="exact"/>
        <w:rPr>
          <w:rFonts w:ascii="Arial" w:cs="Arial" w:eastAsia="Arial" w:hAnsi="Arial"/>
          <w:sz w:val="20"/>
          <w:szCs w:val="20"/>
          <w:color w:val="auto"/>
        </w:rPr>
      </w:pPr>
    </w:p>
    <w:p>
      <w:pPr>
        <w:jc w:val="both"/>
        <w:ind w:right="20" w:firstLine="656"/>
        <w:spacing w:after="0" w:line="338"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This Option is exercisable during its term in accordance with the vesting schedule set out in Section 2 of this Award Agreement and the applicable provisions of the Plan and this Award Agreement. This Option is exercisable by completing the transaction through the Company's captive broker assisted voice response system or the Internet secured transaction system.</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 Option shall be deemed to be exercised upon completion of the transactions through the Company's captive broker assisted voice response system or the Internet secured transaction system, or such other process established by the Company or the Company’s captive broker. The exercise shall be accompanied by payment of the aggregate Exercise Price as to the number of Shares in respect of which the Option is being exercised (the “Exercised Shares”), and subject to the satisfaction of any applicable withholding obligation for Tax-Related Items (as defined in Section 7 of this Award Agreement). No Shares shall be issued pursuant to the exercise of this Option unless such issuance and exercise complies with Applicable Laws.</w:t>
      </w:r>
    </w:p>
    <w:p>
      <w:pPr>
        <w:spacing w:after="0" w:line="219" w:lineRule="exact"/>
        <w:rPr>
          <w:sz w:val="20"/>
          <w:szCs w:val="20"/>
          <w:color w:val="auto"/>
        </w:rPr>
      </w:pPr>
    </w:p>
    <w:p>
      <w:pPr>
        <w:ind w:firstLine="656"/>
        <w:spacing w:after="0" w:line="303" w:lineRule="auto"/>
        <w:tabs>
          <w:tab w:leader="none" w:pos="129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 Payment of the aggregate Exercise Price shall be by any of the following, or a combination thereof, at the election of Participant:</w:t>
      </w:r>
    </w:p>
    <w:p>
      <w:pPr>
        <w:spacing w:after="0" w:line="202" w:lineRule="exact"/>
        <w:rPr>
          <w:rFonts w:ascii="Arial" w:cs="Arial" w:eastAsia="Arial" w:hAnsi="Arial"/>
          <w:sz w:val="20"/>
          <w:szCs w:val="20"/>
          <w:color w:val="auto"/>
        </w:rPr>
      </w:pPr>
    </w:p>
    <w:p>
      <w:pPr>
        <w:ind w:left="1940" w:hanging="636"/>
        <w:spacing w:after="0"/>
        <w:tabs>
          <w:tab w:leader="none" w:pos="19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Cash;</w:t>
      </w:r>
    </w:p>
    <w:p>
      <w:pPr>
        <w:spacing w:after="0" w:line="283" w:lineRule="exact"/>
        <w:rPr>
          <w:rFonts w:ascii="Arial" w:cs="Arial" w:eastAsia="Arial" w:hAnsi="Arial"/>
          <w:sz w:val="20"/>
          <w:szCs w:val="20"/>
          <w:color w:val="auto"/>
        </w:rPr>
      </w:pPr>
    </w:p>
    <w:p>
      <w:pPr>
        <w:ind w:left="1940" w:hanging="636"/>
        <w:spacing w:after="0"/>
        <w:tabs>
          <w:tab w:leader="none" w:pos="19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Check;</w:t>
      </w:r>
    </w:p>
    <w:p>
      <w:pPr>
        <w:spacing w:after="0" w:line="283" w:lineRule="exact"/>
        <w:rPr>
          <w:rFonts w:ascii="Arial" w:cs="Arial" w:eastAsia="Arial" w:hAnsi="Arial"/>
          <w:sz w:val="20"/>
          <w:szCs w:val="20"/>
          <w:color w:val="auto"/>
        </w:rPr>
      </w:pPr>
    </w:p>
    <w:p>
      <w:pPr>
        <w:ind w:firstLine="1304"/>
        <w:spacing w:after="0" w:line="303" w:lineRule="auto"/>
        <w:tabs>
          <w:tab w:leader="none" w:pos="1934"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Consideration received by the Company under a cashless exercise program implemented by the Company in connection with the Plan;</w:t>
      </w:r>
    </w:p>
    <w:p>
      <w:pPr>
        <w:spacing w:after="0" w:line="202" w:lineRule="exact"/>
        <w:rPr>
          <w:rFonts w:ascii="Arial" w:cs="Arial" w:eastAsia="Arial" w:hAnsi="Arial"/>
          <w:sz w:val="20"/>
          <w:szCs w:val="20"/>
          <w:color w:val="auto"/>
        </w:rPr>
      </w:pPr>
    </w:p>
    <w:p>
      <w:pPr>
        <w:ind w:right="20" w:firstLine="1304"/>
        <w:spacing w:after="0" w:line="303" w:lineRule="auto"/>
        <w:tabs>
          <w:tab w:leader="none" w:pos="1932" w:val="left"/>
        </w:tabs>
        <w:numPr>
          <w:ilvl w:val="1"/>
          <w:numId w:val="31"/>
        </w:numPr>
        <w:rPr>
          <w:rFonts w:ascii="Arial" w:cs="Arial" w:eastAsia="Arial" w:hAnsi="Arial"/>
          <w:sz w:val="20"/>
          <w:szCs w:val="20"/>
          <w:color w:val="auto"/>
        </w:rPr>
      </w:pPr>
      <w:r>
        <w:rPr>
          <w:rFonts w:ascii="Arial" w:cs="Arial" w:eastAsia="Arial" w:hAnsi="Arial"/>
          <w:sz w:val="20"/>
          <w:szCs w:val="20"/>
          <w:color w:val="auto"/>
        </w:rPr>
        <w:t>For U.S. Participants only, surrender of other Shares which have a Fair Market Value on the date of exercise equal to the aggregate Exercise Price of the Exercised Shares, provided that</w:t>
      </w:r>
    </w:p>
    <w:p>
      <w:pPr>
        <w:sectPr>
          <w:pgSz w:w="11900" w:h="16838" w:orient="portrait"/>
          <w:cols w:equalWidth="0" w:num="1">
            <w:col w:w="11240"/>
          </w:cols>
          <w:pgMar w:left="320" w:top="1440" w:right="339" w:bottom="1440" w:gutter="0" w:footer="0" w:header="0"/>
        </w:sectPr>
      </w:pPr>
    </w:p>
    <w:bookmarkStart w:id="53" w:name="page54"/>
    <w:bookmarkEnd w:id="53"/>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accepting such Shares, in the sole discretion of the Administrator, will not result in any adverse accounting consequences to the Company; or</w:t>
      </w:r>
    </w:p>
    <w:p>
      <w:pPr>
        <w:spacing w:after="0" w:line="329" w:lineRule="exact"/>
        <w:rPr>
          <w:sz w:val="20"/>
          <w:szCs w:val="20"/>
          <w:color w:val="auto"/>
        </w:rPr>
      </w:pPr>
    </w:p>
    <w:p>
      <w:pPr>
        <w:jc w:val="both"/>
        <w:ind w:firstLine="1304"/>
        <w:spacing w:after="0" w:line="288" w:lineRule="auto"/>
        <w:tabs>
          <w:tab w:leader="none" w:pos="1934"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Retention by the Company of a number of the whole Shares otherwise deliverable to Participant on exercise of the Option having an aggregate Fair Market Value (determined on the date of exercise) equal to the aggregate Exercise Price unless, in the case of Participants who are not subject to the reporting requirements of Section 16 of the Exchange Act, such right is revoked by the Administrator prior to the time of exercise.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all events, the aggregate Exercise Price must be paid to the Company within three days after the date of exercise.</w:t>
      </w:r>
    </w:p>
    <w:p>
      <w:pPr>
        <w:spacing w:after="0" w:line="283"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Notwithstanding the foregoing, if Participant is subject to Section 16 of the Exchange Act at the time of exercise, then the Exercise Price shall be paid as provided in Section 6(d) above, unless the Administrator and Participant agree otherwise.</w:t>
      </w:r>
    </w:p>
    <w:p>
      <w:pPr>
        <w:spacing w:after="0" w:line="202"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w:t>
      </w:r>
    </w:p>
    <w:p>
      <w:pPr>
        <w:spacing w:after="0" w:line="283" w:lineRule="exact"/>
        <w:rPr>
          <w:rFonts w:ascii="Arial" w:cs="Arial" w:eastAsia="Arial" w:hAnsi="Arial"/>
          <w:sz w:val="20"/>
          <w:szCs w:val="20"/>
          <w:color w:val="auto"/>
        </w:rPr>
      </w:pPr>
    </w:p>
    <w:p>
      <w:pPr>
        <w:jc w:val="both"/>
        <w:ind w:firstLine="1304"/>
        <w:spacing w:after="0" w:line="318" w:lineRule="auto"/>
        <w:tabs>
          <w:tab w:leader="none" w:pos="193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this Option, including, but not limited to, the grant, vesting or exercise of this Option, the subsequent sale of Shares acquired upon the exercise of this Option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96" w:lineRule="exact"/>
        <w:rPr>
          <w:rFonts w:ascii="Arial" w:cs="Arial" w:eastAsia="Arial" w:hAnsi="Arial"/>
          <w:sz w:val="18"/>
          <w:szCs w:val="18"/>
          <w:color w:val="auto"/>
        </w:rPr>
      </w:pPr>
    </w:p>
    <w:p>
      <w:pPr>
        <w:jc w:val="both"/>
        <w:ind w:firstLine="1304"/>
        <w:spacing w:after="0" w:line="285" w:lineRule="auto"/>
        <w:tabs>
          <w:tab w:leader="none" w:pos="1932" w:val="left"/>
        </w:tabs>
        <w:numPr>
          <w:ilvl w:val="1"/>
          <w:numId w:val="33"/>
        </w:numPr>
        <w:rPr>
          <w:rFonts w:ascii="Arial" w:cs="Arial" w:eastAsia="Arial" w:hAnsi="Arial"/>
          <w:sz w:val="20"/>
          <w:szCs w:val="20"/>
          <w:color w:val="auto"/>
        </w:rPr>
      </w:pPr>
      <w:r>
        <w:rPr>
          <w:rFonts w:ascii="Arial" w:cs="Arial" w:eastAsia="Arial" w:hAnsi="Arial"/>
          <w:sz w:val="20"/>
          <w:szCs w:val="20"/>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acquired upon the exercise of this Option either through a voluntary sale or through a mandatory sale arranged by the Company (on Participant’s behalf</w:t>
      </w:r>
    </w:p>
    <w:p>
      <w:pPr>
        <w:sectPr>
          <w:pgSz w:w="11900" w:h="16838" w:orient="portrait"/>
          <w:cols w:equalWidth="0" w:num="1">
            <w:col w:w="11240"/>
          </w:cols>
          <w:pgMar w:left="320" w:top="1440" w:right="339" w:bottom="1440" w:gutter="0" w:footer="0" w:header="0"/>
        </w:sectPr>
      </w:pPr>
    </w:p>
    <w:bookmarkStart w:id="54" w:name="page55"/>
    <w:bookmarkEnd w:id="54"/>
    <w:p>
      <w:pPr>
        <w:spacing w:after="0" w:line="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pursuant to this authorization without further consent), (iii) withholding from the Shares otherwise issuable at exercise of this Option, or (iv) any method determined by the Administrator to be in compliance with Applicable Laws. Notwithstanding the foregoing, any Participant who is subject to the requirements of Section 16 of the Exchange Act at the time the withholding obligation for Tax-Related Items becomes due, shall satisfy any withholding obligation for Tax-Related Items by the method described in (iii).</w:t>
      </w:r>
    </w:p>
    <w:p>
      <w:pPr>
        <w:spacing w:after="0" w:line="201" w:lineRule="exact"/>
        <w:rPr>
          <w:sz w:val="20"/>
          <w:szCs w:val="20"/>
          <w:color w:val="auto"/>
        </w:rPr>
      </w:pPr>
    </w:p>
    <w:p>
      <w:pPr>
        <w:jc w:val="both"/>
        <w:ind w:firstLine="1304"/>
        <w:spacing w:after="0" w:line="301" w:lineRule="auto"/>
        <w:tabs>
          <w:tab w:leader="none" w:pos="1934" w:val="left"/>
        </w:tabs>
        <w:numPr>
          <w:ilvl w:val="1"/>
          <w:numId w:val="34"/>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Service Recipient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exercised Option, notwithstanding that a number of the Shares is held back solely for the purpose of paying the Tax-Related Items.</w:t>
      </w:r>
    </w:p>
    <w:p>
      <w:pPr>
        <w:spacing w:after="0" w:line="210" w:lineRule="exact"/>
        <w:rPr>
          <w:rFonts w:ascii="Arial" w:cs="Arial" w:eastAsia="Arial" w:hAnsi="Arial"/>
          <w:sz w:val="19"/>
          <w:szCs w:val="19"/>
          <w:color w:val="auto"/>
        </w:rPr>
      </w:pPr>
    </w:p>
    <w:p>
      <w:pPr>
        <w:jc w:val="both"/>
        <w:ind w:firstLine="1304"/>
        <w:spacing w:after="0" w:line="287" w:lineRule="auto"/>
        <w:tabs>
          <w:tab w:leader="none" w:pos="1932" w:val="left"/>
        </w:tabs>
        <w:numPr>
          <w:ilvl w:val="1"/>
          <w:numId w:val="34"/>
        </w:numPr>
        <w:rPr>
          <w:rFonts w:ascii="Arial" w:cs="Arial" w:eastAsia="Arial" w:hAnsi="Arial"/>
          <w:sz w:val="20"/>
          <w:szCs w:val="20"/>
          <w:color w:val="auto"/>
        </w:rPr>
      </w:pPr>
      <w:r>
        <w:rPr>
          <w:rFonts w:ascii="Arial" w:cs="Arial" w:eastAsia="Arial" w:hAnsi="Arial"/>
          <w:sz w:val="20"/>
          <w:szCs w:val="20"/>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the exercise of the Option, if Participant fails to comply with his or her obligations in connection with the Tax-Related Items.</w:t>
      </w:r>
    </w:p>
    <w:p>
      <w:pPr>
        <w:spacing w:after="0" w:line="217" w:lineRule="exact"/>
        <w:rPr>
          <w:rFonts w:ascii="Arial" w:cs="Arial" w:eastAsia="Arial" w:hAnsi="Arial"/>
          <w:sz w:val="20"/>
          <w:szCs w:val="20"/>
          <w:color w:val="auto"/>
        </w:rPr>
      </w:pPr>
    </w:p>
    <w:p>
      <w:pPr>
        <w:jc w:val="both"/>
        <w:ind w:firstLine="656"/>
        <w:spacing w:after="0" w:line="305"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have been issued, recorded on the records of the Company or its transfer agents or registrars, and delivered to Participant. After such issuance, recordation and delivery, Participant will have all the rights of a stockholder of the Company with respect to such Shares, including voting and receipt of dividends and distributions on such Shares.</w:t>
      </w:r>
    </w:p>
    <w:p>
      <w:pPr>
        <w:spacing w:after="0" w:line="204" w:lineRule="exact"/>
        <w:rPr>
          <w:rFonts w:ascii="Arial" w:cs="Arial" w:eastAsia="Arial" w:hAnsi="Arial"/>
          <w:sz w:val="19"/>
          <w:szCs w:val="19"/>
          <w:color w:val="auto"/>
        </w:rPr>
      </w:pPr>
    </w:p>
    <w:p>
      <w:pPr>
        <w:jc w:val="both"/>
        <w:ind w:firstLine="656"/>
        <w:spacing w:after="0" w:line="285" w:lineRule="auto"/>
        <w:tabs>
          <w:tab w:leader="none" w:pos="129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OPTION PURSUANT TO THE VESTING SCHEDULE HEREOF IS EARNED ONLY BY CONTINUING AS A SERVICE PROVIDER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w:t>
      </w:r>
    </w:p>
    <w:p>
      <w:pPr>
        <w:sectPr>
          <w:pgSz w:w="11900" w:h="16838" w:orient="portrait"/>
          <w:cols w:equalWidth="0" w:num="1">
            <w:col w:w="11240"/>
          </w:cols>
          <w:pgMar w:left="320" w:top="1440" w:right="339" w:bottom="1440" w:gutter="0" w:footer="0" w:header="0"/>
        </w:sectPr>
      </w:pPr>
    </w:p>
    <w:bookmarkStart w:id="55" w:name="page56"/>
    <w:bookmarkEnd w:id="55"/>
    <w:p>
      <w:pPr>
        <w:spacing w:after="0" w:line="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RIGHT OR THE RIGHT OF THE SERVICE RECIPIENT TO TERMINATE PARTICIPANT’S RELATIONSHIP AS A SERVICE PROVIDER AT ANY TIME, WITH OR WITHOUT CAUSE.</w:t>
      </w:r>
    </w:p>
    <w:p>
      <w:pPr>
        <w:spacing w:after="0" w:line="202" w:lineRule="exact"/>
        <w:rPr>
          <w:sz w:val="20"/>
          <w:szCs w:val="20"/>
          <w:color w:val="auto"/>
        </w:rPr>
      </w:pPr>
    </w:p>
    <w:p>
      <w:pPr>
        <w:jc w:val="both"/>
        <w:ind w:firstLine="656"/>
        <w:spacing w:after="0" w:line="323" w:lineRule="auto"/>
        <w:tabs>
          <w:tab w:leader="none" w:pos="12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For Participants outside the United States, this Option shall be subject to the general terms and conditions for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life of the Option,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191" w:lineRule="exact"/>
        <w:rPr>
          <w:rFonts w:ascii="Arial" w:cs="Arial" w:eastAsia="Arial" w:hAnsi="Arial"/>
          <w:sz w:val="18"/>
          <w:szCs w:val="18"/>
          <w:color w:val="auto"/>
        </w:rPr>
      </w:pPr>
    </w:p>
    <w:p>
      <w:pPr>
        <w:jc w:val="both"/>
        <w:ind w:firstLine="656"/>
        <w:spacing w:after="0" w:line="288" w:lineRule="auto"/>
        <w:tabs>
          <w:tab w:leader="none" w:pos="1279"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Option.</w:t>
      </w:r>
    </w:p>
    <w:p>
      <w:pPr>
        <w:spacing w:after="0" w:line="219" w:lineRule="exact"/>
        <w:rPr>
          <w:rFonts w:ascii="Arial" w:cs="Arial" w:eastAsia="Arial" w:hAnsi="Arial"/>
          <w:sz w:val="20"/>
          <w:szCs w:val="20"/>
          <w:color w:val="auto"/>
        </w:rPr>
      </w:pPr>
    </w:p>
    <w:p>
      <w:pPr>
        <w:jc w:val="both"/>
        <w:ind w:firstLine="656"/>
        <w:spacing w:after="0" w:line="292" w:lineRule="auto"/>
        <w:tabs>
          <w:tab w:leader="none" w:pos="128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in care of its Stock Plan Administrator at Amkor Technology, Inc., 2045 East Innovation Circle, Tempe, Arizona, 85284, or at such other address as the Company may hereafter designate in writing.</w:t>
      </w:r>
    </w:p>
    <w:p>
      <w:pPr>
        <w:spacing w:after="0" w:line="213" w:lineRule="exact"/>
        <w:rPr>
          <w:rFonts w:ascii="Arial" w:cs="Arial" w:eastAsia="Arial" w:hAnsi="Arial"/>
          <w:sz w:val="20"/>
          <w:szCs w:val="20"/>
          <w:color w:val="auto"/>
        </w:rPr>
      </w:pPr>
    </w:p>
    <w:p>
      <w:pPr>
        <w:jc w:val="both"/>
        <w:ind w:firstLine="656"/>
        <w:spacing w:after="0" w:line="292" w:lineRule="auto"/>
        <w:tabs>
          <w:tab w:leader="none" w:pos="128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Waivers</w:t>
      </w:r>
      <w:r>
        <w:rPr>
          <w:rFonts w:ascii="Arial" w:cs="Arial" w:eastAsia="Arial" w:hAnsi="Arial"/>
          <w:sz w:val="20"/>
          <w:szCs w:val="20"/>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213" w:lineRule="exact"/>
        <w:rPr>
          <w:rFonts w:ascii="Arial" w:cs="Arial" w:eastAsia="Arial" w:hAnsi="Arial"/>
          <w:sz w:val="20"/>
          <w:szCs w:val="20"/>
          <w:color w:val="auto"/>
        </w:rPr>
      </w:pPr>
    </w:p>
    <w:p>
      <w:pPr>
        <w:ind w:firstLine="656"/>
        <w:spacing w:after="0" w:line="303" w:lineRule="auto"/>
        <w:tabs>
          <w:tab w:leader="none" w:pos="128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This Option may not be transferred in any manner otherwise than by will or by the laws of descent or distribution and may be exercised during the lifetime of Participant only by Participant.</w:t>
      </w:r>
    </w:p>
    <w:p>
      <w:pPr>
        <w:spacing w:after="0" w:line="202" w:lineRule="exact"/>
        <w:rPr>
          <w:rFonts w:ascii="Arial" w:cs="Arial" w:eastAsia="Arial" w:hAnsi="Arial"/>
          <w:sz w:val="20"/>
          <w:szCs w:val="20"/>
          <w:color w:val="auto"/>
        </w:rPr>
      </w:pPr>
    </w:p>
    <w:p>
      <w:pPr>
        <w:jc w:val="both"/>
        <w:ind w:firstLine="656"/>
        <w:spacing w:after="0" w:line="292" w:lineRule="auto"/>
        <w:tabs>
          <w:tab w:leader="none" w:pos="128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Option nor this Award Agreement may be assigned by Participant).</w:t>
      </w:r>
    </w:p>
    <w:p>
      <w:pPr>
        <w:spacing w:after="0" w:line="213" w:lineRule="exact"/>
        <w:rPr>
          <w:rFonts w:ascii="Arial" w:cs="Arial" w:eastAsia="Arial" w:hAnsi="Arial"/>
          <w:sz w:val="20"/>
          <w:szCs w:val="20"/>
          <w:color w:val="auto"/>
        </w:rPr>
      </w:pPr>
    </w:p>
    <w:p>
      <w:pPr>
        <w:jc w:val="both"/>
        <w:ind w:firstLine="656"/>
        <w:spacing w:after="0" w:line="287" w:lineRule="auto"/>
        <w:tabs>
          <w:tab w:leader="none" w:pos="128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determines, in its discretion, that the listing, registration or qualification of the Shares upon any securities exchange or under any Applicable Laws, or the consent or approval of any U.S. or non-U.S. governmental regulatory authority is necessary or desirable as a condition to the issuance of Shares to Participant (or his or her estate), such issuance will not occur unless and until such listing, registration, qualification, consent or approval has been effected or obtained free of any conditions not acceptable to the Company. Participant</w:t>
      </w:r>
    </w:p>
    <w:p>
      <w:pPr>
        <w:sectPr>
          <w:pgSz w:w="11900" w:h="16838" w:orient="portrait"/>
          <w:cols w:equalWidth="0" w:num="1">
            <w:col w:w="11240"/>
          </w:cols>
          <w:pgMar w:left="320" w:top="1440" w:right="339" w:bottom="1440" w:gutter="0" w:footer="0" w:header="0"/>
        </w:sectPr>
      </w:pPr>
    </w:p>
    <w:bookmarkStart w:id="56" w:name="page57"/>
    <w:bookmarkEnd w:id="56"/>
    <w:p>
      <w:pPr>
        <w:spacing w:after="0" w:line="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understands that the Company is under no obligation to register or qualify the Shares subject to the Option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219" w:lineRule="exact"/>
        <w:rPr>
          <w:sz w:val="20"/>
          <w:szCs w:val="20"/>
          <w:color w:val="auto"/>
        </w:rPr>
      </w:pPr>
    </w:p>
    <w:p>
      <w:pPr>
        <w:jc w:val="both"/>
        <w:ind w:firstLine="656"/>
        <w:spacing w:after="0" w:line="303" w:lineRule="auto"/>
        <w:tabs>
          <w:tab w:leader="none" w:pos="128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207" w:lineRule="exact"/>
        <w:rPr>
          <w:rFonts w:ascii="Arial" w:cs="Arial" w:eastAsia="Arial" w:hAnsi="Arial"/>
          <w:sz w:val="19"/>
          <w:szCs w:val="19"/>
          <w:color w:val="auto"/>
        </w:rPr>
      </w:pPr>
    </w:p>
    <w:p>
      <w:pPr>
        <w:jc w:val="both"/>
        <w:ind w:firstLine="656"/>
        <w:spacing w:after="0" w:line="308" w:lineRule="auto"/>
        <w:tabs>
          <w:tab w:leader="none" w:pos="128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Option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01" w:lineRule="exact"/>
        <w:rPr>
          <w:rFonts w:ascii="Arial" w:cs="Arial" w:eastAsia="Arial" w:hAnsi="Arial"/>
          <w:sz w:val="19"/>
          <w:szCs w:val="19"/>
          <w:color w:val="auto"/>
        </w:rPr>
      </w:pPr>
    </w:p>
    <w:p>
      <w:pPr>
        <w:ind w:firstLine="656"/>
        <w:spacing w:after="0" w:line="303" w:lineRule="auto"/>
        <w:tabs>
          <w:tab w:leader="none" w:pos="128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202" w:lineRule="exact"/>
        <w:rPr>
          <w:rFonts w:ascii="Arial" w:cs="Arial" w:eastAsia="Arial" w:hAnsi="Arial"/>
          <w:sz w:val="20"/>
          <w:szCs w:val="20"/>
          <w:color w:val="auto"/>
        </w:rPr>
      </w:pPr>
    </w:p>
    <w:p>
      <w:pPr>
        <w:jc w:val="both"/>
        <w:ind w:firstLine="656"/>
        <w:spacing w:after="0" w:line="292" w:lineRule="auto"/>
        <w:tabs>
          <w:tab w:leader="none" w:pos="128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213" w:lineRule="exact"/>
        <w:rPr>
          <w:rFonts w:ascii="Arial" w:cs="Arial" w:eastAsia="Arial" w:hAnsi="Arial"/>
          <w:sz w:val="20"/>
          <w:szCs w:val="20"/>
          <w:color w:val="auto"/>
        </w:rPr>
      </w:pPr>
    </w:p>
    <w:p>
      <w:pPr>
        <w:jc w:val="both"/>
        <w:ind w:firstLine="656"/>
        <w:spacing w:after="0" w:line="287" w:lineRule="auto"/>
        <w:tabs>
          <w:tab w:leader="none" w:pos="128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Modifications to the Award Agreement</w:t>
      </w:r>
      <w:r>
        <w:rPr>
          <w:rFonts w:ascii="Arial" w:cs="Arial" w:eastAsia="Arial" w:hAnsi="Arial"/>
          <w:sz w:val="20"/>
          <w:szCs w:val="20"/>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217" w:lineRule="exact"/>
        <w:rPr>
          <w:rFonts w:ascii="Arial" w:cs="Arial" w:eastAsia="Arial" w:hAnsi="Arial"/>
          <w:sz w:val="20"/>
          <w:szCs w:val="20"/>
          <w:color w:val="auto"/>
        </w:rPr>
      </w:pPr>
    </w:p>
    <w:p>
      <w:pPr>
        <w:jc w:val="both"/>
        <w:ind w:firstLine="656"/>
        <w:spacing w:after="0" w:line="329" w:lineRule="auto"/>
        <w:tabs>
          <w:tab w:leader="none" w:pos="128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Award Agreement will be governed by the laws of the State of Delaware without giving effect to the conflict of law principles thereof. For purposes of litigating any dispute that arises under this Option or this Award Agreement, the parties hereby submit to and consent to the exclusive jurisdiction of the State of Arizona</w:t>
      </w:r>
      <w:r>
        <w:rPr>
          <w:rFonts w:ascii="Arial" w:cs="Arial" w:eastAsia="Arial" w:hAnsi="Arial"/>
          <w:sz w:val="18"/>
          <w:szCs w:val="18"/>
          <w:b w:val="1"/>
          <w:bCs w:val="1"/>
          <w:color w:val="auto"/>
        </w:rPr>
        <w:t>,</w:t>
      </w:r>
      <w:r>
        <w:rPr>
          <w:rFonts w:ascii="Arial" w:cs="Arial" w:eastAsia="Arial" w:hAnsi="Arial"/>
          <w:sz w:val="18"/>
          <w:szCs w:val="18"/>
          <w:color w:val="auto"/>
        </w:rPr>
        <w:t xml:space="preserve"> and agree that such litigation will be conducted solely in the courts of Maricopa County, Arizona, or the federal courts for the United States for the District of Arizona, and no other courts.</w:t>
      </w:r>
    </w:p>
    <w:p>
      <w:pPr>
        <w:sectPr>
          <w:pgSz w:w="11900" w:h="16838" w:orient="portrait"/>
          <w:cols w:equalWidth="0" w:num="1">
            <w:col w:w="11240"/>
          </w:cols>
          <w:pgMar w:left="320" w:top="1440" w:right="339" w:bottom="1440" w:gutter="0" w:footer="0" w:header="0"/>
        </w:sectPr>
      </w:pPr>
    </w:p>
    <w:bookmarkStart w:id="57" w:name="page58"/>
    <w:bookmarkEnd w:id="57"/>
    <w:p>
      <w:pPr>
        <w:spacing w:after="0" w:line="6" w:lineRule="exact"/>
        <w:rPr>
          <w:sz w:val="20"/>
          <w:szCs w:val="20"/>
          <w:color w:val="auto"/>
        </w:rPr>
      </w:pPr>
    </w:p>
    <w:p>
      <w:pPr>
        <w:jc w:val="both"/>
        <w:ind w:left="-656" w:firstLine="656"/>
        <w:spacing w:after="0" w:line="320"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The Option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Option is subject to Code Section 409A, the Company may, in its sole discretion and without Participant’s prior consent, amend the Plan and/or the Award Agreement, adopt policies and procedures, or take any other actions as deemed appropriate by the Company to (i) exempt the Option from the application of Code Section 409A, (ii) preserve the intended tax treatment of the Option or (iii) comply with the requirements of Code Section 409A. Notwithstanding anything contained herein to the contrary, in no event shall the Company or any Subsidiary have any liability or obligation to Participant or any other person in the event that the Plan or the Option is not exempt from, or compliant with, Code Section 409A.</w:t>
      </w:r>
    </w:p>
    <w:p>
      <w:pPr>
        <w:spacing w:after="0" w:line="195" w:lineRule="exact"/>
        <w:rPr>
          <w:rFonts w:ascii="Arial" w:cs="Arial" w:eastAsia="Arial" w:hAnsi="Arial"/>
          <w:sz w:val="18"/>
          <w:szCs w:val="18"/>
          <w:color w:val="auto"/>
        </w:rPr>
      </w:pPr>
    </w:p>
    <w:p>
      <w:pPr>
        <w:jc w:val="both"/>
        <w:ind w:left="-656" w:firstLine="656"/>
        <w:spacing w:after="0" w:line="299" w:lineRule="auto"/>
        <w:tabs>
          <w:tab w:leader="none" w:pos="63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By accepting the Option,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Arial" w:cs="Arial" w:eastAsia="Arial" w:hAnsi="Arial"/>
          <w:sz w:val="19"/>
          <w:szCs w:val="19"/>
          <w:i w:val="1"/>
          <w:iCs w:val="1"/>
          <w:color w:val="auto"/>
        </w:rPr>
        <w:t>e.g.</w:t>
      </w:r>
      <w:r>
        <w:rPr>
          <w:rFonts w:ascii="Arial" w:cs="Arial" w:eastAsia="Arial" w:hAnsi="Arial"/>
          <w:sz w:val="19"/>
          <w:szCs w:val="19"/>
          <w:color w:val="auto"/>
        </w:rPr>
        <w:t>, Options)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216" w:lineRule="exact"/>
        <w:rPr>
          <w:rFonts w:ascii="Arial" w:cs="Arial" w:eastAsia="Arial" w:hAnsi="Arial"/>
          <w:sz w:val="19"/>
          <w:szCs w:val="19"/>
          <w:color w:val="auto"/>
        </w:rPr>
      </w:pPr>
    </w:p>
    <w:p>
      <w:pPr>
        <w:jc w:val="both"/>
        <w:ind w:left="-656" w:firstLine="656"/>
        <w:spacing w:after="0" w:line="287" w:lineRule="auto"/>
        <w:tabs>
          <w:tab w:leader="none" w:pos="631"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Participant's acceptance of the Option by signing below or by otherwise accepting the Option following such procedures as established by the Company (including an online acceptance process) constitute Participant's agreement to be bound by the terms and conditions of this Award Agreement and the Plan. The Company may refuse to allow Participant to exercise the Option unless Participant has signed this Award Agreement or otherwise accepted the Option following such procedures as established by the Company (including an online acceptance process).</w:t>
      </w:r>
    </w:p>
    <w:p>
      <w:pPr>
        <w:sectPr>
          <w:pgSz w:w="11900" w:h="16838" w:orient="portrait"/>
          <w:cols w:equalWidth="0" w:num="1">
            <w:col w:w="10584"/>
          </w:cols>
          <w:pgMar w:left="976" w:top="1440" w:right="339" w:bottom="1440" w:gutter="0" w:footer="0" w:header="0"/>
        </w:sectPr>
      </w:pPr>
    </w:p>
    <w:bookmarkStart w:id="58" w:name="page59"/>
    <w:bookmarkEnd w:id="58"/>
    <w:p>
      <w:pPr>
        <w:spacing w:after="0" w:line="23"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9"/>
          <w:szCs w:val="19"/>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393065</wp:posOffset>
            </wp:positionV>
            <wp:extent cx="64376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6437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317" w:lineRule="exact"/>
        <w:rPr>
          <w:sz w:val="20"/>
          <w:szCs w:val="20"/>
          <w:color w:val="auto"/>
        </w:rPr>
      </w:pPr>
    </w:p>
    <w:p>
      <w:pPr>
        <w:spacing w:after="0"/>
        <w:tabs>
          <w:tab w:leader="none" w:pos="540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b w:val="1"/>
          <w:bCs w:val="1"/>
          <w:color w:val="auto"/>
        </w:rPr>
        <w:t>Date</w:t>
      </w:r>
    </w:p>
    <w:p>
      <w:pPr>
        <w:sectPr>
          <w:pgSz w:w="11900" w:h="16838" w:orient="portrait"/>
          <w:cols w:equalWidth="0" w:num="1">
            <w:col w:w="10119"/>
          </w:cols>
          <w:pgMar w:left="340" w:top="144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APPENDIX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2007 EQUITY INCENTIVE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STOCK OPTION AWARD AGREEMENT</w:t>
      </w:r>
    </w:p>
    <w:p>
      <w:pPr>
        <w:spacing w:after="0" w:line="2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Capitalized terms used but not defined in this Appendix shall have the same meanings assigned to them in the Plan and/or the Global Stock Option Award Agreement (the “Option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This Appendix includes general terms and conditions for non-U.S. Participants and additional terms and conditions that govern the Option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Option is granted, the Company will, in its discretion, determine the extent to which the terms and conditions contained herein will apply to Participant.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May 2020. Such laws are often complex and change frequently. As a result, Participant should not rely on the information noted herein as the only source of information relating to the consequences of participation in the Plan because the information may be out-of-date at the time Participant exercises the Option or sells any Shares acquired under the Plan.</w:t>
      </w:r>
    </w:p>
    <w:p>
      <w:pPr>
        <w:spacing w:after="0" w:line="20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19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Option is granted, the information contained in this Appendix may not be applicable to Participant in the same manner.</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 TERMS AND CONDITIONS APPLICABLE TO ALL NON-US PARTICIPANTS</w:t>
      </w:r>
    </w:p>
    <w:p>
      <w:pPr>
        <w:spacing w:after="0" w:line="28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u w:val="single" w:color="auto"/>
          <w:color w:val="auto"/>
        </w:rPr>
        <w:t>Retirement</w:t>
      </w:r>
      <w:r>
        <w:rPr>
          <w:rFonts w:ascii="Arial" w:cs="Arial" w:eastAsia="Arial" w:hAnsi="Arial"/>
          <w:sz w:val="18"/>
          <w:szCs w:val="18"/>
          <w:color w:val="auto"/>
        </w:rPr>
        <w:t>. The following provision supplements Section 3 of the Option Agreement:</w:t>
      </w:r>
    </w:p>
    <w:p>
      <w:pPr>
        <w:spacing w:after="0" w:line="283" w:lineRule="exact"/>
        <w:rPr>
          <w:sz w:val="20"/>
          <w:szCs w:val="20"/>
          <w:color w:val="auto"/>
        </w:rPr>
      </w:pPr>
    </w:p>
    <w:p>
      <w:pPr>
        <w:jc w:val="both"/>
        <w:ind w:firstLine="729"/>
        <w:spacing w:after="0" w:line="286" w:lineRule="auto"/>
        <w:rPr>
          <w:sz w:val="20"/>
          <w:szCs w:val="20"/>
          <w:color w:val="auto"/>
        </w:rPr>
      </w:pPr>
      <w:r>
        <w:rPr>
          <w:rFonts w:ascii="Arial" w:cs="Arial" w:eastAsia="Arial" w:hAnsi="Arial"/>
          <w:sz w:val="20"/>
          <w:szCs w:val="20"/>
          <w:color w:val="auto"/>
        </w:rPr>
        <w:t>Notwithstanding Section 3(a) of the Option Agreement, if the Company receives an opinion of counsel that there has been a legal judgment and/or legal development in Participant’s jurisdiction that likely would result in the favorable Retirement treatment that otherwise would apply to the Option pursuant to Section 3(a) of the Option Agreement being deemed unlawful and/or discriminatory, then the Company will not apply this favorable Retirement treatment at the time of the termination of Participant’s status as a Service Provider and the Option will be treated as it would under the rules that otherwise would have applied if the termination of Participant’s status as a Service Provider did not qualify as a Retirement.</w:t>
      </w:r>
    </w:p>
    <w:p>
      <w:pPr>
        <w:spacing w:after="0" w:line="21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0"/>
          <w:szCs w:val="20"/>
          <w:i w:val="1"/>
          <w:iCs w:val="1"/>
          <w:color w:val="auto"/>
        </w:rPr>
      </w:pPr>
      <w:r>
        <w:rPr>
          <w:rFonts w:ascii="Arial" w:cs="Arial" w:eastAsia="Arial" w:hAnsi="Arial"/>
          <w:sz w:val="20"/>
          <w:szCs w:val="20"/>
          <w:b w:val="1"/>
          <w:bCs w:val="1"/>
          <w:i w:val="1"/>
          <w:iCs w:val="1"/>
          <w:u w:val="single" w:color="auto"/>
          <w:color w:val="auto"/>
        </w:rPr>
        <w:t>Data Privacy Information and Consent</w:t>
      </w:r>
      <w:r>
        <w:rPr>
          <w:rFonts w:ascii="Arial" w:cs="Arial" w:eastAsia="Arial" w:hAnsi="Arial"/>
          <w:sz w:val="20"/>
          <w:szCs w:val="20"/>
          <w:b w:val="1"/>
          <w:bCs w:val="1"/>
          <w:i w:val="1"/>
          <w:iCs w:val="1"/>
          <w:color w:val="auto"/>
        </w:rPr>
        <w:t>.</w:t>
      </w:r>
    </w:p>
    <w:p>
      <w:pPr>
        <w:spacing w:after="0" w:line="283" w:lineRule="exact"/>
        <w:rPr>
          <w:rFonts w:ascii="Arial" w:cs="Arial" w:eastAsia="Arial" w:hAnsi="Arial"/>
          <w:sz w:val="20"/>
          <w:szCs w:val="20"/>
          <w:i w:val="1"/>
          <w:iCs w:val="1"/>
          <w:color w:val="auto"/>
        </w:rPr>
      </w:pPr>
    </w:p>
    <w:p>
      <w:pPr>
        <w:jc w:val="both"/>
        <w:ind w:firstLine="980"/>
        <w:spacing w:after="0" w:line="323" w:lineRule="auto"/>
        <w:tabs>
          <w:tab w:leader="none" w:pos="1284" w:val="left"/>
        </w:tabs>
        <w:numPr>
          <w:ilvl w:val="2"/>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191" w:lineRule="exact"/>
        <w:rPr>
          <w:rFonts w:ascii="Arial" w:cs="Arial" w:eastAsia="Arial" w:hAnsi="Arial"/>
          <w:sz w:val="18"/>
          <w:szCs w:val="18"/>
          <w:b w:val="1"/>
          <w:bCs w:val="1"/>
          <w:i w:val="1"/>
          <w:iCs w:val="1"/>
          <w:color w:val="auto"/>
        </w:rPr>
      </w:pPr>
    </w:p>
    <w:p>
      <w:pPr>
        <w:jc w:val="both"/>
        <w:ind w:firstLine="980"/>
        <w:spacing w:after="0" w:line="286" w:lineRule="auto"/>
        <w:tabs>
          <w:tab w:leader="none" w:pos="1284" w:val="left"/>
        </w:tabs>
        <w:numPr>
          <w:ilvl w:val="2"/>
          <w:numId w:val="3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Stock Plan Administration Service Providers</w:t>
      </w:r>
      <w:r>
        <w:rPr>
          <w:rFonts w:ascii="Arial" w:cs="Arial" w:eastAsia="Arial" w:hAnsi="Arial"/>
          <w:sz w:val="20"/>
          <w:szCs w:val="20"/>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18" w:lineRule="exact"/>
        <w:rPr>
          <w:rFonts w:ascii="Arial" w:cs="Arial" w:eastAsia="Arial" w:hAnsi="Arial"/>
          <w:sz w:val="20"/>
          <w:szCs w:val="20"/>
          <w:b w:val="1"/>
          <w:bCs w:val="1"/>
          <w:i w:val="1"/>
          <w:iCs w:val="1"/>
          <w:color w:val="auto"/>
        </w:rPr>
      </w:pPr>
    </w:p>
    <w:p>
      <w:pPr>
        <w:jc w:val="both"/>
        <w:ind w:firstLine="885"/>
        <w:spacing w:after="0" w:line="395" w:lineRule="auto"/>
        <w:tabs>
          <w:tab w:leader="none" w:pos="1286" w:val="left"/>
        </w:tabs>
        <w:numPr>
          <w:ilvl w:val="1"/>
          <w:numId w:val="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44" w:lineRule="exact"/>
        <w:rPr>
          <w:rFonts w:ascii="Arial" w:cs="Arial" w:eastAsia="Arial" w:hAnsi="Arial"/>
          <w:sz w:val="16"/>
          <w:szCs w:val="16"/>
          <w:b w:val="1"/>
          <w:bCs w:val="1"/>
          <w:i w:val="1"/>
          <w:iCs w:val="1"/>
          <w:color w:val="auto"/>
        </w:rPr>
      </w:pPr>
    </w:p>
    <w:p>
      <w:pPr>
        <w:ind w:right="20" w:firstLine="980"/>
        <w:spacing w:after="0" w:line="303" w:lineRule="auto"/>
        <w:tabs>
          <w:tab w:leader="none" w:pos="1284" w:val="left"/>
        </w:tabs>
        <w:numPr>
          <w:ilvl w:val="2"/>
          <w:numId w:val="4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hold and use Data only as long as is necessary to implement, administer and manage Participant’s participation in the Plan, or as required to comply</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i w:val="1"/>
          <w:iCs w:val="1"/>
          <w:color w:val="auto"/>
        </w:rPr>
        <w:t>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219" w:lineRule="exact"/>
        <w:rPr>
          <w:sz w:val="20"/>
          <w:szCs w:val="20"/>
          <w:color w:val="auto"/>
        </w:rPr>
      </w:pPr>
    </w:p>
    <w:p>
      <w:pPr>
        <w:jc w:val="both"/>
        <w:ind w:firstLine="980"/>
        <w:spacing w:after="0" w:line="305" w:lineRule="auto"/>
        <w:tabs>
          <w:tab w:leader="none" w:pos="1286" w:val="left"/>
        </w:tabs>
        <w:numPr>
          <w:ilvl w:val="2"/>
          <w:numId w:val="4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Voluntariness and Consequences of Consent Denial or Withdrawal</w:t>
      </w:r>
      <w:r>
        <w:rPr>
          <w:rFonts w:ascii="Arial" w:cs="Arial" w:eastAsia="Arial" w:hAnsi="Arial"/>
          <w:sz w:val="19"/>
          <w:szCs w:val="19"/>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Option or other equity awards to Participant under the Plan or administer or maintain such awards.</w:t>
      </w:r>
    </w:p>
    <w:p>
      <w:pPr>
        <w:spacing w:after="0" w:line="204" w:lineRule="exact"/>
        <w:rPr>
          <w:rFonts w:ascii="Arial" w:cs="Arial" w:eastAsia="Arial" w:hAnsi="Arial"/>
          <w:sz w:val="19"/>
          <w:szCs w:val="19"/>
          <w:b w:val="1"/>
          <w:bCs w:val="1"/>
          <w:i w:val="1"/>
          <w:iCs w:val="1"/>
          <w:color w:val="auto"/>
        </w:rPr>
      </w:pPr>
    </w:p>
    <w:p>
      <w:pPr>
        <w:jc w:val="both"/>
        <w:ind w:firstLine="980"/>
        <w:spacing w:after="0" w:line="286" w:lineRule="auto"/>
        <w:tabs>
          <w:tab w:leader="none" w:pos="1291" w:val="left"/>
        </w:tabs>
        <w:numPr>
          <w:ilvl w:val="2"/>
          <w:numId w:val="4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Subject Rights.</w:t>
      </w:r>
      <w:r>
        <w:rPr>
          <w:rFonts w:ascii="Arial" w:cs="Arial" w:eastAsia="Arial" w:hAnsi="Arial"/>
          <w:sz w:val="20"/>
          <w:szCs w:val="20"/>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18" w:lineRule="exact"/>
        <w:rPr>
          <w:rFonts w:ascii="Arial" w:cs="Arial" w:eastAsia="Arial" w:hAnsi="Arial"/>
          <w:sz w:val="20"/>
          <w:szCs w:val="20"/>
          <w:b w:val="1"/>
          <w:bCs w:val="1"/>
          <w:i w:val="1"/>
          <w:iCs w:val="1"/>
          <w:color w:val="auto"/>
        </w:rPr>
      </w:pPr>
    </w:p>
    <w:p>
      <w:pPr>
        <w:jc w:val="both"/>
        <w:ind w:firstLine="885"/>
        <w:spacing w:after="0" w:line="321" w:lineRule="auto"/>
        <w:tabs>
          <w:tab w:leader="none" w:pos="1284" w:val="left"/>
        </w:tabs>
        <w:numPr>
          <w:ilvl w:val="1"/>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Other Legal Basis and Additional Consent</w:t>
      </w:r>
      <w:r>
        <w:rPr>
          <w:rFonts w:ascii="Arial" w:cs="Arial" w:eastAsia="Arial" w:hAnsi="Arial"/>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19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By accepting the Option, Participant acknowledges, understands, and agrees that:</w:t>
      </w:r>
    </w:p>
    <w:p>
      <w:pPr>
        <w:spacing w:after="0" w:line="283" w:lineRule="exact"/>
        <w:rPr>
          <w:rFonts w:ascii="Arial" w:cs="Arial" w:eastAsia="Arial" w:hAnsi="Arial"/>
          <w:sz w:val="20"/>
          <w:szCs w:val="20"/>
          <w:color w:val="auto"/>
        </w:rPr>
      </w:pPr>
    </w:p>
    <w:p>
      <w:pPr>
        <w:ind w:right="20" w:firstLine="885"/>
        <w:spacing w:after="0" w:line="303" w:lineRule="auto"/>
        <w:tabs>
          <w:tab w:leader="none" w:pos="1286"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885"/>
        <w:spacing w:after="0" w:line="331" w:lineRule="auto"/>
        <w:tabs>
          <w:tab w:leader="none" w:pos="12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grant of the Option is exceptional, voluntary and occasional and does not create any contractual or other right to receive future grants of stock options, or benefits in lieu of stock options, even if stock options have been granted in the past;</w:t>
      </w:r>
    </w:p>
    <w:p>
      <w:pPr>
        <w:spacing w:after="0" w:line="180" w:lineRule="exact"/>
        <w:rPr>
          <w:rFonts w:ascii="Arial" w:cs="Arial" w:eastAsia="Arial" w:hAnsi="Arial"/>
          <w:sz w:val="19"/>
          <w:szCs w:val="19"/>
          <w:color w:val="auto"/>
        </w:rPr>
      </w:pPr>
    </w:p>
    <w:p>
      <w:pPr>
        <w:ind w:left="1300" w:hanging="415"/>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all decisions with respect to future stock option or other grants, if any, will be at the sole discretion of the Company;</w:t>
      </w:r>
    </w:p>
    <w:p>
      <w:pPr>
        <w:spacing w:after="0" w:line="294" w:lineRule="exact"/>
        <w:rPr>
          <w:rFonts w:ascii="Arial" w:cs="Arial" w:eastAsia="Arial" w:hAnsi="Arial"/>
          <w:sz w:val="19"/>
          <w:szCs w:val="19"/>
          <w:color w:val="auto"/>
        </w:rPr>
      </w:pPr>
    </w:p>
    <w:p>
      <w:pPr>
        <w:ind w:left="1300" w:hanging="415"/>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83" w:lineRule="exact"/>
        <w:rPr>
          <w:rFonts w:ascii="Arial" w:cs="Arial" w:eastAsia="Arial" w:hAnsi="Arial"/>
          <w:sz w:val="20"/>
          <w:szCs w:val="20"/>
          <w:color w:val="auto"/>
        </w:rPr>
      </w:pPr>
    </w:p>
    <w:p>
      <w:pPr>
        <w:ind w:firstLine="885"/>
        <w:spacing w:after="0" w:line="303" w:lineRule="auto"/>
        <w:tabs>
          <w:tab w:leader="none" w:pos="128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Option and any Shares subject to the Option, and the income from and value of same, are not intended to replace any pension rights or compensation;</w:t>
      </w:r>
    </w:p>
    <w:p>
      <w:pPr>
        <w:spacing w:after="0" w:line="202" w:lineRule="exact"/>
        <w:rPr>
          <w:rFonts w:ascii="Arial" w:cs="Arial" w:eastAsia="Arial" w:hAnsi="Arial"/>
          <w:sz w:val="20"/>
          <w:szCs w:val="20"/>
          <w:color w:val="auto"/>
        </w:rPr>
      </w:pPr>
    </w:p>
    <w:p>
      <w:pPr>
        <w:ind w:firstLine="885"/>
        <w:spacing w:after="0" w:line="363" w:lineRule="auto"/>
        <w:tabs>
          <w:tab w:leader="none" w:pos="12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unless otherwise agreed with the Company, the Option and the Shares subject to the Option, and the income from and value of same, are not granted as consideration for, or in connection with, the service Participant may provide as a director of a Subsidiary;</w:t>
      </w:r>
    </w:p>
    <w:p>
      <w:pPr>
        <w:spacing w:after="0" w:line="156" w:lineRule="exact"/>
        <w:rPr>
          <w:rFonts w:ascii="Arial" w:cs="Arial" w:eastAsia="Arial" w:hAnsi="Arial"/>
          <w:sz w:val="18"/>
          <w:szCs w:val="18"/>
          <w:color w:val="auto"/>
        </w:rPr>
      </w:pPr>
    </w:p>
    <w:p>
      <w:pPr>
        <w:jc w:val="both"/>
        <w:ind w:firstLine="885"/>
        <w:spacing w:after="0" w:line="288" w:lineRule="auto"/>
        <w:tabs>
          <w:tab w:leader="none" w:pos="1284"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Option and any Shares subject to the Option, and the income from and value of same, are not part of normal or expected compensation for any purpose, including, without limitation to, calculating any severance, resignation, termination, redundancy, dismissal, end-of-service payments, bonuses, long-service awards, holiday pay, pension or retirement or welfare benefits or similar mandatory payments;</w:t>
      </w:r>
    </w:p>
    <w:p>
      <w:pPr>
        <w:spacing w:after="0" w:line="219" w:lineRule="exact"/>
        <w:rPr>
          <w:rFonts w:ascii="Arial" w:cs="Arial" w:eastAsia="Arial" w:hAnsi="Arial"/>
          <w:sz w:val="20"/>
          <w:szCs w:val="20"/>
          <w:color w:val="auto"/>
        </w:rPr>
      </w:pPr>
    </w:p>
    <w:p>
      <w:pPr>
        <w:ind w:left="1300" w:hanging="41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indeterminable, and cannot be predicted with certainty;</w:t>
      </w:r>
    </w:p>
    <w:p>
      <w:pPr>
        <w:spacing w:after="0" w:line="306" w:lineRule="exact"/>
        <w:rPr>
          <w:rFonts w:ascii="Arial" w:cs="Arial" w:eastAsia="Arial" w:hAnsi="Arial"/>
          <w:sz w:val="18"/>
          <w:szCs w:val="18"/>
          <w:color w:val="auto"/>
        </w:rPr>
      </w:pPr>
    </w:p>
    <w:p>
      <w:pPr>
        <w:ind w:left="1300" w:hanging="415"/>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if the underlying Shares subject to the Option do not increase in value, the Option will have no value;</w:t>
      </w:r>
    </w:p>
    <w:p>
      <w:pPr>
        <w:spacing w:after="0" w:line="283" w:lineRule="exact"/>
        <w:rPr>
          <w:rFonts w:ascii="Arial" w:cs="Arial" w:eastAsia="Arial" w:hAnsi="Arial"/>
          <w:sz w:val="20"/>
          <w:szCs w:val="20"/>
          <w:color w:val="auto"/>
        </w:rPr>
      </w:pPr>
    </w:p>
    <w:p>
      <w:pPr>
        <w:ind w:left="1300" w:hanging="41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Participant exercises the Option and acquires Shares, the value of such Shares may increase or decrease, even below the</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Exercise Price;</w:t>
      </w:r>
    </w:p>
    <w:p>
      <w:pPr>
        <w:spacing w:after="0" w:line="283" w:lineRule="exact"/>
        <w:rPr>
          <w:rFonts w:ascii="Arial" w:cs="Arial" w:eastAsia="Arial" w:hAnsi="Arial"/>
          <w:sz w:val="18"/>
          <w:szCs w:val="18"/>
          <w:color w:val="auto"/>
        </w:rPr>
      </w:pPr>
    </w:p>
    <w:p>
      <w:pPr>
        <w:jc w:val="both"/>
        <w:ind w:firstLine="885"/>
        <w:spacing w:after="0" w:line="338" w:lineRule="auto"/>
        <w:tabs>
          <w:tab w:leader="none" w:pos="12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178" w:lineRule="exact"/>
        <w:rPr>
          <w:rFonts w:ascii="Arial" w:cs="Arial" w:eastAsia="Arial" w:hAnsi="Arial"/>
          <w:sz w:val="18"/>
          <w:szCs w:val="18"/>
          <w:color w:val="auto"/>
        </w:rPr>
      </w:pPr>
    </w:p>
    <w:p>
      <w:pPr>
        <w:ind w:firstLine="885"/>
        <w:spacing w:after="0" w:line="303" w:lineRule="auto"/>
        <w:tabs>
          <w:tab w:leader="none" w:pos="1294" w:val="left"/>
        </w:tabs>
        <w:numPr>
          <w:ilvl w:val="0"/>
          <w:numId w:val="44"/>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Option and the benefits evidenced by this Award Agreement do not create any entitlement to have the Option or any</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such benefits transferred to, or assumed by, another company nor to be exchanged, cashed out or substituted for, in connection with any corporate transaction affecting the Shares; and</w:t>
      </w:r>
    </w:p>
    <w:p>
      <w:pPr>
        <w:spacing w:after="0" w:line="202" w:lineRule="exact"/>
        <w:rPr>
          <w:sz w:val="20"/>
          <w:szCs w:val="20"/>
          <w:color w:val="auto"/>
        </w:rPr>
      </w:pPr>
    </w:p>
    <w:p>
      <w:pPr>
        <w:jc w:val="both"/>
        <w:ind w:firstLine="885"/>
        <w:spacing w:after="0" w:line="314" w:lineRule="auto"/>
        <w:tabs>
          <w:tab w:leader="none" w:pos="1285" w:val="left"/>
        </w:tabs>
        <w:numPr>
          <w:ilvl w:val="1"/>
          <w:numId w:val="45"/>
        </w:numPr>
        <w:rPr>
          <w:rFonts w:ascii="Arial" w:cs="Arial" w:eastAsia="Arial" w:hAnsi="Arial"/>
          <w:sz w:val="19"/>
          <w:szCs w:val="19"/>
          <w:color w:val="auto"/>
        </w:rPr>
      </w:pPr>
      <w:r>
        <w:rPr>
          <w:rFonts w:ascii="Arial" w:cs="Arial" w:eastAsia="Arial" w:hAnsi="Arial"/>
          <w:sz w:val="19"/>
          <w:szCs w:val="19"/>
          <w:color w:val="auto"/>
        </w:rPr>
        <w:t>neither the Company, the Service Recipient nor any other Subsidiary shall be liable for any foreign exchange rate fluctuation between Participant’s local currency and the U.S. dollar that may affect the value of the Option or of any amounts due to Participant pursuant to the exercise of the Option or the subsequent sale of any Shares acquired upon exercise.</w:t>
      </w:r>
    </w:p>
    <w:p>
      <w:pPr>
        <w:spacing w:after="0" w:line="195" w:lineRule="exact"/>
        <w:rPr>
          <w:rFonts w:ascii="Arial" w:cs="Arial" w:eastAsia="Arial" w:hAnsi="Arial"/>
          <w:sz w:val="19"/>
          <w:szCs w:val="19"/>
          <w:color w:val="auto"/>
        </w:rPr>
      </w:pPr>
    </w:p>
    <w:p>
      <w:pPr>
        <w:jc w:val="both"/>
        <w:ind w:firstLine="332"/>
        <w:spacing w:after="0" w:line="329"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Option and/or the Plan translated into a language other than English and if the meaning of the translated version is different than the English version, the English version will control.</w:t>
      </w:r>
    </w:p>
    <w:p>
      <w:pPr>
        <w:spacing w:after="0" w:line="188" w:lineRule="exact"/>
        <w:rPr>
          <w:rFonts w:ascii="Arial" w:cs="Arial" w:eastAsia="Arial" w:hAnsi="Arial"/>
          <w:sz w:val="18"/>
          <w:szCs w:val="18"/>
          <w:color w:val="auto"/>
        </w:rPr>
      </w:pPr>
    </w:p>
    <w:p>
      <w:pPr>
        <w:jc w:val="both"/>
        <w:ind w:firstLine="332"/>
        <w:spacing w:after="0" w:line="284" w:lineRule="auto"/>
        <w:tabs>
          <w:tab w:leader="none" w:pos="64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Foreign Asset/Account, Exchange Control and Tax Reporting</w:t>
      </w:r>
      <w:r>
        <w:rPr>
          <w:rFonts w:ascii="Arial" w:cs="Arial" w:eastAsia="Arial" w:hAnsi="Arial"/>
          <w:sz w:val="20"/>
          <w:szCs w:val="20"/>
          <w:color w:val="auto"/>
        </w:rPr>
        <w:t>. Participant may be subject to foreign asset/account, exchange control, tax reporting or other requirements which may affect Participant’s ability acquire or hold Options or Shares or cash received from participating in the Plan (including dividends and the proceeds arising from the sale of Shares) in a brokerage/bank account outside Participant’s country. The applicable laws of Participant’s country may require that he or she report such Options,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TERMS AND CONDITIONS FOR CERTAIN COUNTRIES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303"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To remit funds out of Korea to pay the aggregate Exercise Price in cash (or cash equivalent), Participant must obtain a confirmation of the remittance by a foreign exchange bank in Korea. This is an automatic procedure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bank does not need to approve the remittance and the process should not take more than a single day). Participant likely will need to present the bank processing the transaction supporting documentation evidencing the nature of the remittance. Participant should check with the bank to determine whether there are any additional requirements. This confirmation is not necessary if Participant uses a cashless exercise to pay the aggregate Exercise Price because there is no remittance of funds out of Korea in this case.</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Foreign Asset / Account Reporting Information</w:t>
      </w:r>
      <w:r>
        <w:rPr>
          <w:rFonts w:ascii="Arial" w:cs="Arial" w:eastAsia="Arial" w:hAnsi="Arial"/>
          <w:sz w:val="20"/>
          <w:szCs w:val="20"/>
          <w:color w:val="auto"/>
        </w:rPr>
        <w:t>. Korean residents must declare all foreign financial accounts (</w:t>
      </w:r>
      <w:r>
        <w:rPr>
          <w:rFonts w:ascii="Arial" w:cs="Arial" w:eastAsia="Arial" w:hAnsi="Arial"/>
          <w:sz w:val="20"/>
          <w:szCs w:val="20"/>
          <w:i w:val="1"/>
          <w:iCs w:val="1"/>
          <w:color w:val="auto"/>
        </w:rPr>
        <w:t>i.e.</w:t>
      </w:r>
      <w:r>
        <w:rPr>
          <w:rFonts w:ascii="Arial" w:cs="Arial" w:eastAsia="Arial" w:hAnsi="Arial"/>
          <w:sz w:val="20"/>
          <w:szCs w:val="20"/>
          <w:color w:val="auto"/>
        </w:rPr>
        <w:t>, non-Korean bank accounts, brokerage accounts, etc.) to the Korean tax authority and file a report with respect to such accounts if the value of such accounts exceeds a certain threshold (currently KRW 500 million or an equivalent amount in foreign currency). Participant should consult with his or her personal tax advisor to determine any personal reporting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spacing w:after="0" w:line="363"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Participant hereby expressly declares that Participant has full knowledge of the English language and has read, understood and fully accepted and agreed with the terms and conditions established in the Plan and this Award Agreement.</w:t>
      </w:r>
    </w:p>
    <w:p>
      <w:pPr>
        <w:spacing w:after="0" w:line="157" w:lineRule="exact"/>
        <w:rPr>
          <w:sz w:val="20"/>
          <w:szCs w:val="20"/>
          <w:color w:val="auto"/>
        </w:rPr>
      </w:pPr>
    </w:p>
    <w:p>
      <w:pPr>
        <w:jc w:val="both"/>
        <w:spacing w:after="0" w:line="303" w:lineRule="auto"/>
        <w:rPr>
          <w:sz w:val="20"/>
          <w:szCs w:val="20"/>
          <w:color w:val="auto"/>
        </w:rPr>
      </w:pPr>
      <w:r>
        <w:rPr>
          <w:rFonts w:ascii="Arial" w:cs="Arial" w:eastAsia="Arial" w:hAnsi="Arial"/>
          <w:sz w:val="20"/>
          <w:szCs w:val="20"/>
          <w:u w:val="single" w:color="auto"/>
          <w:color w:val="auto"/>
        </w:rPr>
        <w:t>Conhecimento da Lingua</w:t>
      </w:r>
      <w:r>
        <w:rPr>
          <w:rFonts w:ascii="Arial" w:cs="Arial" w:eastAsia="Arial" w:hAnsi="Arial"/>
          <w:sz w:val="20"/>
          <w:szCs w:val="20"/>
          <w:color w:val="auto"/>
        </w:rPr>
        <w:t xml:space="preserve">. </w:t>
      </w:r>
      <w:r>
        <w:rPr>
          <w:rFonts w:ascii="Arial" w:cs="Arial" w:eastAsia="Arial" w:hAnsi="Arial"/>
          <w:sz w:val="20"/>
          <w:szCs w:val="20"/>
          <w:i w:val="1"/>
          <w:iCs w:val="1"/>
          <w:color w:val="auto"/>
        </w:rPr>
        <w:t>Por meio do presente, eu declaro expressamente que tem pleno conhecimento da língua inglesa e que li,</w:t>
      </w:r>
      <w:r>
        <w:rPr>
          <w:rFonts w:ascii="Arial" w:cs="Arial" w:eastAsia="Arial" w:hAnsi="Arial"/>
          <w:sz w:val="20"/>
          <w:szCs w:val="20"/>
          <w:color w:val="auto"/>
        </w:rPr>
        <w:t xml:space="preserve"> </w:t>
      </w:r>
      <w:r>
        <w:rPr>
          <w:rFonts w:ascii="Arial" w:cs="Arial" w:eastAsia="Arial" w:hAnsi="Arial"/>
          <w:sz w:val="20"/>
          <w:szCs w:val="20"/>
          <w:i w:val="1"/>
          <w:iCs w:val="1"/>
          <w:color w:val="auto"/>
        </w:rPr>
        <w:t>compreendi e livremente aceitei e concordei com os termos e condições estabelecidas no Plano e no Acordo.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33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receives Shares at exercise of the Option, the acquisition of the Shares must be reported to the Banco de Portugal for statistical purposes. If the Shares are deposited with a commercial bank or financial intermediary in Portugal, such bank or financial intermediary will submit the report on Participant’s behalf. If the Shares are not deposited with a commercial bank or</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financial intermediary in Portugal, Participant is responsible for submitting the report to the Banco de Portugal.</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spacing w:after="0" w:line="329" w:lineRule="auto"/>
        <w:rPr>
          <w:sz w:val="20"/>
          <w:szCs w:val="20"/>
          <w:color w:val="auto"/>
        </w:rPr>
      </w:pPr>
      <w:r>
        <w:rPr>
          <w:rFonts w:ascii="Arial" w:cs="Arial" w:eastAsia="Arial" w:hAnsi="Arial"/>
          <w:sz w:val="18"/>
          <w:szCs w:val="18"/>
          <w:u w:val="single" w:color="auto"/>
          <w:color w:val="auto"/>
        </w:rPr>
        <w:t>Restriction on Sale of Shares</w:t>
      </w:r>
      <w:r>
        <w:rPr>
          <w:rFonts w:ascii="Arial" w:cs="Arial" w:eastAsia="Arial" w:hAnsi="Arial"/>
          <w:sz w:val="18"/>
          <w:szCs w:val="18"/>
          <w:color w:val="auto"/>
        </w:rPr>
        <w:t>. The Option is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292"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offer of the Plan, the grant of the Option, and the issuance of the underlying Shares upon exercise are being made pursuant to the “Qualifying Person” exemption under section 273(1)(f) of the SFA. The Plan has not been lodged or registered as a prospectus with the Monetary Authority of Singapore.</w:t>
      </w:r>
    </w:p>
    <w:p>
      <w:pPr>
        <w:spacing w:after="0" w:line="214" w:lineRule="exact"/>
        <w:rPr>
          <w:sz w:val="20"/>
          <w:szCs w:val="20"/>
          <w:color w:val="auto"/>
        </w:rPr>
      </w:pPr>
    </w:p>
    <w:p>
      <w:pPr>
        <w:jc w:val="both"/>
        <w:spacing w:after="0" w:line="321"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Arial" w:cs="Arial" w:eastAsia="Arial" w:hAnsi="Arial"/>
          <w:sz w:val="18"/>
          <w:szCs w:val="18"/>
          <w:i w:val="1"/>
          <w:iCs w:val="1"/>
          <w:color w:val="auto"/>
        </w:rPr>
        <w:t>e.g.</w:t>
      </w:r>
      <w:r>
        <w:rPr>
          <w:rFonts w:ascii="Arial" w:cs="Arial" w:eastAsia="Arial" w:hAnsi="Arial"/>
          <w:sz w:val="18"/>
          <w:szCs w:val="18"/>
          <w:color w:val="auto"/>
        </w:rPr>
        <w:t>, Options or Shares)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303"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offer of participation in the Plan is available only for Service Providers. The offer of participation in the Plan is not a public offer of securities by a Taiwanese company.</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may acquire and remit foreign currency (including proceeds from the sale of Shares or the receipt of dividends) up to US$5,000,000 per year without justification. However, if the transaction amount is TWD500,000 or more in a single transaction, Participant must submit a Foreign Exchange Transaction Form and provide supporting documentation to the satisfaction of the remitting bank.</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2007 EQUITY INCENTIVE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AWARD AGREEMENT</w:t>
      </w:r>
    </w:p>
    <w:p>
      <w:pPr>
        <w:spacing w:after="0" w:line="2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Unless otherwise defined herein, the terms defined in the Amkor Technology, Inc. Second Amended and Restated 2007 Equity Incentive Plan (the “Plan”) will have the same defined meanings in this Global Restricted Stock Award Agreement, including the general terms and conditions for all non-U.S. Participants and the additional terms and conditions for certain countries, all as set forth in the appendix attached hereto (the “Appendix” and, together with the Global Restricted Stock Agreement, the “Award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have been granted the right to receive an Award of Restricted Stock, subject to the terms and conditions of the Plan and this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Award Agreement, as follows: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Grant Number:</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Date of Grant: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Vesting Commencement Date:</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Number of Shares Granted: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Vesting Schedule</w:t>
      </w:r>
      <w:r>
        <w:rPr>
          <w:rFonts w:ascii="Arial" w:cs="Arial" w:eastAsia="Arial" w:hAnsi="Arial"/>
          <w:sz w:val="20"/>
          <w:szCs w:val="20"/>
          <w:b w:val="1"/>
          <w:bCs w:val="1"/>
          <w:color w:val="auto"/>
        </w:rPr>
        <w:t>:</w:t>
      </w:r>
    </w:p>
    <w:p>
      <w:pPr>
        <w:spacing w:after="0" w:line="2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Subject to any acceleration provisions contained in the Plan or set forth below, the Restricted Stock will vest and the Company’s right to reacquire the Restricted Stock will lapse in accordance with the following schedule: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auto"/>
          <w:highlight w:val="yellow"/>
        </w:rPr>
        <w:t>INSERT APPLICABLE VESTING SCHEDULE</w:t>
      </w:r>
      <w:r>
        <w:rPr>
          <w:rFonts w:ascii="Arial" w:cs="Arial" w:eastAsia="Arial" w:hAnsi="Arial"/>
          <w:sz w:val="20"/>
          <w:szCs w:val="20"/>
          <w:b w:val="1"/>
          <w:bCs w:val="1"/>
          <w:color w:val="auto"/>
        </w:rPr>
        <w:t>].</w:t>
      </w:r>
    </w:p>
    <w:p>
      <w:pPr>
        <w:spacing w:after="0" w:line="262" w:lineRule="exact"/>
        <w:rPr>
          <w:sz w:val="20"/>
          <w:szCs w:val="20"/>
          <w:color w:val="auto"/>
        </w:rPr>
      </w:pPr>
    </w:p>
    <w:p>
      <w:pPr>
        <w:jc w:val="both"/>
        <w:ind w:firstLine="656"/>
        <w:spacing w:after="0" w:line="291" w:lineRule="auto"/>
        <w:tabs>
          <w:tab w:leader="none" w:pos="129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individual named above (“Participant”) under the Plan as a separate incentive and not in lieu of any salary or other compensation for his or her services, an Award of Restricted Stock, subject to all of the terms and conditions in this Award Agreement and the Plan, which is incorporated herein by reference. In the event of a conflict between the terms and</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conditions of the Plan and the terms and conditions of this Award Agreement, the terms and conditions of the Plan will prevail.</w:t>
      </w:r>
    </w:p>
    <w:p>
      <w:pPr>
        <w:spacing w:after="0" w:line="21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Escrow of Shares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0" w:lineRule="auto"/>
        <w:tabs>
          <w:tab w:leader="none" w:pos="1285"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Service Provider (if earlier).</w:t>
      </w:r>
    </w:p>
    <w:p>
      <w:pPr>
        <w:spacing w:after="0" w:line="185" w:lineRule="exact"/>
        <w:rPr>
          <w:rFonts w:ascii="Arial" w:cs="Arial" w:eastAsia="Arial" w:hAnsi="Arial"/>
          <w:sz w:val="20"/>
          <w:szCs w:val="20"/>
          <w:color w:val="auto"/>
        </w:rPr>
      </w:pPr>
    </w:p>
    <w:p>
      <w:pPr>
        <w:ind w:right="20" w:firstLine="656"/>
        <w:spacing w:after="0" w:line="260" w:lineRule="auto"/>
        <w:tabs>
          <w:tab w:leader="none" w:pos="1296"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Escrow Holder will not be liable for any act it may do or omit to do with respect to holding the Shares of Restricted Stock in escrow while acting in good faith and in the exercise of its judgment.</w:t>
      </w:r>
    </w:p>
    <w:p>
      <w:pPr>
        <w:spacing w:after="0" w:line="203" w:lineRule="exact"/>
        <w:rPr>
          <w:rFonts w:ascii="Arial" w:cs="Arial" w:eastAsia="Arial" w:hAnsi="Arial"/>
          <w:sz w:val="20"/>
          <w:szCs w:val="20"/>
          <w:color w:val="auto"/>
        </w:rPr>
      </w:pPr>
    </w:p>
    <w:p>
      <w:pPr>
        <w:jc w:val="both"/>
        <w:ind w:firstLine="656"/>
        <w:spacing w:after="0" w:line="276" w:lineRule="auto"/>
        <w:tabs>
          <w:tab w:leader="none" w:pos="1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Participant’s termination as a Service Provider for any reason, the Escrow Holder, upon receipt of written notice of such termination, will take all steps necessary to accomplish the transfer of the unvested Shares of Restricted Stock (after giving effect to any accelerated vesting resulting from such termination) to the Company. Participant hereby appoints the Escrow Holder with full power of substitution, as Participant’s true and lawful attorney in 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91"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Escrow Holder will take all steps necessary to accomplish the transfer of Shares of Restricted Stock to Participant after they vest following Participant’s request that the Escrow Holder do so.</w:t>
      </w:r>
    </w:p>
    <w:p>
      <w:pPr>
        <w:spacing w:after="0" w:line="203" w:lineRule="exact"/>
        <w:rPr>
          <w:rFonts w:ascii="Arial" w:cs="Arial" w:eastAsia="Arial" w:hAnsi="Arial"/>
          <w:sz w:val="20"/>
          <w:szCs w:val="20"/>
          <w:color w:val="auto"/>
        </w:rPr>
      </w:pPr>
    </w:p>
    <w:p>
      <w:pPr>
        <w:jc w:val="both"/>
        <w:ind w:firstLine="656"/>
        <w:spacing w:after="0" w:line="243" w:lineRule="auto"/>
        <w:tabs>
          <w:tab w:leader="none" w:pos="1285" w:val="left"/>
        </w:tabs>
        <w:numPr>
          <w:ilvl w:val="0"/>
          <w:numId w:val="49"/>
        </w:numPr>
        <w:rPr>
          <w:rFonts w:ascii="Arial" w:cs="Arial" w:eastAsia="Arial" w:hAnsi="Arial"/>
          <w:sz w:val="20"/>
          <w:szCs w:val="20"/>
          <w:color w:val="auto"/>
        </w:rPr>
      </w:pPr>
      <w:r>
        <w:rPr>
          <w:rFonts w:ascii="Arial" w:cs="Arial" w:eastAsia="Arial" w:hAnsi="Arial"/>
          <w:sz w:val="20"/>
          <w:szCs w:val="20"/>
          <w:color w:val="auto"/>
        </w:rPr>
        <w:t>Subject to the terms hereof, Participant will have all the rights of a stockholder with respect to the Shares of Restricted Stock while they are unvested; provided, however, that if any (x) dividends or distributions are paid in Shares or other property, the Shares or other property will be subject to the same restrictions on transferability and forfeitability as the Shares of Restricted Stock with respect to which they were paid and (y) dividends are paid in cash, such cash dividends will be withheld (in the Company’s general assets) and paid only upon the vesting of the underlying Shares of Restricted Stock (with such cash dividends to be forfeited upon the forfeiture of the underlying Shares of Restricted Stock). For the avoidance of doubt, Participant may not sell or otherwise dispose of any shares of Restricted Stock while they are unvested.</w:t>
      </w:r>
    </w:p>
    <w:p>
      <w:pPr>
        <w:spacing w:after="0" w:line="233" w:lineRule="exact"/>
        <w:rPr>
          <w:rFonts w:ascii="Arial" w:cs="Arial" w:eastAsia="Arial" w:hAnsi="Arial"/>
          <w:sz w:val="20"/>
          <w:szCs w:val="20"/>
          <w:color w:val="auto"/>
        </w:rPr>
      </w:pPr>
    </w:p>
    <w:p>
      <w:pPr>
        <w:jc w:val="both"/>
        <w:ind w:firstLine="656"/>
        <w:spacing w:after="0" w:line="257" w:lineRule="auto"/>
        <w:tabs>
          <w:tab w:leader="none" w:pos="129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the event of any recapitalization, stock split, reverse stock split, reorganization, merger, consolidation, split-up, spin-off, combination, repurchase, or exchange of Shares or other securities of the Company, or other change in the corporate structure of the Company, affecting the Shares, in which the Shares of Restricted Stock are increased, reduced or otherwise changed, and by virtue of any such change Participant in his or her capacity as owner of unvested Shares of Restricted Stock (if applicable) is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212" w:lineRule="exact"/>
        <w:rPr>
          <w:sz w:val="20"/>
          <w:szCs w:val="20"/>
          <w:color w:val="auto"/>
        </w:rPr>
      </w:pPr>
    </w:p>
    <w:p>
      <w:pPr>
        <w:ind w:firstLine="656"/>
        <w:spacing w:after="0" w:line="287" w:lineRule="auto"/>
        <w:tabs>
          <w:tab w:leader="none" w:pos="1296"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79" w:lineRule="exact"/>
        <w:rPr>
          <w:sz w:val="20"/>
          <w:szCs w:val="20"/>
          <w:color w:val="auto"/>
        </w:rPr>
      </w:pPr>
    </w:p>
    <w:p>
      <w:pPr>
        <w:jc w:val="both"/>
        <w:ind w:firstLine="656"/>
        <w:spacing w:after="0" w:line="243" w:lineRule="auto"/>
        <w:tabs>
          <w:tab w:leader="none" w:pos="1296"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The Shares of Restricted Stock awarded by this Award Agreement will vest in accordance with the vesting provisions set forth in this Award Agreement. Unless otherwise provided in the vesting provisions set forth in this Award Agreement, Shares of Restricted Stock scheduled to vest on a certain date or upon the occurrence of a certain condition will not vest in Participant in accordance with any of the provisions of this Award Agreement, unless Participant has been continuously a Service Provider from the Date of Grant until the date such vesting is scheduled to occur. For the avoidance of doubt, employment or other service during only a portion of the vesting period until the respective vesting date shall not entitle Participant to vest in a pro rata portion of the Shares of Restricted Stock scheduled to vest on such date.</w:t>
      </w:r>
    </w:p>
    <w:p>
      <w:pPr>
        <w:spacing w:after="0" w:line="192"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Notwithstanding any contrary provision of this Award Agreement, but subject to the vesting provisions set forth in this Award Agreement, the balance of the Shares of Restricted Stock that have not vested at the time of Participant’s termination as a Service Provider for any reason will be forfeited (with no consideration due to Participant) and automatically transferred to and reacquired by the Company at no cost to the Company upon the date of such termination and Participant will have no further rights thereunder.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 as a Service Provider.</w:t>
      </w:r>
    </w:p>
    <w:p>
      <w:pPr>
        <w:spacing w:after="0" w:line="16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For purposes of the Restricted Stock, Participant's status as a Service Provider will be deemed terminated as of the date Participant is no longer actively providing services to the Company or one of its Subsidiaries (regardless of the reason for such termination and whether or not later found to be invalid or in breach of labor laws in the jurisdiction where Participant is providing service or the terms of Participant's employment or other service agreement, if any) and such date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Participant's period of service would not include any contractual notice period or any period of “garden leave” or similar period mandated under labor laws in the jurisdiction where the Participant is providing service or the terms of Participant's employment or other service agreement, if any). The Administrator shall have the exclusive discretion to determine when Participant is no longer</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actively provides services for purposes of the Restricted Stock (including whether Participant may still be considered to be providing services while on a leave of absence).</w:t>
      </w:r>
    </w:p>
    <w:p>
      <w:pPr>
        <w:spacing w:after="0" w:line="177" w:lineRule="exact"/>
        <w:rPr>
          <w:sz w:val="20"/>
          <w:szCs w:val="20"/>
          <w:color w:val="auto"/>
        </w:rPr>
      </w:pPr>
    </w:p>
    <w:p>
      <w:pPr>
        <w:jc w:val="both"/>
        <w:ind w:firstLine="656"/>
        <w:spacing w:after="0" w:line="260"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1" w:lineRule="auto"/>
        <w:tabs>
          <w:tab w:leader="none" w:pos="12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Participant acknowledges and agrees that, regardless of any action taken by the Company or, if different, the Subsidiary to which Participant is providing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including, but not limited to, the grant or vesting of Restricted Stock, or the subsequent sale of Shares acquired at vesting and the receipt of any dividends; and (ii) do not commit to and are under no obligation to structure the terms of the grant or any aspect of the Restricted Stock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spacing w:after="0" w:line="169" w:lineRule="exact"/>
        <w:rPr>
          <w:rFonts w:ascii="Arial" w:cs="Arial" w:eastAsia="Arial" w:hAnsi="Arial"/>
          <w:sz w:val="18"/>
          <w:szCs w:val="18"/>
          <w:color w:val="auto"/>
        </w:rPr>
      </w:pPr>
    </w:p>
    <w:p>
      <w:pPr>
        <w:jc w:val="both"/>
        <w:ind w:firstLine="656"/>
        <w:spacing w:after="0" w:line="271"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salary, wages or other compensation payable to Participant by the Company and/or the Service Recipient, (ii) withholding from proceeds of the sale of the Shares subject to the Restricted Stock either through a voluntary sale or through a mandatory sale arranged by the Company (on Participant’s behalf pursuant to this authorization without further consent), (iii) withholding Shares subject to the Restricted Stock,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w:t>
      </w:r>
    </w:p>
    <w:p>
      <w:pPr>
        <w:spacing w:after="0" w:line="200" w:lineRule="exact"/>
        <w:rPr>
          <w:rFonts w:ascii="Arial" w:cs="Arial" w:eastAsia="Arial" w:hAnsi="Arial"/>
          <w:sz w:val="18"/>
          <w:szCs w:val="18"/>
          <w:color w:val="auto"/>
        </w:rPr>
      </w:pPr>
    </w:p>
    <w:p>
      <w:pPr>
        <w:jc w:val="both"/>
        <w:ind w:firstLine="656"/>
        <w:spacing w:after="0" w:line="250" w:lineRule="auto"/>
        <w:tabs>
          <w:tab w:leader="none" w:pos="128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Company and/or the Service Recipient may withhold or account for Tax-Related Items by considering statutory withholding amounts or other applicable withholding rates, including maximum rates applicable in Participant’s jurisdiction(s). In the event of over-withholding, Participant</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Shares, for tax purposes, Participant is deemed to have received the full number of Shares subject to the vested Award, notwithstanding that a number of the Shares is held back solely for the purpose of paying the Tax-Related Items.</w:t>
      </w:r>
    </w:p>
    <w:p>
      <w:pPr>
        <w:spacing w:after="0" w:line="192" w:lineRule="exact"/>
        <w:rPr>
          <w:sz w:val="20"/>
          <w:szCs w:val="20"/>
          <w:color w:val="auto"/>
        </w:rPr>
      </w:pPr>
    </w:p>
    <w:p>
      <w:pPr>
        <w:jc w:val="both"/>
        <w:ind w:firstLine="656"/>
        <w:spacing w:after="0" w:line="328" w:lineRule="auto"/>
        <w:tabs>
          <w:tab w:leader="none" w:pos="12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Restricted Stock, if Participant fails to comply with his or her obligations in connection with the Tax-Related Items.</w:t>
      </w:r>
    </w:p>
    <w:p>
      <w:pPr>
        <w:spacing w:after="0" w:line="155" w:lineRule="exact"/>
        <w:rPr>
          <w:sz w:val="20"/>
          <w:szCs w:val="20"/>
          <w:color w:val="auto"/>
        </w:rPr>
      </w:pPr>
    </w:p>
    <w:p>
      <w:pPr>
        <w:jc w:val="both"/>
        <w:ind w:firstLine="656"/>
        <w:spacing w:after="0" w:line="278" w:lineRule="auto"/>
        <w:tabs>
          <w:tab w:leader="none" w:pos="129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have been issued, recorded on the records of the Company or its transfer agents or registrars, and delivered to Participant or the Escrow Agent. Except as provided in Section 2(e), after such issuance, recordation and delivery, Participant will have all the rights of a stockholder of the Company with respect to such Shares, including voting and receipt of dividends and distributions on such Shares.</w:t>
      </w:r>
    </w:p>
    <w:p>
      <w:pPr>
        <w:spacing w:after="0" w:line="164" w:lineRule="exact"/>
        <w:rPr>
          <w:rFonts w:ascii="Arial" w:cs="Arial" w:eastAsia="Arial" w:hAnsi="Arial"/>
          <w:sz w:val="18"/>
          <w:szCs w:val="18"/>
          <w:color w:val="auto"/>
        </w:rPr>
      </w:pPr>
    </w:p>
    <w:p>
      <w:pPr>
        <w:jc w:val="both"/>
        <w:ind w:firstLine="656"/>
        <w:spacing w:after="0" w:line="256"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PARTICIPANT ACKNOWLEDGES AND AGREES THAT THE VESTING OF THE SHARES OF RESTRICTED STOCK PURSUANT TO THE VESTING SCHEDULE HEREOF IS EARNED ONLY BY CONTINUING AS A SERVICE PROVIDER AND NOT THROUGH THE ACT OF BEING HIRED, BEING GRANTED THIS RESTRICTED STOCK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AS APPLICABLE, TO TERMINATE PARTICIPANT’S RELATIONSHIP AS A SERVICE PROVIDER AT ANY TIME, WITH OR WITHOUT CAUSE.</w:t>
      </w:r>
    </w:p>
    <w:p>
      <w:pPr>
        <w:spacing w:after="0" w:line="184"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For Participants outside the United States, the Restricted Stock shall be subject to the general terms and conditions for all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vesting period of the Restricted Stock, the general terms and conditions for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8" w:firstLine="656"/>
        <w:spacing w:after="0" w:line="246" w:lineRule="auto"/>
        <w:tabs>
          <w:tab w:leader="none" w:pos="1279"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w:t>
      </w:r>
    </w:p>
    <w:p>
      <w:pPr>
        <w:spacing w:after="0" w:line="191" w:lineRule="exact"/>
        <w:rPr>
          <w:rFonts w:ascii="Arial" w:cs="Arial" w:eastAsia="Arial" w:hAnsi="Arial"/>
          <w:sz w:val="20"/>
          <w:szCs w:val="20"/>
          <w:color w:val="auto"/>
        </w:rPr>
      </w:pPr>
    </w:p>
    <w:p>
      <w:pPr>
        <w:jc w:val="both"/>
        <w:ind w:left="-8" w:firstLine="656"/>
        <w:spacing w:after="0" w:line="250" w:lineRule="auto"/>
        <w:tabs>
          <w:tab w:leader="none" w:pos="1271"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in care of its General Counsel at Amkor Technology, Inc., 2045 E. Innovation Circle, Tempe, Arizona, 85284, or at such other address as the Company may hereafter designate in writing.</w:t>
      </w:r>
    </w:p>
    <w:p>
      <w:pPr>
        <w:spacing w:after="0" w:line="185" w:lineRule="exact"/>
        <w:rPr>
          <w:rFonts w:ascii="Arial" w:cs="Arial" w:eastAsia="Arial" w:hAnsi="Arial"/>
          <w:sz w:val="20"/>
          <w:szCs w:val="20"/>
          <w:color w:val="auto"/>
        </w:rPr>
      </w:pPr>
    </w:p>
    <w:p>
      <w:pPr>
        <w:jc w:val="both"/>
        <w:ind w:left="-8" w:firstLine="656"/>
        <w:spacing w:after="0" w:line="250" w:lineRule="auto"/>
        <w:tabs>
          <w:tab w:leader="none" w:pos="1279"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Waivers</w:t>
      </w:r>
      <w:r>
        <w:rPr>
          <w:rFonts w:ascii="Arial" w:cs="Arial" w:eastAsia="Arial" w:hAnsi="Arial"/>
          <w:sz w:val="20"/>
          <w:szCs w:val="20"/>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185" w:lineRule="exact"/>
        <w:rPr>
          <w:rFonts w:ascii="Arial" w:cs="Arial" w:eastAsia="Arial" w:hAnsi="Arial"/>
          <w:sz w:val="20"/>
          <w:szCs w:val="20"/>
          <w:color w:val="auto"/>
        </w:rPr>
      </w:pPr>
    </w:p>
    <w:p>
      <w:pPr>
        <w:jc w:val="both"/>
        <w:ind w:left="-8" w:firstLine="656"/>
        <w:spacing w:after="0" w:line="259" w:lineRule="auto"/>
        <w:tabs>
          <w:tab w:leader="none" w:pos="1279"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Except to the limited extent provided in Section 5, the unvested Shares of Restricted Stock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 subject to this grant, or any right or privilege conferred hereby, or upon any attempted sale under any execution, attachment or similar process, this grant and the rights and privileges conferred hereby immediately will become null and void.</w:t>
      </w:r>
    </w:p>
    <w:p>
      <w:pPr>
        <w:spacing w:after="0" w:line="178" w:lineRule="exact"/>
        <w:rPr>
          <w:rFonts w:ascii="Arial" w:cs="Arial" w:eastAsia="Arial" w:hAnsi="Arial"/>
          <w:sz w:val="19"/>
          <w:szCs w:val="19"/>
          <w:color w:val="auto"/>
        </w:rPr>
      </w:pPr>
    </w:p>
    <w:p>
      <w:pPr>
        <w:jc w:val="both"/>
        <w:ind w:left="-8" w:firstLine="656"/>
        <w:spacing w:after="0" w:line="269" w:lineRule="auto"/>
        <w:tabs>
          <w:tab w:leader="none" w:pos="1279"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Shares of Restricted Stock nor this Award Agreement may be assigned by Participant).</w:t>
      </w:r>
    </w:p>
    <w:p>
      <w:pPr>
        <w:spacing w:after="0" w:line="169" w:lineRule="exact"/>
        <w:rPr>
          <w:rFonts w:ascii="Arial" w:cs="Arial" w:eastAsia="Arial" w:hAnsi="Arial"/>
          <w:sz w:val="19"/>
          <w:szCs w:val="19"/>
          <w:color w:val="auto"/>
        </w:rPr>
      </w:pPr>
    </w:p>
    <w:p>
      <w:pPr>
        <w:jc w:val="both"/>
        <w:ind w:left="-8" w:firstLine="656"/>
        <w:spacing w:after="0" w:line="275" w:lineRule="auto"/>
        <w:tabs>
          <w:tab w:leader="none" w:pos="1279"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Release from Escrow</w:t>
      </w:r>
      <w:r>
        <w:rPr>
          <w:rFonts w:ascii="Arial" w:cs="Arial" w:eastAsia="Arial" w:hAnsi="Arial"/>
          <w:sz w:val="18"/>
          <w:szCs w:val="18"/>
          <w:color w:val="auto"/>
        </w:rPr>
        <w:t>. The Company will not be required to issue any certificate or certificates for Shares hereunder or release such Shares from the escrow established pursuant to Section 2 prior to fulfillment of all the following conditions:</w:t>
      </w:r>
    </w:p>
    <w:p>
      <w:pPr>
        <w:jc w:val="both"/>
        <w:ind w:left="-8" w:firstLine="8"/>
        <w:spacing w:after="0" w:line="269" w:lineRule="auto"/>
        <w:tabs>
          <w:tab w:leader="none" w:pos="2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state or federal governmental agency, which the Administrator, in its absolute discretion, determines to be necessary or advisable; and (d) the lapse of such reasonable period of time following the date of grant of the Restricted Stock as the Administrator may establish from time to time for reasons of administrative convenience. Participant understands that the Company is under no obligation to register or qualify the Shares subject to the Restricted Stock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ectPr>
          <w:pgSz w:w="11900" w:h="16838" w:orient="portrait"/>
          <w:cols w:equalWidth="0" w:num="1">
            <w:col w:w="11232"/>
          </w:cols>
          <w:pgMar w:left="328"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56" w:firstLine="656"/>
        <w:spacing w:after="0" w:line="259" w:lineRule="auto"/>
        <w:tabs>
          <w:tab w:leader="none" w:pos="6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Administrator Authority</w:t>
      </w:r>
      <w:r>
        <w:rPr>
          <w:rFonts w:ascii="Arial" w:cs="Arial" w:eastAsia="Arial" w:hAnsi="Arial"/>
          <w:sz w:val="19"/>
          <w:szCs w:val="19"/>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78" w:lineRule="exact"/>
        <w:rPr>
          <w:rFonts w:ascii="Arial" w:cs="Arial" w:eastAsia="Arial" w:hAnsi="Arial"/>
          <w:sz w:val="19"/>
          <w:szCs w:val="19"/>
          <w:color w:val="auto"/>
        </w:rPr>
      </w:pPr>
    </w:p>
    <w:p>
      <w:pPr>
        <w:jc w:val="both"/>
        <w:ind w:left="-656" w:firstLine="656"/>
        <w:spacing w:after="0" w:line="263" w:lineRule="auto"/>
        <w:tabs>
          <w:tab w:leader="none" w:pos="6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Shares of Restricted Stock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6" w:lineRule="exact"/>
        <w:rPr>
          <w:rFonts w:ascii="Arial" w:cs="Arial" w:eastAsia="Arial" w:hAnsi="Arial"/>
          <w:sz w:val="19"/>
          <w:szCs w:val="19"/>
          <w:color w:val="auto"/>
        </w:rPr>
      </w:pPr>
    </w:p>
    <w:p>
      <w:pPr>
        <w:ind w:left="-656" w:firstLine="656"/>
        <w:spacing w:after="0" w:line="260" w:lineRule="auto"/>
        <w:tabs>
          <w:tab w:leader="none" w:pos="63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76" w:lineRule="exact"/>
        <w:rPr>
          <w:rFonts w:ascii="Arial" w:cs="Arial" w:eastAsia="Arial" w:hAnsi="Arial"/>
          <w:sz w:val="20"/>
          <w:szCs w:val="20"/>
          <w:color w:val="auto"/>
        </w:rPr>
      </w:pPr>
    </w:p>
    <w:p>
      <w:pPr>
        <w:jc w:val="both"/>
        <w:ind w:left="-656" w:firstLine="656"/>
        <w:spacing w:after="0" w:line="250" w:lineRule="auto"/>
        <w:tabs>
          <w:tab w:leader="none" w:pos="63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85" w:lineRule="exact"/>
        <w:rPr>
          <w:rFonts w:ascii="Arial" w:cs="Arial" w:eastAsia="Arial" w:hAnsi="Arial"/>
          <w:sz w:val="20"/>
          <w:szCs w:val="20"/>
          <w:color w:val="auto"/>
        </w:rPr>
      </w:pPr>
    </w:p>
    <w:p>
      <w:pPr>
        <w:jc w:val="both"/>
        <w:ind w:left="-656" w:firstLine="656"/>
        <w:spacing w:after="0" w:line="244" w:lineRule="auto"/>
        <w:tabs>
          <w:tab w:leader="none" w:pos="63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Modifications to the Award Agreement</w:t>
      </w:r>
      <w:r>
        <w:rPr>
          <w:rFonts w:ascii="Arial" w:cs="Arial" w:eastAsia="Arial" w:hAnsi="Arial"/>
          <w:sz w:val="20"/>
          <w:szCs w:val="20"/>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94" w:lineRule="exact"/>
        <w:rPr>
          <w:rFonts w:ascii="Arial" w:cs="Arial" w:eastAsia="Arial" w:hAnsi="Arial"/>
          <w:sz w:val="20"/>
          <w:szCs w:val="20"/>
          <w:color w:val="auto"/>
        </w:rPr>
      </w:pPr>
    </w:p>
    <w:p>
      <w:pPr>
        <w:jc w:val="both"/>
        <w:ind w:left="-656" w:firstLine="656"/>
        <w:spacing w:after="0" w:line="256" w:lineRule="auto"/>
        <w:tabs>
          <w:tab w:leader="none" w:pos="6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184" w:lineRule="exact"/>
        <w:rPr>
          <w:rFonts w:ascii="Arial" w:cs="Arial" w:eastAsia="Arial" w:hAnsi="Arial"/>
          <w:sz w:val="19"/>
          <w:szCs w:val="19"/>
          <w:color w:val="auto"/>
        </w:rPr>
      </w:pPr>
    </w:p>
    <w:p>
      <w:pPr>
        <w:jc w:val="both"/>
        <w:ind w:left="-656" w:firstLine="656"/>
        <w:spacing w:after="0" w:line="291" w:lineRule="auto"/>
        <w:tabs>
          <w:tab w:leader="none" w:pos="63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 of Plan</w:t>
      </w:r>
      <w:r>
        <w:rPr>
          <w:rFonts w:ascii="Arial" w:cs="Arial" w:eastAsia="Arial" w:hAnsi="Arial"/>
          <w:sz w:val="18"/>
          <w:szCs w:val="18"/>
          <w:color w:val="auto"/>
        </w:rPr>
        <w:t>. By accepting the Restricted Stock, Participant expressly warrants that he or she has received an Award of Restricted Stock under the Plan, and has received, read and understands the Plan. Participant understands that the Plan is discretionary in nature and may be amended, suspended or terminated by the Company at any time, to the extent permitted by the Plan.</w:t>
      </w:r>
    </w:p>
    <w:p>
      <w:pPr>
        <w:sectPr>
          <w:pgSz w:w="11900" w:h="16838" w:orient="portrait"/>
          <w:cols w:equalWidth="0" w:num="1">
            <w:col w:w="10584"/>
          </w:cols>
          <w:pgMar w:left="976"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20" w:firstLine="656"/>
        <w:spacing w:after="0" w:line="282" w:lineRule="auto"/>
        <w:tabs>
          <w:tab w:leader="none" w:pos="126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w:t>
      </w:r>
      <w:r>
        <w:rPr>
          <w:rFonts w:ascii="Arial" w:cs="Arial" w:eastAsia="Arial" w:hAnsi="Arial"/>
          <w:sz w:val="18"/>
          <w:szCs w:val="18"/>
          <w:b w:val="1"/>
          <w:bCs w:val="1"/>
          <w:color w:val="auto"/>
        </w:rPr>
        <w:t>,</w:t>
      </w:r>
      <w:r>
        <w:rPr>
          <w:rFonts w:ascii="Arial" w:cs="Arial" w:eastAsia="Arial" w:hAnsi="Arial"/>
          <w:sz w:val="18"/>
          <w:szCs w:val="18"/>
          <w:color w:val="auto"/>
        </w:rPr>
        <w:t xml:space="preserve"> and agree that such litigation will be conducted solely in the courts of Maricopa County, Arizona, or the federal courts for the United States for the District of Arizona, and no other courts.</w:t>
      </w:r>
    </w:p>
    <w:p>
      <w:pPr>
        <w:spacing w:after="0" w:line="161" w:lineRule="exact"/>
        <w:rPr>
          <w:rFonts w:ascii="Arial" w:cs="Arial" w:eastAsia="Arial" w:hAnsi="Arial"/>
          <w:sz w:val="18"/>
          <w:szCs w:val="18"/>
          <w:color w:val="auto"/>
        </w:rPr>
      </w:pPr>
    </w:p>
    <w:p>
      <w:pPr>
        <w:jc w:val="both"/>
        <w:ind w:left="-20" w:firstLine="656"/>
        <w:spacing w:after="0" w:line="255" w:lineRule="auto"/>
        <w:tabs>
          <w:tab w:leader="none" w:pos="126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By accepting the Restricted Stock,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184" w:lineRule="exact"/>
        <w:rPr>
          <w:rFonts w:ascii="Arial" w:cs="Arial" w:eastAsia="Arial" w:hAnsi="Arial"/>
          <w:sz w:val="19"/>
          <w:szCs w:val="19"/>
          <w:color w:val="auto"/>
        </w:rPr>
      </w:pPr>
    </w:p>
    <w:p>
      <w:pPr>
        <w:jc w:val="both"/>
        <w:ind w:left="-20" w:firstLine="656"/>
        <w:spacing w:after="0" w:line="260" w:lineRule="auto"/>
        <w:tabs>
          <w:tab w:leader="none" w:pos="126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Participant's acceptance of the Restricted Stock by signing below or by otherwise accepting the Restricted Stock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unless Participant has signed this Award Agreement or otherwise accepted the Restricted Stock following such procedures as established by the Company (including an online acceptance process).</w:t>
      </w:r>
    </w:p>
    <w:p>
      <w:pPr>
        <w:spacing w:after="0" w:line="223" w:lineRule="exact"/>
        <w:rPr>
          <w:sz w:val="20"/>
          <w:szCs w:val="20"/>
          <w:color w:val="auto"/>
        </w:rPr>
      </w:pPr>
    </w:p>
    <w:p>
      <w:pPr>
        <w:spacing w:after="0"/>
        <w:tabs>
          <w:tab w:leader="none" w:pos="540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2"/>
          <w:szCs w:val="22"/>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64376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6437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317" w:lineRule="exact"/>
        <w:rPr>
          <w:sz w:val="20"/>
          <w:szCs w:val="20"/>
          <w:color w:val="auto"/>
        </w:rPr>
      </w:pPr>
    </w:p>
    <w:p>
      <w:pPr>
        <w:spacing w:after="0"/>
        <w:tabs>
          <w:tab w:leader="none" w:pos="540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b w:val="1"/>
          <w:bCs w:val="1"/>
          <w:color w:val="auto"/>
        </w:rPr>
        <w:t>Date</w:t>
      </w:r>
    </w:p>
    <w:p>
      <w:pPr>
        <w:sectPr>
          <w:pgSz w:w="11900" w:h="16838" w:orient="portrait"/>
          <w:cols w:equalWidth="0" w:num="1">
            <w:col w:w="11220"/>
          </w:cols>
          <w:pgMar w:left="34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TO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2007 EQUITY INCENTIVE PLAN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RESTRICTED STOCK AWARD AGREEMENT</w:t>
      </w:r>
    </w:p>
    <w:p>
      <w:pPr>
        <w:spacing w:after="0" w:line="2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0"/>
          <w:szCs w:val="20"/>
          <w:color w:val="auto"/>
        </w:rPr>
        <w:t>Capitalized terms used but not defined in this Appendix shall have the same meanings assigned to them in the Plan and/or the Global Restricted Stock Award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This Appendix includes general terms and conditions for all non-U.S. Participants and additional terms and conditions that govern the Restricted Stock if Participant works and/or resides in one of the countries listed below. 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is granted, the Company will, in its discretion, determine the extent to which the terms and conditions contained herein will apply to Participant.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July 2020.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vests or Participant sells any Shares acquired under the Plan.</w:t>
      </w:r>
    </w:p>
    <w:p>
      <w:pPr>
        <w:spacing w:after="0" w:line="20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195"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9"/>
          <w:szCs w:val="19"/>
          <w:color w:val="auto"/>
        </w:rPr>
        <w:t>If Participant is a citizen or resident of a country other than the one in which Participant is currently working and/or residing (or is considered as such for local law purposes), or if Participant transfers employment and/or residency to a different country after the Restricted Stock is granted, the information contained in this Appendix may not be applicable to Participant in the same manner.</w:t>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u w:val="single" w:color="auto"/>
          <w:color w:val="auto"/>
        </w:rPr>
        <w:t>GENERAL TERMS AND CONDITIONS APPLICABLE TO ALL NON-U.S. PARTICIPANTS</w:t>
      </w:r>
    </w:p>
    <w:p>
      <w:pPr>
        <w:spacing w:after="0" w:line="28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0"/>
          <w:szCs w:val="20"/>
          <w:i w:val="1"/>
          <w:iCs w:val="1"/>
          <w:color w:val="auto"/>
        </w:rPr>
      </w:pPr>
      <w:r>
        <w:rPr>
          <w:rFonts w:ascii="Arial" w:cs="Arial" w:eastAsia="Arial" w:hAnsi="Arial"/>
          <w:sz w:val="20"/>
          <w:szCs w:val="20"/>
          <w:b w:val="1"/>
          <w:bCs w:val="1"/>
          <w:i w:val="1"/>
          <w:iCs w:val="1"/>
          <w:u w:val="single" w:color="auto"/>
          <w:color w:val="auto"/>
        </w:rPr>
        <w:t>Data Privacy Information and Consent</w:t>
      </w:r>
      <w:r>
        <w:rPr>
          <w:rFonts w:ascii="Arial" w:cs="Arial" w:eastAsia="Arial" w:hAnsi="Arial"/>
          <w:sz w:val="20"/>
          <w:szCs w:val="20"/>
          <w:b w:val="1"/>
          <w:bCs w:val="1"/>
          <w:i w:val="1"/>
          <w:iCs w:val="1"/>
          <w:color w:val="auto"/>
        </w:rPr>
        <w:t>.</w:t>
      </w:r>
    </w:p>
    <w:p>
      <w:pPr>
        <w:spacing w:after="0" w:line="283" w:lineRule="exact"/>
        <w:rPr>
          <w:rFonts w:ascii="Arial" w:cs="Arial" w:eastAsia="Arial" w:hAnsi="Arial"/>
          <w:sz w:val="20"/>
          <w:szCs w:val="20"/>
          <w:i w:val="1"/>
          <w:iCs w:val="1"/>
          <w:color w:val="auto"/>
        </w:rPr>
      </w:pPr>
    </w:p>
    <w:p>
      <w:pPr>
        <w:jc w:val="both"/>
        <w:ind w:firstLine="980"/>
        <w:spacing w:after="0" w:line="323" w:lineRule="auto"/>
        <w:tabs>
          <w:tab w:leader="none" w:pos="1284" w:val="left"/>
        </w:tabs>
        <w:numPr>
          <w:ilvl w:val="2"/>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The Company and the Service Recipient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191" w:lineRule="exact"/>
        <w:rPr>
          <w:rFonts w:ascii="Arial" w:cs="Arial" w:eastAsia="Arial" w:hAnsi="Arial"/>
          <w:sz w:val="18"/>
          <w:szCs w:val="18"/>
          <w:b w:val="1"/>
          <w:bCs w:val="1"/>
          <w:i w:val="1"/>
          <w:iCs w:val="1"/>
          <w:color w:val="auto"/>
        </w:rPr>
      </w:pPr>
    </w:p>
    <w:p>
      <w:pPr>
        <w:jc w:val="both"/>
        <w:ind w:firstLine="980"/>
        <w:spacing w:after="0" w:line="286" w:lineRule="auto"/>
        <w:tabs>
          <w:tab w:leader="none" w:pos="1284" w:val="left"/>
        </w:tabs>
        <w:numPr>
          <w:ilvl w:val="2"/>
          <w:numId w:val="6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Stock Plan Administration Service Providers</w:t>
      </w:r>
      <w:r>
        <w:rPr>
          <w:rFonts w:ascii="Arial" w:cs="Arial" w:eastAsia="Arial" w:hAnsi="Arial"/>
          <w:sz w:val="20"/>
          <w:szCs w:val="20"/>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18" w:lineRule="exact"/>
        <w:rPr>
          <w:rFonts w:ascii="Arial" w:cs="Arial" w:eastAsia="Arial" w:hAnsi="Arial"/>
          <w:sz w:val="20"/>
          <w:szCs w:val="20"/>
          <w:b w:val="1"/>
          <w:bCs w:val="1"/>
          <w:i w:val="1"/>
          <w:iCs w:val="1"/>
          <w:color w:val="auto"/>
        </w:rPr>
      </w:pPr>
    </w:p>
    <w:p>
      <w:pPr>
        <w:jc w:val="both"/>
        <w:ind w:firstLine="885"/>
        <w:spacing w:after="0" w:line="395" w:lineRule="auto"/>
        <w:tabs>
          <w:tab w:leader="none" w:pos="1286" w:val="left"/>
        </w:tabs>
        <w:numPr>
          <w:ilvl w:val="1"/>
          <w:numId w:val="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44" w:lineRule="exact"/>
        <w:rPr>
          <w:rFonts w:ascii="Arial" w:cs="Arial" w:eastAsia="Arial" w:hAnsi="Arial"/>
          <w:sz w:val="16"/>
          <w:szCs w:val="16"/>
          <w:b w:val="1"/>
          <w:bCs w:val="1"/>
          <w:i w:val="1"/>
          <w:iCs w:val="1"/>
          <w:color w:val="auto"/>
        </w:rPr>
      </w:pPr>
    </w:p>
    <w:p>
      <w:pPr>
        <w:jc w:val="both"/>
        <w:ind w:firstLine="980"/>
        <w:spacing w:after="0" w:line="325" w:lineRule="auto"/>
        <w:tabs>
          <w:tab w:leader="none" w:pos="1284" w:val="left"/>
        </w:tabs>
        <w:numPr>
          <w:ilvl w:val="2"/>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Retention</w:t>
      </w:r>
      <w:r>
        <w:rPr>
          <w:rFonts w:ascii="Arial" w:cs="Arial" w:eastAsia="Arial" w:hAnsi="Arial"/>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and/or the Service Recipient no longer need Data for any of the above purposes, they will cease processing it in this context and remove it from all of their systems used for such purposes to the fullest extent practicable.</w:t>
      </w:r>
    </w:p>
    <w:p>
      <w:pPr>
        <w:spacing w:after="0" w:line="191" w:lineRule="exact"/>
        <w:rPr>
          <w:rFonts w:ascii="Arial" w:cs="Arial" w:eastAsia="Arial" w:hAnsi="Arial"/>
          <w:sz w:val="18"/>
          <w:szCs w:val="18"/>
          <w:b w:val="1"/>
          <w:bCs w:val="1"/>
          <w:i w:val="1"/>
          <w:iCs w:val="1"/>
          <w:color w:val="auto"/>
        </w:rPr>
      </w:pPr>
    </w:p>
    <w:p>
      <w:pPr>
        <w:jc w:val="both"/>
        <w:ind w:firstLine="980"/>
        <w:spacing w:after="0" w:line="305" w:lineRule="auto"/>
        <w:tabs>
          <w:tab w:leader="none" w:pos="1286" w:val="left"/>
        </w:tabs>
        <w:numPr>
          <w:ilvl w:val="2"/>
          <w:numId w:val="6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Voluntariness and Consequences of Consent Denial or Withdrawal</w:t>
      </w:r>
      <w:r>
        <w:rPr>
          <w:rFonts w:ascii="Arial" w:cs="Arial" w:eastAsia="Arial" w:hAnsi="Arial"/>
          <w:sz w:val="19"/>
          <w:szCs w:val="19"/>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salary from or employment or service with the Service Recipient will not be affected; the only consequence of refusing or withdrawing consent is that the Company would not be able to grant the Restricted Stock or other equity awards to Participant under the Plan or administer or maintain such awards.</w:t>
      </w:r>
    </w:p>
    <w:p>
      <w:pPr>
        <w:sectPr>
          <w:pgSz w:w="11900" w:h="16838" w:orient="portrait"/>
          <w:cols w:equalWidth="0" w:num="1">
            <w:col w:w="11240"/>
          </w:cols>
          <w:pgMar w:left="320" w:top="1440" w:right="339" w:bottom="1440" w:gutter="0" w:footer="0" w:header="0"/>
        </w:sectPr>
      </w:pPr>
    </w:p>
    <w:bookmarkStart w:id="77" w:name="page78"/>
    <w:bookmarkEnd w:id="77"/>
    <w:p>
      <w:pPr>
        <w:spacing w:after="0" w:line="6" w:lineRule="exact"/>
        <w:rPr>
          <w:sz w:val="20"/>
          <w:szCs w:val="20"/>
          <w:color w:val="auto"/>
        </w:rPr>
      </w:pPr>
    </w:p>
    <w:p>
      <w:pPr>
        <w:jc w:val="both"/>
        <w:ind w:left="-332" w:firstLine="980"/>
        <w:spacing w:after="0" w:line="286" w:lineRule="auto"/>
        <w:tabs>
          <w:tab w:leader="none" w:pos="959" w:val="left"/>
        </w:tabs>
        <w:numPr>
          <w:ilvl w:val="2"/>
          <w:numId w:val="6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Subject Rights.</w:t>
      </w:r>
      <w:r>
        <w:rPr>
          <w:rFonts w:ascii="Arial" w:cs="Arial" w:eastAsia="Arial" w:hAnsi="Arial"/>
          <w:sz w:val="20"/>
          <w:szCs w:val="20"/>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18" w:lineRule="exact"/>
        <w:rPr>
          <w:rFonts w:ascii="Arial" w:cs="Arial" w:eastAsia="Arial" w:hAnsi="Arial"/>
          <w:sz w:val="20"/>
          <w:szCs w:val="20"/>
          <w:b w:val="1"/>
          <w:bCs w:val="1"/>
          <w:i w:val="1"/>
          <w:iCs w:val="1"/>
          <w:color w:val="auto"/>
        </w:rPr>
      </w:pPr>
    </w:p>
    <w:p>
      <w:pPr>
        <w:jc w:val="both"/>
        <w:ind w:left="-332" w:firstLine="885"/>
        <w:spacing w:after="0" w:line="321" w:lineRule="auto"/>
        <w:tabs>
          <w:tab w:leader="none" w:pos="952" w:val="left"/>
        </w:tabs>
        <w:numPr>
          <w:ilvl w:val="1"/>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Other Legal Basis and Additional Consent</w:t>
      </w:r>
      <w:r>
        <w:rPr>
          <w:rFonts w:ascii="Arial" w:cs="Arial" w:eastAsia="Arial" w:hAnsi="Arial"/>
          <w:sz w:val="18"/>
          <w:szCs w:val="18"/>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or the Service Recipient, Participant will provide a separate executed data privacy agreement (or any other agreements or consents) that the Company and/or the Service Recipient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 and/or the Service Recipient.</w:t>
      </w:r>
    </w:p>
    <w:p>
      <w:pPr>
        <w:spacing w:after="0" w:line="195" w:lineRule="exact"/>
        <w:rPr>
          <w:rFonts w:ascii="Arial" w:cs="Arial" w:eastAsia="Arial" w:hAnsi="Arial"/>
          <w:sz w:val="18"/>
          <w:szCs w:val="18"/>
          <w:b w:val="1"/>
          <w:bCs w:val="1"/>
          <w:i w:val="1"/>
          <w:iCs w:val="1"/>
          <w:color w:val="auto"/>
        </w:rPr>
      </w:pPr>
    </w:p>
    <w:p>
      <w:pPr>
        <w:ind w:left="328" w:hanging="328"/>
        <w:spacing w:after="0"/>
        <w:tabs>
          <w:tab w:leader="none" w:pos="32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By accepting the Restricted Stock, Participant acknowledges, understands, and agrees that:</w:t>
      </w:r>
    </w:p>
    <w:p>
      <w:pPr>
        <w:spacing w:after="0" w:line="283" w:lineRule="exact"/>
        <w:rPr>
          <w:rFonts w:ascii="Arial" w:cs="Arial" w:eastAsia="Arial" w:hAnsi="Arial"/>
          <w:sz w:val="20"/>
          <w:szCs w:val="20"/>
          <w:color w:val="auto"/>
        </w:rPr>
      </w:pPr>
    </w:p>
    <w:p>
      <w:pPr>
        <w:ind w:left="-332" w:right="20" w:firstLine="885"/>
        <w:spacing w:after="0" w:line="363" w:lineRule="auto"/>
        <w:tabs>
          <w:tab w:leader="none" w:pos="95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grant of the Restricted Stock is exceptional, voluntary and occasional and does not create any contractual or other right to receive future grants of restricted stock, or benefits in lieu of restricted stock, even if restricted stock has been granted in the past;</w:t>
      </w:r>
    </w:p>
    <w:p>
      <w:pPr>
        <w:spacing w:after="0" w:line="156" w:lineRule="exact"/>
        <w:rPr>
          <w:rFonts w:ascii="Arial" w:cs="Arial" w:eastAsia="Arial" w:hAnsi="Arial"/>
          <w:sz w:val="18"/>
          <w:szCs w:val="18"/>
          <w:color w:val="auto"/>
        </w:rPr>
      </w:pPr>
    </w:p>
    <w:p>
      <w:pPr>
        <w:ind w:left="968" w:hanging="415"/>
        <w:spacing w:after="0"/>
        <w:tabs>
          <w:tab w:leader="none" w:pos="968" w:val="left"/>
        </w:tabs>
        <w:numPr>
          <w:ilvl w:val="1"/>
          <w:numId w:val="64"/>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or other grants, if any, will be at the sole discretion of the Company;</w:t>
      </w:r>
    </w:p>
    <w:p>
      <w:pPr>
        <w:spacing w:after="0" w:line="294" w:lineRule="exact"/>
        <w:rPr>
          <w:rFonts w:ascii="Arial" w:cs="Arial" w:eastAsia="Arial" w:hAnsi="Arial"/>
          <w:sz w:val="19"/>
          <w:szCs w:val="19"/>
          <w:color w:val="auto"/>
        </w:rPr>
      </w:pPr>
    </w:p>
    <w:p>
      <w:pPr>
        <w:ind w:left="968" w:hanging="415"/>
        <w:spacing w:after="0"/>
        <w:tabs>
          <w:tab w:leader="none" w:pos="968" w:val="left"/>
        </w:tabs>
        <w:numPr>
          <w:ilvl w:val="1"/>
          <w:numId w:val="64"/>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83" w:lineRule="exact"/>
        <w:rPr>
          <w:rFonts w:ascii="Arial" w:cs="Arial" w:eastAsia="Arial" w:hAnsi="Arial"/>
          <w:sz w:val="20"/>
          <w:szCs w:val="20"/>
          <w:color w:val="auto"/>
        </w:rPr>
      </w:pPr>
    </w:p>
    <w:p>
      <w:pPr>
        <w:ind w:left="-332" w:right="20" w:firstLine="885"/>
        <w:spacing w:after="0" w:line="303" w:lineRule="auto"/>
        <w:tabs>
          <w:tab w:leader="none" w:pos="9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Restricted Stock and any Shares subject to the Restricted Stock, and the income from and value of same, are not intended to replace any pension rights or compensation;</w:t>
      </w:r>
    </w:p>
    <w:p>
      <w:pPr>
        <w:spacing w:after="0" w:line="202" w:lineRule="exact"/>
        <w:rPr>
          <w:rFonts w:ascii="Arial" w:cs="Arial" w:eastAsia="Arial" w:hAnsi="Arial"/>
          <w:sz w:val="20"/>
          <w:szCs w:val="20"/>
          <w:color w:val="auto"/>
        </w:rPr>
      </w:pPr>
    </w:p>
    <w:p>
      <w:pPr>
        <w:jc w:val="both"/>
        <w:ind w:left="-332" w:firstLine="885"/>
        <w:spacing w:after="0" w:line="292" w:lineRule="auto"/>
        <w:tabs>
          <w:tab w:leader="none" w:pos="954" w:val="left"/>
        </w:tabs>
        <w:numPr>
          <w:ilvl w:val="1"/>
          <w:numId w:val="64"/>
        </w:numPr>
        <w:rPr>
          <w:rFonts w:ascii="Arial" w:cs="Arial" w:eastAsia="Arial" w:hAnsi="Arial"/>
          <w:sz w:val="20"/>
          <w:szCs w:val="20"/>
          <w:color w:val="auto"/>
        </w:rPr>
      </w:pPr>
      <w:r>
        <w:rPr>
          <w:rFonts w:ascii="Arial" w:cs="Arial" w:eastAsia="Arial" w:hAnsi="Arial"/>
          <w:sz w:val="20"/>
          <w:szCs w:val="20"/>
          <w:color w:val="auto"/>
        </w:rPr>
        <w:t>unless otherwise agreed with the Company, the Restricted Stock and the Shares subject to the Restricted Stock, and the income from and value of same, are not granted as consideration for, or in connection with, the service Participant may provide as a director of a Subsidiary;</w:t>
      </w:r>
    </w:p>
    <w:p>
      <w:pPr>
        <w:spacing w:after="0" w:line="213" w:lineRule="exact"/>
        <w:rPr>
          <w:rFonts w:ascii="Arial" w:cs="Arial" w:eastAsia="Arial" w:hAnsi="Arial"/>
          <w:sz w:val="20"/>
          <w:szCs w:val="20"/>
          <w:color w:val="auto"/>
        </w:rPr>
      </w:pPr>
    </w:p>
    <w:p>
      <w:pPr>
        <w:jc w:val="both"/>
        <w:ind w:left="-332" w:firstLine="885"/>
        <w:spacing w:after="0" w:line="292" w:lineRule="auto"/>
        <w:tabs>
          <w:tab w:leader="none" w:pos="959"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Restricted Stock and any Shares subject to the Restricted Stock, and the income from and value of same, are not part of normal or expected compensation for any purpose, including, without limitation to, calculating any severance, resignation, termination, redundancy, dismissal, end-of-service</w:t>
      </w:r>
    </w:p>
    <w:p>
      <w:pPr>
        <w:sectPr>
          <w:pgSz w:w="11900" w:h="16838" w:orient="portrait"/>
          <w:cols w:equalWidth="0" w:num="1">
            <w:col w:w="10908"/>
          </w:cols>
          <w:pgMar w:left="652" w:top="1440" w:right="339" w:bottom="1440" w:gutter="0" w:footer="0" w:header="0"/>
        </w:sectPr>
      </w:pPr>
    </w:p>
    <w:bookmarkStart w:id="78" w:name="page79"/>
    <w:bookmarkEnd w:id="78"/>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payments, bonuses, long-service awards, holiday pay, pension or retirement or welfare benefits or similar mandatory payments;</w:t>
      </w:r>
    </w:p>
    <w:p>
      <w:pPr>
        <w:spacing w:after="0" w:line="295"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8"/>
          <w:szCs w:val="18"/>
          <w:color w:val="auto"/>
        </w:rPr>
        <w:t>the future value of the Shares underlying the Restricted Stock is unknown, indeterminable, and cannot be predicted with</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certainty;</w:t>
      </w:r>
    </w:p>
    <w:p>
      <w:pPr>
        <w:spacing w:after="0" w:line="283" w:lineRule="exact"/>
        <w:rPr>
          <w:sz w:val="20"/>
          <w:szCs w:val="20"/>
          <w:color w:val="auto"/>
        </w:rPr>
      </w:pPr>
    </w:p>
    <w:p>
      <w:pPr>
        <w:jc w:val="both"/>
        <w:ind w:firstLine="885"/>
        <w:spacing w:after="0" w:line="288" w:lineRule="auto"/>
        <w:tabs>
          <w:tab w:leader="none" w:pos="1284" w:val="left"/>
        </w:tabs>
        <w:numPr>
          <w:ilvl w:val="1"/>
          <w:numId w:val="65"/>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resulting from the termination of Participant’s status as a Service Provider (for any reason whatsoever, whether or not later found to be invalid or in breach of labor laws in the jurisdiction where the Participant is providing service or the terms of the Participant’s employment or other service agreement, if any);</w:t>
      </w:r>
    </w:p>
    <w:p>
      <w:pPr>
        <w:spacing w:after="0" w:line="219" w:lineRule="exact"/>
        <w:rPr>
          <w:rFonts w:ascii="Arial" w:cs="Arial" w:eastAsia="Arial" w:hAnsi="Arial"/>
          <w:sz w:val="20"/>
          <w:szCs w:val="20"/>
          <w:color w:val="auto"/>
        </w:rPr>
      </w:pPr>
    </w:p>
    <w:p>
      <w:pPr>
        <w:jc w:val="both"/>
        <w:ind w:firstLine="885"/>
        <w:spacing w:after="0" w:line="338" w:lineRule="auto"/>
        <w:tabs>
          <w:tab w:leader="none" w:pos="12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Restricted Stock and the benefits evidenced by this Award Agreement do not create any entitlement to have the Restricted Stock or any such benefits transferred to, or assumed by, another company nor to be exchanged, cashed out or substituted for, in connection with any corporate transaction affecting the Shares; and</w:t>
      </w:r>
    </w:p>
    <w:p>
      <w:pPr>
        <w:spacing w:after="0" w:line="178" w:lineRule="exact"/>
        <w:rPr>
          <w:rFonts w:ascii="Arial" w:cs="Arial" w:eastAsia="Arial" w:hAnsi="Arial"/>
          <w:sz w:val="18"/>
          <w:szCs w:val="18"/>
          <w:color w:val="auto"/>
        </w:rPr>
      </w:pPr>
    </w:p>
    <w:p>
      <w:pPr>
        <w:jc w:val="both"/>
        <w:ind w:firstLine="885"/>
        <w:spacing w:after="0" w:line="314" w:lineRule="auto"/>
        <w:tabs>
          <w:tab w:leader="none" w:pos="1294" w:val="left"/>
        </w:tabs>
        <w:numPr>
          <w:ilvl w:val="1"/>
          <w:numId w:val="65"/>
        </w:numPr>
        <w:rPr>
          <w:rFonts w:ascii="Arial" w:cs="Arial" w:eastAsia="Arial" w:hAnsi="Arial"/>
          <w:sz w:val="19"/>
          <w:szCs w:val="19"/>
          <w:color w:val="auto"/>
        </w:rPr>
      </w:pPr>
      <w:r>
        <w:rPr>
          <w:rFonts w:ascii="Arial" w:cs="Arial" w:eastAsia="Arial" w:hAnsi="Arial"/>
          <w:sz w:val="19"/>
          <w:szCs w:val="19"/>
          <w:color w:val="auto"/>
        </w:rPr>
        <w:t>neither the Company, the Service Recipient nor any other Subsidiary shall be liable for any foreign exchange rate fluctuation between Participant’s local currency and the U.S. dollar that may affect the value of the Restricted Stock or of any amounts due to Participant pursuant to the Restricted Stock or the subsequent sale of any Shares subject to the Restricted Stock.</w:t>
      </w:r>
    </w:p>
    <w:p>
      <w:pPr>
        <w:spacing w:after="0" w:line="195" w:lineRule="exact"/>
        <w:rPr>
          <w:rFonts w:ascii="Arial" w:cs="Arial" w:eastAsia="Arial" w:hAnsi="Arial"/>
          <w:sz w:val="19"/>
          <w:szCs w:val="19"/>
          <w:color w:val="auto"/>
        </w:rPr>
      </w:pPr>
    </w:p>
    <w:p>
      <w:pPr>
        <w:jc w:val="both"/>
        <w:ind w:firstLine="332"/>
        <w:spacing w:after="0" w:line="329"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and/or the Plan translated into a language other than English and if the meaning of the translated version is different than the English version, the English version will control.</w:t>
      </w:r>
    </w:p>
    <w:p>
      <w:pPr>
        <w:spacing w:after="0" w:line="188" w:lineRule="exact"/>
        <w:rPr>
          <w:rFonts w:ascii="Arial" w:cs="Arial" w:eastAsia="Arial" w:hAnsi="Arial"/>
          <w:sz w:val="18"/>
          <w:szCs w:val="18"/>
          <w:color w:val="auto"/>
        </w:rPr>
      </w:pPr>
    </w:p>
    <w:p>
      <w:pPr>
        <w:jc w:val="both"/>
        <w:ind w:firstLine="332"/>
        <w:spacing w:after="0" w:line="284" w:lineRule="auto"/>
        <w:tabs>
          <w:tab w:leader="none" w:pos="64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Foreign Asset/Account, Exchange Control and Tax Reporting</w:t>
      </w:r>
      <w:r>
        <w:rPr>
          <w:rFonts w:ascii="Arial" w:cs="Arial" w:eastAsia="Arial" w:hAnsi="Arial"/>
          <w:sz w:val="20"/>
          <w:szCs w:val="20"/>
          <w:color w:val="auto"/>
        </w:rPr>
        <w:t>. Participant may be subject to foreign asset/account, exchange control, tax reporting or other requirements which may affect Participant’s ability acquire or hold Restricted Stock,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TERMS AND CONDITIONS FOR CERTAIN COUNTRIES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spacing w:after="0" w:line="329" w:lineRule="auto"/>
        <w:rPr>
          <w:sz w:val="20"/>
          <w:szCs w:val="20"/>
          <w:color w:val="auto"/>
        </w:rPr>
      </w:pPr>
      <w:r>
        <w:rPr>
          <w:rFonts w:ascii="Arial" w:cs="Arial" w:eastAsia="Arial" w:hAnsi="Arial"/>
          <w:sz w:val="18"/>
          <w:szCs w:val="18"/>
          <w:u w:val="single" w:color="auto"/>
          <w:color w:val="auto"/>
        </w:rPr>
        <w:t>Restriction on Sale of Shares</w:t>
      </w:r>
      <w:r>
        <w:rPr>
          <w:rFonts w:ascii="Arial" w:cs="Arial" w:eastAsia="Arial" w:hAnsi="Arial"/>
          <w:sz w:val="18"/>
          <w:szCs w:val="18"/>
          <w:color w:val="auto"/>
        </w:rPr>
        <w:t>. The Restricted Stock is subject to section 257 of the Securities and Futures Act (Chapter 289, 2006 Ed.) (“SFA”) and Participant will not be able to make any subsequent offer to sell or sale of the Shares in Singapore, unless such offer or sale is made (1) after six (6) months from the Date of Grant, (2) pursuant to the exemptions under Part XIII Division (1) Subdivision (4) (other than section 280) of the SFA or (3) pursuant to, and in accordance with, the conditions of any other applicable exemptions under the SFA.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292"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offer of the Plan, the grant of the Restricted Stock, and the issuance of the Shares subject to the Restricted Stock are being made pursuant to the “Qualifying Person” exemption under section 273(1)(f) of the SFA. The Plan has not been lodged or registered as a prospectus with the Monetary Authority of Singapore.</w:t>
      </w:r>
    </w:p>
    <w:p>
      <w:pPr>
        <w:spacing w:after="0" w:line="214" w:lineRule="exact"/>
        <w:rPr>
          <w:sz w:val="20"/>
          <w:szCs w:val="20"/>
          <w:color w:val="auto"/>
        </w:rPr>
      </w:pPr>
    </w:p>
    <w:p>
      <w:pPr>
        <w:jc w:val="both"/>
        <w:spacing w:after="0" w:line="321" w:lineRule="auto"/>
        <w:rPr>
          <w:sz w:val="20"/>
          <w:szCs w:val="20"/>
          <w:color w:val="auto"/>
        </w:rPr>
      </w:pPr>
      <w:r>
        <w:rPr>
          <w:rFonts w:ascii="Arial" w:cs="Arial" w:eastAsia="Arial" w:hAnsi="Arial"/>
          <w:sz w:val="18"/>
          <w:szCs w:val="18"/>
          <w:u w:val="single" w:color="auto"/>
          <w:color w:val="auto"/>
        </w:rPr>
        <w:t>Director Notification</w:t>
      </w:r>
      <w:r>
        <w:rPr>
          <w:rFonts w:ascii="Arial" w:cs="Arial" w:eastAsia="Arial" w:hAnsi="Arial"/>
          <w:sz w:val="18"/>
          <w:szCs w:val="18"/>
          <w:color w:val="auto"/>
        </w:rPr>
        <w:t>. Participant understands and acknowledges that if Participant is a director, associate director or shadow director of a Singapore Subsidiary, Participant is subject to certain notification requirements under the Singapore Companies Act, regardless of whether Participant is a Singapore resident or providing services in Singapore. Among these requirements is an obligation to notify the Singapore Subsidiary in writing when Participant receives an interest (</w:t>
      </w:r>
      <w:r>
        <w:rPr>
          <w:rFonts w:ascii="Arial" w:cs="Arial" w:eastAsia="Arial" w:hAnsi="Arial"/>
          <w:sz w:val="18"/>
          <w:szCs w:val="18"/>
          <w:i w:val="1"/>
          <w:iCs w:val="1"/>
          <w:color w:val="auto"/>
        </w:rPr>
        <w:t>e.g.</w:t>
      </w:r>
      <w:r>
        <w:rPr>
          <w:rFonts w:ascii="Arial" w:cs="Arial" w:eastAsia="Arial" w:hAnsi="Arial"/>
          <w:sz w:val="18"/>
          <w:szCs w:val="18"/>
          <w:color w:val="auto"/>
        </w:rPr>
        <w:t>, Restricted Stock) in the Company. In addition, Participant must notify the Singapore Subsidiary when Participant sells Shares (including when Participant sells Shares acquired under the Plan). These notifications must be made within two days of acquiring or disposing of any interest in the Company. In addition, a notification must be made of Participant’s interests in the Company within two days of becoming a director, associate director or shadow director.</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10.3</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June 24, 2020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Giel Rutten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Dear Giel:</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On behalf of Amkor Technology, Inc. (“Amkor”), I am very pleased to extend to you this continuing offer of employment, effective as June 17, 2020, on the following terms:</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b w:val="1"/>
          <w:bCs w:val="1"/>
          <w:color w:val="auto"/>
        </w:rPr>
        <w:t xml:space="preserve">Position: </w:t>
      </w:r>
      <w:r>
        <w:rPr>
          <w:rFonts w:ascii="Arial" w:cs="Arial" w:eastAsia="Arial" w:hAnsi="Arial"/>
          <w:sz w:val="21"/>
          <w:szCs w:val="21"/>
          <w:color w:val="auto"/>
        </w:rPr>
        <w:t>You will serve as President and Chief Executive Officer of Amkor. You will report directly to Amkor’s Board of</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(the “Board”). You will have such authority, duties and responsibilities as are customarily associated with the positions of President and Chief Executive Officer. In addition, you will provide services to Amkor’s Singapore subsidiary as directed by the Board. Your principal place of employment will be at the offices of Amkor’s subsidiary in Singapore, subject to such travel as may be required in the performance of your duties and responsibilities.</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During your employment with Amkor, you agree to devote your full business time and best efforts to the performance of your duties and responsibilities. You further agree that, subject to the approval of the Board, you shall be appointed to or stand for election to the Board and, if so appointed or elected, serve as a member thereof for no additional compensation. You further agree that if your employment with Amkor is terminated for any reason, you shall immediately resign from the Board and all committees thereof, with this letter constituting notice of such resignation.</w:t>
      </w:r>
    </w:p>
    <w:p>
      <w:pPr>
        <w:spacing w:after="0" w:line="169" w:lineRule="exact"/>
        <w:rPr>
          <w:sz w:val="20"/>
          <w:szCs w:val="20"/>
          <w:color w:val="auto"/>
        </w:rPr>
      </w:pPr>
    </w:p>
    <w:p>
      <w:pPr>
        <w:ind w:right="180" w:firstLine="648"/>
        <w:spacing w:after="0" w:line="298" w:lineRule="auto"/>
        <w:rPr>
          <w:sz w:val="20"/>
          <w:szCs w:val="20"/>
          <w:color w:val="auto"/>
        </w:rPr>
      </w:pPr>
      <w:r>
        <w:rPr>
          <w:rFonts w:ascii="Arial" w:cs="Arial" w:eastAsia="Arial" w:hAnsi="Arial"/>
          <w:sz w:val="19"/>
          <w:szCs w:val="19"/>
          <w:b w:val="1"/>
          <w:bCs w:val="1"/>
          <w:color w:val="auto"/>
        </w:rPr>
        <w:t xml:space="preserve">Base Salary and Bonus Opportunity: </w:t>
      </w:r>
      <w:r>
        <w:rPr>
          <w:rFonts w:ascii="Arial" w:cs="Arial" w:eastAsia="Arial" w:hAnsi="Arial"/>
          <w:sz w:val="19"/>
          <w:szCs w:val="19"/>
          <w:color w:val="auto"/>
        </w:rPr>
        <w:t>Your annual base salary (“Base Salary”) will be $850,000 initially and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paid to you in accordance with Amkor’s normal payroll practices. Thereafter, your Base Salary shall be subject to review by the Board on at least an annual basis and may be adjusted by the Board in its sole discretion. Subject to the terms and conditions of Amkor’s Amended and Restated Executive Incentive Bonus Plan (or successor), you will be eligible for a cash bonus for 2020 and thereafter with a target amount equal to 135% of your then Base Salary (pro-rated for 2020).</w:t>
      </w:r>
    </w:p>
    <w:p>
      <w:pPr>
        <w:spacing w:after="0" w:line="142" w:lineRule="exact"/>
        <w:rPr>
          <w:sz w:val="20"/>
          <w:szCs w:val="20"/>
          <w:color w:val="auto"/>
        </w:rPr>
      </w:pPr>
    </w:p>
    <w:p>
      <w:pPr>
        <w:ind w:right="40" w:firstLine="648"/>
        <w:spacing w:after="0" w:line="293" w:lineRule="auto"/>
        <w:rPr>
          <w:sz w:val="20"/>
          <w:szCs w:val="20"/>
          <w:color w:val="auto"/>
        </w:rPr>
      </w:pPr>
      <w:r>
        <w:rPr>
          <w:rFonts w:ascii="Arial" w:cs="Arial" w:eastAsia="Arial" w:hAnsi="Arial"/>
          <w:sz w:val="19"/>
          <w:szCs w:val="19"/>
          <w:b w:val="1"/>
          <w:bCs w:val="1"/>
          <w:color w:val="auto"/>
        </w:rPr>
        <w:t xml:space="preserve">Equity Awards: </w:t>
      </w:r>
      <w:r>
        <w:rPr>
          <w:rFonts w:ascii="Arial" w:cs="Arial" w:eastAsia="Arial" w:hAnsi="Arial"/>
          <w:sz w:val="19"/>
          <w:szCs w:val="19"/>
          <w:color w:val="auto"/>
        </w:rPr>
        <w:t>Subject to the terms and conditions of the Amkor Amended and Restated 2007 Equity Incentive Plan (as</w:t>
      </w:r>
      <w:r>
        <w:rPr>
          <w:rFonts w:ascii="Arial" w:cs="Arial" w:eastAsia="Arial" w:hAnsi="Arial"/>
          <w:sz w:val="19"/>
          <w:szCs w:val="19"/>
          <w:b w:val="1"/>
          <w:bCs w:val="1"/>
          <w:color w:val="auto"/>
        </w:rPr>
        <w:t xml:space="preserve"> </w:t>
      </w:r>
      <w:r>
        <w:rPr>
          <w:rFonts w:ascii="Arial" w:cs="Arial" w:eastAsia="Arial" w:hAnsi="Arial"/>
          <w:sz w:val="19"/>
          <w:szCs w:val="19"/>
          <w:color w:val="auto"/>
        </w:rPr>
        <w:t>the same may be modified or replaced from time to time, the “Plan”) and the applicable award agreements, Amkor will grant you 375,000 restricted shares of Amkor common stock and an option to purchase an additional 375,000 shares of Amkor common stock at a purchase price per share equal to the fair market value of such shares on the grant date (the grant date closing sales price of Amkor common stock). Your restricted stock and option awards shall vest quarterly over three years at the rate of 31,250 restricted shares and 31,250 option shares per quarter, such that 100% of each award shall be vested in 2023 on the third anniversary of the grant date. In addition, each award shall vest in full upon</w:t>
      </w:r>
    </w:p>
    <w:p>
      <w:pPr>
        <w:sectPr>
          <w:pgSz w:w="11900" w:h="16838" w:orient="portrait"/>
          <w:cols w:equalWidth="0" w:num="1">
            <w:col w:w="11240"/>
          </w:cols>
          <w:pgMar w:left="320" w:top="1435" w:right="339" w:bottom="1440" w:gutter="0" w:footer="0" w:header="0"/>
        </w:sectPr>
      </w:pPr>
    </w:p>
    <w:bookmarkStart w:id="81" w:name="page82"/>
    <w:bookmarkEnd w:id="81"/>
    <w:p>
      <w:pPr>
        <w:ind w:right="60"/>
        <w:spacing w:after="0" w:line="292" w:lineRule="auto"/>
        <w:rPr>
          <w:sz w:val="20"/>
          <w:szCs w:val="20"/>
          <w:color w:val="auto"/>
        </w:rPr>
      </w:pPr>
      <w:r>
        <w:rPr>
          <w:rFonts w:ascii="Arial" w:cs="Arial" w:eastAsia="Arial" w:hAnsi="Arial"/>
          <w:sz w:val="19"/>
          <w:szCs w:val="19"/>
          <w:color w:val="auto"/>
        </w:rPr>
        <w:t>your death or the termination of your employment by the Company due to your disability. Any unvested award will be forfeited in accordance with the standard terms and conditions of the Plan. In the event of a Change in Control (as defined in the Plan), each award will be treated as the plan administrator determines in accordance with the Plan, including, without limitation, assumption or grant of a substitute award by the successor or acquiring company. If the successor or acquiring company does not assume or provide a substitute for the awards, the awards will fully vest in connection with such Change in Control. The grant date will be determined on the date of approval by the Compensation Committee, or, if Amkor is in a blackout period on such date, the first day of the next open trading window following such approval.</w:t>
      </w:r>
    </w:p>
    <w:p>
      <w:pPr>
        <w:spacing w:after="0" w:line="145"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22"/>
          <w:szCs w:val="22"/>
          <w:b w:val="1"/>
          <w:bCs w:val="1"/>
          <w:color w:val="auto"/>
        </w:rPr>
        <w:t xml:space="preserve">Benefit Plans: </w:t>
      </w:r>
      <w:r>
        <w:rPr>
          <w:rFonts w:ascii="Arial" w:cs="Arial" w:eastAsia="Arial" w:hAnsi="Arial"/>
          <w:sz w:val="22"/>
          <w:szCs w:val="22"/>
          <w:color w:val="auto"/>
        </w:rPr>
        <w:t>You will be eligible for continued payment for reasonable housing and utilities in Singapore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the other benefits outlined in your assignment letter dated June 1, 2018. Amkor reserves the right to amend or terminate any such benefits at any time.</w:t>
      </w:r>
    </w:p>
    <w:p>
      <w:pPr>
        <w:spacing w:after="0" w:line="176"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b w:val="1"/>
          <w:bCs w:val="1"/>
          <w:color w:val="auto"/>
        </w:rPr>
        <w:t xml:space="preserve">Termination and Severance: </w:t>
      </w:r>
      <w:r>
        <w:rPr>
          <w:rFonts w:ascii="Arial" w:cs="Arial" w:eastAsia="Arial" w:hAnsi="Arial"/>
          <w:sz w:val="19"/>
          <w:szCs w:val="19"/>
          <w:color w:val="auto"/>
        </w:rPr>
        <w:t>Your employment with Amkor is at-will, meaning that both you and Amkor (by action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Board or the Compensation Committee) may terminate your employment at any time and for any reason. Upon termination of your employment for any reason, you shall be entitled to payment of the following items: (i) unpaid Base Salary earned prior to your termination date; (ii) unused vacation time accrued prior to your termination date; and (iii) vested benefits earned under any employee benefit plan or program, in accordance with the terms and conditions thereof. In addition, if your employment is terminated by Amkor without Cause (other than due to your death or disability) or by you for Good Reason, then, subject to your execution and non-revocation of a general release of claims in favor of Amkor and its affiliates within 60 days following your termination date and your continued compliance with the Restrictive Covenant Agreement set forth on </w:t>
      </w:r>
      <w:r>
        <w:rPr>
          <w:rFonts w:ascii="Arial" w:cs="Arial" w:eastAsia="Arial" w:hAnsi="Arial"/>
          <w:sz w:val="19"/>
          <w:szCs w:val="19"/>
          <w:b w:val="1"/>
          <w:bCs w:val="1"/>
          <w:color w:val="auto"/>
        </w:rPr>
        <w:t>Schedule A</w:t>
      </w:r>
      <w:r>
        <w:rPr>
          <w:rFonts w:ascii="Arial" w:cs="Arial" w:eastAsia="Arial" w:hAnsi="Arial"/>
          <w:sz w:val="19"/>
          <w:szCs w:val="19"/>
          <w:color w:val="auto"/>
        </w:rPr>
        <w:t xml:space="preserve"> and the Confidentiality, Intellectual Property, and Insider Information Obligations agreement set forth on </w:t>
      </w:r>
      <w:r>
        <w:rPr>
          <w:rFonts w:ascii="Arial" w:cs="Arial" w:eastAsia="Arial" w:hAnsi="Arial"/>
          <w:sz w:val="19"/>
          <w:szCs w:val="19"/>
          <w:b w:val="1"/>
          <w:bCs w:val="1"/>
          <w:color w:val="auto"/>
        </w:rPr>
        <w:t>Schedule B</w:t>
      </w:r>
      <w:r>
        <w:rPr>
          <w:rFonts w:ascii="Arial" w:cs="Arial" w:eastAsia="Arial" w:hAnsi="Arial"/>
          <w:sz w:val="19"/>
          <w:szCs w:val="19"/>
          <w:color w:val="auto"/>
        </w:rPr>
        <w:t>, you shall be entitled to the following payments and benefits: (i) continuation of your then-current Base Salary for an 18 month period, payable in accordance with Amkor’s normal payroll practices beginning with the first payroll period after the release becomes effective or such later date as may be required to comply with Section 409A of the Internal Revenue Code of 1986, as amended (the “Code”);</w:t>
      </w:r>
    </w:p>
    <w:p>
      <w:pPr>
        <w:spacing w:after="0" w:line="10" w:lineRule="exact"/>
        <w:rPr>
          <w:sz w:val="20"/>
          <w:szCs w:val="20"/>
          <w:color w:val="auto"/>
        </w:rPr>
      </w:pPr>
    </w:p>
    <w:p>
      <w:pPr>
        <w:jc w:val="both"/>
        <w:ind w:right="80" w:firstLine="8"/>
        <w:spacing w:after="0" w:line="281" w:lineRule="auto"/>
        <w:tabs>
          <w:tab w:leader="none" w:pos="31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 pro-rata bonus for the year of termination determined based on the actual bonus, if any, you would have been paid for such year absent such termination, payable on the latest of (A) the date on which Amkor pays bonuses for such year generally, (B) the date on which the release becomes effective, and (C) such later date as may be required to comply with Code Section 409A; and</w:t>
      </w:r>
    </w:p>
    <w:p>
      <w:pPr>
        <w:spacing w:after="0" w:line="2" w:lineRule="exact"/>
        <w:rPr>
          <w:rFonts w:ascii="Arial" w:cs="Arial" w:eastAsia="Arial" w:hAnsi="Arial"/>
          <w:sz w:val="19"/>
          <w:szCs w:val="19"/>
          <w:color w:val="auto"/>
        </w:rPr>
      </w:pPr>
    </w:p>
    <w:p>
      <w:pPr>
        <w:ind w:right="40" w:firstLine="8"/>
        <w:spacing w:after="0" w:line="281" w:lineRule="auto"/>
        <w:tabs>
          <w:tab w:leader="none" w:pos="37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as applicable, </w:t>
      </w:r>
      <w:r>
        <w:rPr>
          <w:rFonts w:ascii="Arial" w:cs="Arial" w:eastAsia="Arial" w:hAnsi="Arial"/>
          <w:sz w:val="19"/>
          <w:szCs w:val="19"/>
          <w:i w:val="1"/>
          <w:iCs w:val="1"/>
          <w:color w:val="auto"/>
        </w:rPr>
        <w:t>either</w:t>
      </w:r>
      <w:r>
        <w:rPr>
          <w:rFonts w:ascii="Arial" w:cs="Arial" w:eastAsia="Arial" w:hAnsi="Arial"/>
          <w:sz w:val="19"/>
          <w:szCs w:val="19"/>
          <w:color w:val="auto"/>
        </w:rPr>
        <w:t xml:space="preserve"> payment of the full cost for health insurance coverage in line with Amkor Singapore policy for the duration of the severance period </w:t>
      </w:r>
      <w:r>
        <w:rPr>
          <w:rFonts w:ascii="Arial" w:cs="Arial" w:eastAsia="Arial" w:hAnsi="Arial"/>
          <w:sz w:val="19"/>
          <w:szCs w:val="19"/>
          <w:i w:val="1"/>
          <w:iCs w:val="1"/>
          <w:color w:val="auto"/>
        </w:rPr>
        <w:t>or</w:t>
      </w:r>
      <w:r>
        <w:rPr>
          <w:rFonts w:ascii="Arial" w:cs="Arial" w:eastAsia="Arial" w:hAnsi="Arial"/>
          <w:sz w:val="19"/>
          <w:szCs w:val="19"/>
          <w:color w:val="auto"/>
        </w:rPr>
        <w:t xml:space="preserve"> payment of the applicable premiums if you or any of your eligible dependents elect continued coverage under Amkor’s group health plans pursuant to the Consolidated Omnibus Budget Reconciliation Act of 1986 (“COBRA”) for the 18 month period beginning on your termination date or, if shorter, the maximum period permitted under</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COBRA.</w:t>
      </w:r>
    </w:p>
    <w:p>
      <w:pPr>
        <w:spacing w:after="0" w:line="196"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letter, “Cause” means: (i) indictment, conviction of, or the entry of a plea of guilty or no</w:t>
      </w:r>
      <w:r>
        <w:rPr>
          <w:rFonts w:ascii="Arial" w:cs="Arial" w:eastAsia="Arial" w:hAnsi="Arial"/>
          <w:sz w:val="22"/>
          <w:szCs w:val="22"/>
          <w:b w:val="1"/>
          <w:bCs w:val="1"/>
          <w:color w:val="auto"/>
        </w:rPr>
        <w:t xml:space="preserve"> </w:t>
      </w:r>
      <w:r>
        <w:rPr>
          <w:rFonts w:ascii="Arial" w:cs="Arial" w:eastAsia="Arial" w:hAnsi="Arial"/>
          <w:sz w:val="22"/>
          <w:szCs w:val="22"/>
          <w:color w:val="auto"/>
        </w:rPr>
        <w:t>contest to (A) a felony or (B) any crime involving moral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8" w:right="35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21"/>
          <w:szCs w:val="21"/>
          <w:color w:val="auto"/>
        </w:rPr>
        <w:t>turpitude or dishonesty; (ii) any intentional action or an act of fraud, dishonesty, or theft affecting the property, reputation, or business of Amkor or its affiliates; (iii) willful and persistent neglect of your duties and responsibilities; (iv) failure or refusal to carry out the lawful directives of the Board; (v) diverting any business opportunity of Amkor or its affiliates for your own personal gain; (vi) misrepresentation of a significant fact on your employment application and/or resume; or (vii) misuse of alcohol or drugs affecting your work performance. For purposes of this letter, “Good Reason” means: (i) a change in your title as President and CEO or a material reduction in your authority, duties or responsibilities; (ii) a material reduction in your base salary or bonus opportunity (other than a reduction that is imposed proportionately on substantially all executive officers); or (iii) Amkor requires you to report to anyone other than Amkor’s then current Board.</w:t>
      </w:r>
    </w:p>
    <w:p>
      <w:pPr>
        <w:spacing w:after="0" w:line="177"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This letter is intended to comply with Code Section 409A (to the extent applicable) and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agree to interpret, apply and administer this letter in the least restrictive manner necessary to comply therewith and without resulting in any increase in the amounts owed hereunder by Amkor. Notwithstanding any other provision of this letter to the contrary, if you are a “specified employee” within the meaning of Code Section 409A, and a payment or benefit provided for in this letter would be subject to additional tax under Code Section 409A if such payment or benefit is paid within six months after your “separation from service” (within the meaning of Code Section 409A), then such payment or benefit required under this letter shall not be paid (or commence) during the six-month period immediately following your separation from service except as provided in the immediately following sentence. In such an event, any payments or benefits that would otherwise have been made or provided during such six-month period and which would have incurred such additional tax under Code Section 409A shall instead be paid to you in a lump-sum cash payment on the earlier of (i) the first regular payroll date of the seventh month following your separation from service or (ii) the 10th business day following your death. Notwithstanding anything herein to the contrary, neither Amkor nor any of its affiliates shall have any liability to you or to any other person if the payments and benefits provided in this letter that are intended to be exempt from or compliant with Code Section 409A are not so exempt or compliant. Your right to receive installment payments hereunder shall be treated as a right to receive a series of separate payments and, accordingly, each installment payment shall at all times be considered a separate and distinct payment for purposes of Code Section 409A.</w:t>
      </w:r>
    </w:p>
    <w:p>
      <w:pPr>
        <w:spacing w:after="0" w:line="200" w:lineRule="exact"/>
        <w:rPr>
          <w:sz w:val="20"/>
          <w:szCs w:val="20"/>
          <w:color w:val="auto"/>
        </w:rPr>
      </w:pP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b w:val="1"/>
          <w:bCs w:val="1"/>
          <w:color w:val="auto"/>
        </w:rPr>
        <w:t xml:space="preserve">Confidentiality and Restrictive Covenants: </w:t>
      </w:r>
      <w:r>
        <w:rPr>
          <w:rFonts w:ascii="Arial" w:cs="Arial" w:eastAsia="Arial" w:hAnsi="Arial"/>
          <w:sz w:val="21"/>
          <w:szCs w:val="21"/>
          <w:color w:val="auto"/>
        </w:rPr>
        <w:t>In consideration for your continuing employment by Amkor,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payments, benefits and other perquisites described herein, you agree to become a party to the Restrictive Covenant Agreement set forth on </w:t>
      </w:r>
      <w:r>
        <w:rPr>
          <w:rFonts w:ascii="Arial" w:cs="Arial" w:eastAsia="Arial" w:hAnsi="Arial"/>
          <w:sz w:val="21"/>
          <w:szCs w:val="21"/>
          <w:b w:val="1"/>
          <w:bCs w:val="1"/>
          <w:color w:val="auto"/>
        </w:rPr>
        <w:t>Schedule A</w:t>
      </w:r>
      <w:r>
        <w:rPr>
          <w:rFonts w:ascii="Arial" w:cs="Arial" w:eastAsia="Arial" w:hAnsi="Arial"/>
          <w:sz w:val="21"/>
          <w:szCs w:val="21"/>
          <w:color w:val="auto"/>
        </w:rPr>
        <w:t xml:space="preserve"> and the Confidentiality, Intellectual Property and Insider Information Obligations agreement (the “Confidentiality Agreement”) set forth on </w:t>
      </w:r>
      <w:r>
        <w:rPr>
          <w:rFonts w:ascii="Arial" w:cs="Arial" w:eastAsia="Arial" w:hAnsi="Arial"/>
          <w:sz w:val="21"/>
          <w:szCs w:val="21"/>
          <w:b w:val="1"/>
          <w:bCs w:val="1"/>
          <w:color w:val="auto"/>
        </w:rPr>
        <w:t>Schedule B</w:t>
      </w:r>
      <w:r>
        <w:rPr>
          <w:rFonts w:ascii="Arial" w:cs="Arial" w:eastAsia="Arial" w:hAnsi="Arial"/>
          <w:sz w:val="21"/>
          <w:szCs w:val="21"/>
          <w:color w:val="auto"/>
        </w:rPr>
        <w:t xml:space="preserve"> effective as of June 17, 2020. You represent and warrant that you are not subject to any non-compete, non-disclosure, or similar agreement or restrictive covenant that would materially impair your ability to perform the duties of this position. You also acknowledge that: (i) your work for Amkor will give you access to confidential affairs and propriety information of Amkor and its affiliates; (ii) the restrictive covenants contained in the Restrictive Covenant Agreement and the Confidentiality Agreement are essential to the business and goodwill of Amkor and its affiliates; and (iii) Amkor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83" w:name="page84"/>
    <w:bookmarkEnd w:id="83"/>
    <w:p>
      <w:pPr>
        <w:ind w:right="840"/>
        <w:spacing w:after="0" w:line="263" w:lineRule="auto"/>
        <w:rPr>
          <w:sz w:val="20"/>
          <w:szCs w:val="20"/>
          <w:color w:val="auto"/>
        </w:rPr>
      </w:pPr>
      <w:r>
        <w:rPr>
          <w:rFonts w:ascii="Arial" w:cs="Arial" w:eastAsia="Arial" w:hAnsi="Arial"/>
          <w:sz w:val="22"/>
          <w:szCs w:val="22"/>
          <w:color w:val="auto"/>
        </w:rPr>
        <w:t>have made you this continuing offer of employment but for your agreement to become party to the Restrictive Covenant Agreement and the Confidentiality Agreement.</w:t>
      </w:r>
    </w:p>
    <w:p>
      <w:pPr>
        <w:spacing w:after="0" w:line="169" w:lineRule="exact"/>
        <w:rPr>
          <w:sz w:val="20"/>
          <w:szCs w:val="20"/>
          <w:color w:val="auto"/>
        </w:rPr>
      </w:pPr>
    </w:p>
    <w:p>
      <w:pPr>
        <w:ind w:right="200" w:firstLine="648"/>
        <w:spacing w:after="0" w:line="349" w:lineRule="auto"/>
        <w:rPr>
          <w:sz w:val="20"/>
          <w:szCs w:val="20"/>
          <w:color w:val="auto"/>
        </w:rPr>
      </w:pPr>
      <w:r>
        <w:rPr>
          <w:rFonts w:ascii="Arial" w:cs="Arial" w:eastAsia="Arial" w:hAnsi="Arial"/>
          <w:sz w:val="19"/>
          <w:szCs w:val="19"/>
          <w:b w:val="1"/>
          <w:bCs w:val="1"/>
          <w:color w:val="auto"/>
        </w:rPr>
        <w:t xml:space="preserve">Ethical Standards: </w:t>
      </w:r>
      <w:r>
        <w:rPr>
          <w:rFonts w:ascii="Arial" w:cs="Arial" w:eastAsia="Arial" w:hAnsi="Arial"/>
          <w:sz w:val="19"/>
          <w:szCs w:val="19"/>
          <w:color w:val="auto"/>
        </w:rPr>
        <w:t>You will be expected to observe the highest standards of ethical, personal, and professional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and to comply with Amkor’s policies, including its Code of Business Conduct, a copy of which has been provided to you.</w:t>
      </w:r>
    </w:p>
    <w:p>
      <w:pPr>
        <w:spacing w:after="0" w:line="94" w:lineRule="exact"/>
        <w:rPr>
          <w:sz w:val="20"/>
          <w:szCs w:val="20"/>
          <w:color w:val="auto"/>
        </w:rPr>
      </w:pPr>
    </w:p>
    <w:p>
      <w:pPr>
        <w:ind w:right="220" w:firstLine="648"/>
        <w:spacing w:after="0" w:line="290" w:lineRule="auto"/>
        <w:rPr>
          <w:sz w:val="20"/>
          <w:szCs w:val="20"/>
          <w:color w:val="auto"/>
        </w:rPr>
      </w:pPr>
      <w:r>
        <w:rPr>
          <w:rFonts w:ascii="Arial" w:cs="Arial" w:eastAsia="Arial" w:hAnsi="Arial"/>
          <w:sz w:val="19"/>
          <w:szCs w:val="19"/>
          <w:b w:val="1"/>
          <w:bCs w:val="1"/>
          <w:color w:val="auto"/>
        </w:rPr>
        <w:t xml:space="preserve">Additional Terms: </w:t>
      </w:r>
      <w:r>
        <w:rPr>
          <w:rFonts w:ascii="Arial" w:cs="Arial" w:eastAsia="Arial" w:hAnsi="Arial"/>
          <w:sz w:val="19"/>
          <w:szCs w:val="19"/>
          <w:color w:val="auto"/>
        </w:rPr>
        <w:t>The terms of your employment may in the future be amended, but only by a writing which is signed</w:t>
      </w:r>
      <w:r>
        <w:rPr>
          <w:rFonts w:ascii="Arial" w:cs="Arial" w:eastAsia="Arial" w:hAnsi="Arial"/>
          <w:sz w:val="19"/>
          <w:szCs w:val="19"/>
          <w:b w:val="1"/>
          <w:bCs w:val="1"/>
          <w:color w:val="auto"/>
        </w:rPr>
        <w:t xml:space="preserve"> </w:t>
      </w:r>
      <w:r>
        <w:rPr>
          <w:rFonts w:ascii="Arial" w:cs="Arial" w:eastAsia="Arial" w:hAnsi="Arial"/>
          <w:sz w:val="19"/>
          <w:szCs w:val="19"/>
          <w:color w:val="auto"/>
        </w:rPr>
        <w:t>by both you and, on behalf of Amkor, a duly authorized officer. This letter constitutes the entire agreement between the parties and supersedes all prior agreements and understandings relating to the subject matter of this letter, including without limitation the letter agreement between Amkor and you dated November 16, 2013. If any portion or provision of this letter shall to any extent be declared illegal or unenforceable by a court of competent jurisdiction, then the remainder of this letter, or the application of such portion or provision in circumstances other than those as to which it is so declared illegal or unenforceable, shall not be affected thereby, and each portion and provision of this letter shall be valid and enforceable to the fullest extent permitted by law. This letter may be executed in one or more counterparts, any one of which need not contain the signatures of more than one party, but all such counterparts taken together, when delivered, will constitute one and the same instrument.</w:t>
      </w:r>
    </w:p>
    <w:p>
      <w:pPr>
        <w:spacing w:after="0" w:line="148"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b w:val="1"/>
          <w:bCs w:val="1"/>
          <w:color w:val="auto"/>
        </w:rPr>
        <w:t xml:space="preserve">Governing Law: </w:t>
      </w:r>
      <w:r>
        <w:rPr>
          <w:rFonts w:ascii="Arial" w:cs="Arial" w:eastAsia="Arial" w:hAnsi="Arial"/>
          <w:sz w:val="21"/>
          <w:szCs w:val="21"/>
          <w:color w:val="auto"/>
        </w:rPr>
        <w:t>This letter, including the schedules attached hereto, shall be governed in accordance with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Arizona, without regard to the principles of conflicts of laws thereof. Any legal proceeding arising out of or relating to your employment will be instituted in federal court in the State of Arizona (or, if such proceeding may not be brought in federal court, in the state courts located in Phoenix, Arizona), and you and Amkor hereby consent to the personal and exclusive jurisdiction of such court(s) and hereby waive any objection(s) you or it may have to personal jurisdiction, the laying of venue of any such proceeding and any claim or defense of inconvenient forum.</w:t>
      </w:r>
    </w:p>
    <w:p>
      <w:pPr>
        <w:spacing w:after="0" w:line="179"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If these employment terms are satisfactory to you, please indicate your acceptance by signing below and returning one copy of the signed letter to me at your earliest convenience.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Amkor Technology,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Mark N. Rogers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Mark N. Rogers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and General Counsel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Accepted: /s/ Giel Rutten</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Giel Rutten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84" w:name="page85"/>
    <w:bookmarkEnd w:id="84"/>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Restrictive Covenant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a condition of you becoming employed (or your employment being continued) by Amkor Technology, Inc. or any of its current or future subsidiaries, affiliates, successors or assigns (collectively, “Amkor”), and in consideration for the payments, benefits and other perquisites provided to you pursuant to the continuing offer of employment between you and Amkor effective as of June 17, 2020, and for other good and valuable consideration, you hereby agree to the following:</w:t>
      </w:r>
    </w:p>
    <w:p>
      <w:pPr>
        <w:spacing w:after="0" w:line="136" w:lineRule="exact"/>
        <w:rPr>
          <w:sz w:val="20"/>
          <w:szCs w:val="20"/>
          <w:color w:val="auto"/>
        </w:rPr>
      </w:pPr>
    </w:p>
    <w:p>
      <w:pPr>
        <w:jc w:val="both"/>
        <w:ind w:firstLine="656"/>
        <w:spacing w:after="0" w:line="295" w:lineRule="auto"/>
        <w:tabs>
          <w:tab w:leader="none" w:pos="1296"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During your employment by Amkor and for 18 months thereafter (the “Restriction Period”),</w:t>
      </w:r>
      <w:r>
        <w:rPr>
          <w:rFonts w:ascii="Arial" w:cs="Arial" w:eastAsia="Arial" w:hAnsi="Arial"/>
          <w:sz w:val="19"/>
          <w:szCs w:val="19"/>
          <w:b w:val="1"/>
          <w:bCs w:val="1"/>
          <w:color w:val="auto"/>
        </w:rPr>
        <w:t xml:space="preserve"> </w:t>
      </w:r>
      <w:r>
        <w:rPr>
          <w:rFonts w:ascii="Arial" w:cs="Arial" w:eastAsia="Arial" w:hAnsi="Arial"/>
          <w:sz w:val="19"/>
          <w:szCs w:val="19"/>
          <w:color w:val="auto"/>
        </w:rPr>
        <w:t>you shall not, without the prior written consent of Amkor, engage in or carry on, directly or indirectly, whether as an advisor, principal, agent, partner, officer, director, employee, stockholder, associate or consultant to any person, partnership, corporation or any other business entity, the business of outsourced semiconductor packaging and test services anywhere in the United States of America, Singapore or any other country in which Amkor conducts business; provided that ownership by you of Amkor securities or of less than a five percent equity interest in a publicly held company shall not be a breach of this paragraph.</w:t>
      </w:r>
    </w:p>
    <w:p>
      <w:pPr>
        <w:spacing w:after="0" w:line="143" w:lineRule="exact"/>
        <w:rPr>
          <w:rFonts w:ascii="Arial" w:cs="Arial" w:eastAsia="Arial" w:hAnsi="Arial"/>
          <w:sz w:val="19"/>
          <w:szCs w:val="19"/>
          <w:b w:val="1"/>
          <w:bCs w:val="1"/>
          <w:color w:val="auto"/>
        </w:rPr>
      </w:pPr>
    </w:p>
    <w:p>
      <w:pPr>
        <w:jc w:val="both"/>
        <w:ind w:firstLine="656"/>
        <w:spacing w:after="0" w:line="247" w:lineRule="auto"/>
        <w:tabs>
          <w:tab w:leader="none" w:pos="1296"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Non-Solicitation. </w:t>
      </w:r>
      <w:r>
        <w:rPr>
          <w:rFonts w:ascii="Arial" w:cs="Arial" w:eastAsia="Arial" w:hAnsi="Arial"/>
          <w:sz w:val="22"/>
          <w:szCs w:val="22"/>
          <w:color w:val="auto"/>
        </w:rPr>
        <w:t>During the Restriction Period, you shall not, without the express prior written consent of</w:t>
      </w:r>
      <w:r>
        <w:rPr>
          <w:rFonts w:ascii="Arial" w:cs="Arial" w:eastAsia="Arial" w:hAnsi="Arial"/>
          <w:sz w:val="22"/>
          <w:szCs w:val="22"/>
          <w:b w:val="1"/>
          <w:bCs w:val="1"/>
          <w:color w:val="auto"/>
        </w:rPr>
        <w:t xml:space="preserve"> </w:t>
      </w:r>
      <w:r>
        <w:rPr>
          <w:rFonts w:ascii="Arial" w:cs="Arial" w:eastAsia="Arial" w:hAnsi="Arial"/>
          <w:sz w:val="22"/>
          <w:szCs w:val="22"/>
          <w:color w:val="auto"/>
        </w:rPr>
        <w:t>Amkor, directly or indirectly, for yourself or on behalf of any other person or entity, (i) solicit or encourage any customer, vendor, client or prospective customer, vendor or client (or anyone who was a customer, vendor or client during the Restriction Period) to cease any relationship with Amkor or its affiliates or (ii) solicit or encourage any employee or consultant of Amkor or its affiliates (or anyone who was an employee or consultant of Amkor or its affiliates during the Restriction Period) to leave the employment of or cease to perform services for Amkor or its affiliates; provided that this paragraph shall not prohibit any general public advertisement or general solicitation for personnel not specifically directed at any employee or consultant of Amkor or its affiliates.</w:t>
      </w:r>
    </w:p>
    <w:p>
      <w:pPr>
        <w:spacing w:after="0" w:line="185" w:lineRule="exact"/>
        <w:rPr>
          <w:rFonts w:ascii="Arial" w:cs="Arial" w:eastAsia="Arial" w:hAnsi="Arial"/>
          <w:sz w:val="22"/>
          <w:szCs w:val="22"/>
          <w:b w:val="1"/>
          <w:bCs w:val="1"/>
          <w:color w:val="auto"/>
        </w:rPr>
      </w:pPr>
    </w:p>
    <w:p>
      <w:pPr>
        <w:jc w:val="both"/>
        <w:ind w:firstLine="656"/>
        <w:spacing w:after="0" w:line="288" w:lineRule="auto"/>
        <w:tabs>
          <w:tab w:leader="none" w:pos="1296"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During your employment by Amkor and at all times thereafter, you shall not publish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transmit any disparaging, derogatory or defamatory remarks, comments or statements, whether written or oral, regarding Amkor, its affiliates or their respective officers, directors, employees, consultants, reputations, products, operations, procedures, policies or services, which are reasonably likely to (i) damage materially the reputation of Amkor or its affiliates or</w:t>
      </w:r>
    </w:p>
    <w:p>
      <w:pPr>
        <w:spacing w:after="0" w:line="1" w:lineRule="exact"/>
        <w:rPr>
          <w:rFonts w:ascii="Arial" w:cs="Arial" w:eastAsia="Arial" w:hAnsi="Arial"/>
          <w:sz w:val="19"/>
          <w:szCs w:val="19"/>
          <w:b w:val="1"/>
          <w:bCs w:val="1"/>
          <w:color w:val="auto"/>
        </w:rPr>
      </w:pPr>
    </w:p>
    <w:p>
      <w:pPr>
        <w:jc w:val="both"/>
        <w:ind w:firstLine="8"/>
        <w:spacing w:after="0" w:line="259" w:lineRule="auto"/>
        <w:tabs>
          <w:tab w:leader="none" w:pos="328"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interfere materially with the contracts or business relationships of Amkor or its affiliates. This paragraph shall not restrict or prevent you from providing truthful testimony as required by court order or other legal process, or from reporting possible violations of federal law or regulation to any government agency or entity or self-regulatory organization or making disclosures that are protected under the whistleblower provisions of federal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85" w:name="page86"/>
    <w:bookmarkEnd w:id="85"/>
    <w:p>
      <w:pPr>
        <w:jc w:val="both"/>
        <w:ind w:firstLine="656"/>
        <w:spacing w:after="0" w:line="315" w:lineRule="auto"/>
        <w:tabs>
          <w:tab w:leader="none" w:pos="1296"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Substitution. </w:t>
      </w:r>
      <w:r>
        <w:rPr>
          <w:rFonts w:ascii="Arial" w:cs="Arial" w:eastAsia="Arial" w:hAnsi="Arial"/>
          <w:sz w:val="19"/>
          <w:szCs w:val="19"/>
          <w:color w:val="auto"/>
        </w:rPr>
        <w:t>If a court holds that the duration, scope, area or other restrictions stated herein are unreasonable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under circumstances then existing, you and Amkor agree that the maximum duration, scope, area or other restrictions reasonable under such circumstances will be substituted for the stated duration, scope, area or other restrictions.</w:t>
      </w:r>
    </w:p>
    <w:p>
      <w:pPr>
        <w:spacing w:after="0" w:line="125" w:lineRule="exact"/>
        <w:rPr>
          <w:rFonts w:ascii="Arial" w:cs="Arial" w:eastAsia="Arial" w:hAnsi="Arial"/>
          <w:sz w:val="19"/>
          <w:szCs w:val="19"/>
          <w:b w:val="1"/>
          <w:bCs w:val="1"/>
          <w:color w:val="auto"/>
        </w:rPr>
      </w:pPr>
    </w:p>
    <w:p>
      <w:pPr>
        <w:jc w:val="both"/>
        <w:ind w:firstLine="656"/>
        <w:spacing w:after="0" w:line="274" w:lineRule="auto"/>
        <w:tabs>
          <w:tab w:leader="none" w:pos="1296"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Enforcement. </w:t>
      </w:r>
      <w:r>
        <w:rPr>
          <w:rFonts w:ascii="Arial" w:cs="Arial" w:eastAsia="Arial" w:hAnsi="Arial"/>
          <w:sz w:val="21"/>
          <w:szCs w:val="21"/>
          <w:color w:val="auto"/>
        </w:rPr>
        <w:t>You agree that in the event of your breach or threatened breach of any provision of this Schedule,</w:t>
      </w:r>
      <w:r>
        <w:rPr>
          <w:rFonts w:ascii="Arial" w:cs="Arial" w:eastAsia="Arial" w:hAnsi="Arial"/>
          <w:sz w:val="21"/>
          <w:szCs w:val="21"/>
          <w:b w:val="1"/>
          <w:bCs w:val="1"/>
          <w:color w:val="auto"/>
        </w:rPr>
        <w:t xml:space="preserve"> </w:t>
      </w:r>
      <w:r>
        <w:rPr>
          <w:rFonts w:ascii="Arial" w:cs="Arial" w:eastAsia="Arial" w:hAnsi="Arial"/>
          <w:sz w:val="21"/>
          <w:szCs w:val="21"/>
          <w:color w:val="auto"/>
        </w:rPr>
        <w:t>Amkor in addition to any other legal remedies which may be available to it, shall be entitled to appropriate injunctive relief and/or specific performance in order to enforce or prevent any violations of such provisions.</w:t>
      </w:r>
    </w:p>
    <w:p>
      <w:pPr>
        <w:spacing w:after="0" w:line="158" w:lineRule="exact"/>
        <w:rPr>
          <w:rFonts w:ascii="Arial" w:cs="Arial" w:eastAsia="Arial" w:hAnsi="Arial"/>
          <w:sz w:val="21"/>
          <w:szCs w:val="21"/>
          <w:b w:val="1"/>
          <w:bCs w:val="1"/>
          <w:color w:val="auto"/>
        </w:rPr>
      </w:pPr>
    </w:p>
    <w:p>
      <w:pPr>
        <w:jc w:val="both"/>
        <w:ind w:firstLine="656"/>
        <w:spacing w:after="0" w:line="295" w:lineRule="auto"/>
        <w:tabs>
          <w:tab w:leader="none" w:pos="1296"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Exclusive Jurisdiction. </w:t>
      </w:r>
      <w:r>
        <w:rPr>
          <w:rFonts w:ascii="Arial" w:cs="Arial" w:eastAsia="Arial" w:hAnsi="Arial"/>
          <w:sz w:val="19"/>
          <w:szCs w:val="19"/>
          <w:color w:val="auto"/>
        </w:rPr>
        <w:t>This Restrictive Covenant Agreement shall be governed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laws of the State of Arizona, without regard to the principles of conflicts of laws thereof. Any legal proceeding arising out of or relating to this Restrictive Covenant Agreement will be instituted in federal court in the State of Arizona (or, if such proceeding may not be brought in federal court, in the state courts located in Phoenix, Arizona), and you and Amkor hereby consent to the personal and exclusive jurisdiction of such court(s) and hereby waive any objection(s) you or it may have to personal jurisdiction, the laying of venue of any such proceeding and any claim or defense of inconvenient forum.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ACCEPTED: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/s/ Giel Rutten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Giel Rutten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June 25,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86" w:name="page87"/>
    <w:bookmarkEnd w:id="86"/>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Amkor Technology,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Intellectual Property, and Insider Information Obligations</w:t>
      </w:r>
    </w:p>
    <w:p>
      <w:pPr>
        <w:spacing w:after="0" w:line="200" w:lineRule="exact"/>
        <w:rPr>
          <w:sz w:val="20"/>
          <w:szCs w:val="20"/>
          <w:color w:val="auto"/>
        </w:rPr>
      </w:pPr>
    </w:p>
    <w:p>
      <w:pPr>
        <w:spacing w:after="0" w:line="269" w:lineRule="exact"/>
        <w:rPr>
          <w:sz w:val="20"/>
          <w:szCs w:val="20"/>
          <w:color w:val="auto"/>
        </w:rPr>
      </w:pPr>
    </w:p>
    <w:p>
      <w:pPr>
        <w:ind w:firstLine="13"/>
        <w:spacing w:after="0" w:line="263" w:lineRule="auto"/>
        <w:rPr>
          <w:sz w:val="20"/>
          <w:szCs w:val="20"/>
          <w:color w:val="auto"/>
        </w:rPr>
      </w:pPr>
      <w:r>
        <w:rPr>
          <w:rFonts w:ascii="Arial" w:cs="Arial" w:eastAsia="Arial" w:hAnsi="Arial"/>
          <w:sz w:val="21"/>
          <w:szCs w:val="21"/>
          <w:color w:val="auto"/>
        </w:rPr>
        <w:t>As a condition of you becoming employed (or your employment being continued) by Amkor Technology, Inc. or any of its current or future subsidiaries, affiliates, successors or assigns (collectively, “Amkor”), you hereby agree to the following:</w:t>
      </w:r>
    </w:p>
    <w:p>
      <w:pPr>
        <w:spacing w:after="0" w:line="2" w:lineRule="exact"/>
        <w:rPr>
          <w:sz w:val="20"/>
          <w:szCs w:val="20"/>
          <w:color w:val="auto"/>
        </w:rPr>
      </w:pPr>
    </w:p>
    <w:p>
      <w:pPr>
        <w:jc w:val="both"/>
        <w:ind w:firstLine="656"/>
        <w:spacing w:after="0" w:line="302" w:lineRule="auto"/>
        <w:tabs>
          <w:tab w:leader="none" w:pos="129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Prior Employment. </w:t>
      </w:r>
      <w:r>
        <w:rPr>
          <w:rFonts w:ascii="Arial" w:cs="Arial" w:eastAsia="Arial" w:hAnsi="Arial"/>
          <w:sz w:val="19"/>
          <w:szCs w:val="19"/>
          <w:color w:val="auto"/>
        </w:rPr>
        <w:t>You confirm that you are under no restrictions including, without limitation, non-compete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or non-disclosure agreements which would restrict your ability to fully comply with your employment obligations with Amkor, or to comply with the confidentiality and intellectual property obligations set forth below.</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Under the Uniform Trade Secrets Act (UTSA), you are prohibited from knowingly disclosing confidential information from your former employer to whom you owe continuing obligations of confidentiality (“Former Employer Confidential Information”). Tangible items containing Former Employer Confidential Information, including without limitation documents, files, computer discs and other physical or electronic items, which contain Former Employer Confidential Information, may not be brought to any Amkor site.</w:t>
      </w:r>
    </w:p>
    <w:p>
      <w:pPr>
        <w:spacing w:after="0" w:line="186" w:lineRule="exact"/>
        <w:rPr>
          <w:sz w:val="20"/>
          <w:szCs w:val="20"/>
          <w:color w:val="auto"/>
        </w:rPr>
      </w:pPr>
    </w:p>
    <w:p>
      <w:pPr>
        <w:jc w:val="both"/>
        <w:ind w:firstLine="656"/>
        <w:spacing w:after="0" w:line="286" w:lineRule="auto"/>
        <w:tabs>
          <w:tab w:leader="none" w:pos="1296"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You shall maintain in strict confidence, during and after your employment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Amkor, any Amkor trade secrets, except as required in the conduct of Amkor’s business or as authorized in writing on behalf of Amkor, unless and until the same shall have become generally known. This information includes without limitation, the following: all Amkor trade secrets, confidential reports and communications; customer and prospect lists; the identity or details of Amkor’s suppliers, licensors, licensees, distributors and consultants; information concerning Amkor employees; Amkor financial information; non-public details of any Amkor agreements; pending or unannounced deals, agreements, disputes, litigation, settlements, or investigations; production processes; bills of materials; non-public product roadmaps; marketing techniques; purchasing information; price lists; quotation procedures; pending bids; customer information and data; installation and training techniques; maintenance procedures; business methods; concepts; ideas; inventions including the results of research and development activities; processes, formulas; techniques; know-how; designs; drawings; specifications; blueprints; patent disclosures; pending patent applications, including information that you created during your employment with Amkor (whether or not during working hours) and any confidential information and materials that Amkor obtains from third parties pursuant to a non-disclosure agreement. You shall not remove from Amkor’s premises or retain without Amkor’s express written consent any property belonging to Amkor including, but not limited to, figures, calculations, letters, papers, drawings, blueprints or copies thereof, or any trade secret or financial information of any type except in the conduct of Amkor business. You further agree not to remove from Amkor’s premises or retain without Amkor’s express written consent any Amkor property or trade secrets, except as required in the conduct of Amkor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87" w:name="page88"/>
    <w:bookmarkEnd w:id="87"/>
    <w:p>
      <w:pPr>
        <w:jc w:val="both"/>
        <w:ind w:firstLine="648"/>
        <w:spacing w:after="0" w:line="247" w:lineRule="auto"/>
        <w:rPr>
          <w:sz w:val="20"/>
          <w:szCs w:val="20"/>
          <w:color w:val="auto"/>
        </w:rPr>
      </w:pPr>
      <w:r>
        <w:rPr>
          <w:rFonts w:ascii="Arial" w:cs="Arial" w:eastAsia="Arial" w:hAnsi="Arial"/>
          <w:sz w:val="22"/>
          <w:szCs w:val="22"/>
          <w:color w:val="auto"/>
        </w:rPr>
        <w:t>Upon termination of your employment with Amkor, whether voluntary or involuntary, you agree not to retain any tangible items (including without limitation, any and all devices, records, data, notes, reports, proposals, lists, correspondence, specifications, drawings, blueprints, sketches, laboratory notebooks, materials, flow charts, equipment, other documents or property, or reproductions of any of the aforementioned items developed by you during your employment with Amkor or otherwise containing Amkor Confidential Information or belonging to Amkor) and to promptly return to Amkor any such items in your possession on or before your date of termination.</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Notwithstanding the foregoing, (i) nothing herein shall prohibit you from reporting possible violations of federal law or regulation to any government agency or entity or self-regulatory organization or making disclosures that are protected under the whistleblower provisions of federal law or regulation, and (ii) in accordance with the Defend Trade Secrets Act of 2016, you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in a complaint or other document filed in a lawsuit or other proceeding, if such filing is made under seal.</w:t>
      </w:r>
    </w:p>
    <w:p>
      <w:pPr>
        <w:spacing w:after="0" w:line="174"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and Assignment of Intellectual Property.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i w:val="1"/>
          <w:iCs w:val="1"/>
          <w:color w:val="auto"/>
        </w:rPr>
        <w:t xml:space="preserve">Prior Inventions. </w:t>
      </w:r>
      <w:r>
        <w:rPr>
          <w:rFonts w:ascii="Arial" w:cs="Arial" w:eastAsia="Arial" w:hAnsi="Arial"/>
          <w:sz w:val="21"/>
          <w:szCs w:val="21"/>
          <w:color w:val="auto"/>
        </w:rPr>
        <w:t>You have attached hereto, as</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Exhibit A</w:t>
      </w:r>
      <w:r>
        <w:rPr>
          <w:rFonts w:ascii="Arial" w:cs="Arial" w:eastAsia="Arial" w:hAnsi="Arial"/>
          <w:sz w:val="21"/>
          <w:szCs w:val="21"/>
          <w:color w:val="auto"/>
        </w:rPr>
        <w:t>, a list describing with particularity all inventions, original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works of authorship, developments, improvements, and trade secrets which were made by you prior to the commencement of your employment with Amkor (collectively, “Prior Inventions”), which belong solely to you or belong to you jointly with another party, which relate in any way to any of Amkor’s proposed businesses, products or research and development, and which are not assigned to Amkor hereunder; or, if no such list is attached, you represent that there are no such Prior Inventions. If, in the course of your employment with Amkor, you incorporate into a Amkor product, process or machine a Prior Invention owned by you or in which you have an interest, then you hereby grant to Amkor and its affiliates a non-exclusive, royalty-free, irrevocable, perpetual, worldwide license (with the right to sublicense) to make, have made, copy, modify, make derivative works of, use, sell, offer to sell, import, and otherwise distribute such Prior Invention as part of or in connection with such product, process or machine.</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i w:val="1"/>
          <w:iCs w:val="1"/>
          <w:color w:val="auto"/>
        </w:rPr>
        <w:t xml:space="preserve">Work Product and Related Intellectual Property. </w:t>
      </w:r>
      <w:r>
        <w:rPr>
          <w:rFonts w:ascii="Arial" w:cs="Arial" w:eastAsia="Arial" w:hAnsi="Arial"/>
          <w:sz w:val="21"/>
          <w:szCs w:val="21"/>
          <w:color w:val="auto"/>
        </w:rPr>
        <w:t>You agree and acknowledge that all intellectual property and work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product developed during your employment with Amkor is the exclusive property of Amkor. This includes, without limitation, confidential or proprietary information, trade secrets, software, inventions, processes, copyrightable materials, patent disclosures, patent applications, issued patents and any counterparts, divisional patents and any and all foreign counterparts and all work product which you conceived, created, developed or participated in the development of while employed by Amkor. You agree to promptly disclose to Amkor any such foregoing intellectual property, and further agree that this disclosure obligation commences upon the date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8" w:name="page89"/>
    <w:bookmarkEnd w:id="88"/>
    <w:p>
      <w:pPr>
        <w:jc w:val="both"/>
        <w:ind w:firstLine="648"/>
        <w:spacing w:after="0" w:line="288" w:lineRule="auto"/>
        <w:rPr>
          <w:sz w:val="20"/>
          <w:szCs w:val="20"/>
          <w:color w:val="auto"/>
        </w:rPr>
      </w:pPr>
      <w:r>
        <w:rPr>
          <w:rFonts w:ascii="Arial" w:cs="Arial" w:eastAsia="Arial" w:hAnsi="Arial"/>
          <w:sz w:val="19"/>
          <w:szCs w:val="19"/>
          <w:b w:val="1"/>
          <w:bCs w:val="1"/>
          <w:i w:val="1"/>
          <w:iCs w:val="1"/>
          <w:color w:val="auto"/>
        </w:rPr>
        <w:t xml:space="preserve">Assignment of Rights. </w:t>
      </w:r>
      <w:r>
        <w:rPr>
          <w:rFonts w:ascii="Arial" w:cs="Arial" w:eastAsia="Arial" w:hAnsi="Arial"/>
          <w:sz w:val="19"/>
          <w:szCs w:val="19"/>
          <w:color w:val="auto"/>
        </w:rPr>
        <w:t>You agree that you will promptly make full written disclosure to Amkor, will hold in trust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 right and benefit of Amkor, and hereby assign to Amkor all my right, title and interest throughout the world in and to any and all intellectual property including, without limitation, inventions, original works of authorship, developments, concepts, know-how, improvements or trade secrets, whether or not patentable or registrable under copyright, patent, or similar laws, which you may solely or jointly conceive or develop or reduce to practice, or cause to be conceived or developed or reduced to practice, during the period of your employment with Amkor (collectively, “Developments”). You hereby further acknowledge that all Developments which you make (solely or jointly with others) within the scope of and during the period of your employment with Amkor are “works made for hire” (to the greatest extent permitted by applicable law) and are compensated by your salary, and you hereby assign to Amkor all your rights related to such Developments including, without limitation, the rights to recover and pursue damages and/or injunctive relief for past, present, and future claims related to the Developments.</w:t>
      </w:r>
    </w:p>
    <w:p>
      <w:pPr>
        <w:spacing w:after="0" w:line="1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i w:val="1"/>
          <w:iCs w:val="1"/>
          <w:color w:val="auto"/>
        </w:rPr>
        <w:t xml:space="preserve">Perfection of Rights. </w:t>
      </w:r>
      <w:r>
        <w:rPr>
          <w:rFonts w:ascii="Arial" w:cs="Arial" w:eastAsia="Arial" w:hAnsi="Arial"/>
          <w:sz w:val="19"/>
          <w:szCs w:val="19"/>
          <w:color w:val="auto"/>
        </w:rPr>
        <w:t>You agree to assist Amkor at its expense, in every proper way to secure Amkor’s rights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Developments and any copyrights, patents, trademarks, mask work rights, moral rights, or other intellectual property rights relating thereto in any and all countries, including the disclosure to Amkor or its designee of all pertinent information and data with respect thereto, the execution of all applications, specifications, oaths, assignments, recordations, and all other instruments which Amkor shall deem necessary in order to apply for, obtain, maintain and transfer such rights, or if not transferable, waive such rights, and in order to assign and convey to Amkor and any successors, assigns and nominees the sole and exclusive rights, title and interest in and to all such Developments, and any copyrights, patents, mask work rights or other intellectual property rights relating thereto. You further agree that your obligation to execute or cause to be executed, when it is in your power to do so, any such instrument or papers shall continue after the termination of this Agreement until the expiration of the last such intellectual property right to expire in any country of the world.</w:t>
      </w:r>
    </w:p>
    <w:p>
      <w:pPr>
        <w:spacing w:after="0" w:line="15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 xml:space="preserve">Maintenance of Records. </w:t>
      </w:r>
      <w:r>
        <w:rPr>
          <w:rFonts w:ascii="Arial" w:cs="Arial" w:eastAsia="Arial" w:hAnsi="Arial"/>
          <w:sz w:val="19"/>
          <w:szCs w:val="19"/>
          <w:color w:val="auto"/>
        </w:rPr>
        <w:t>You agree to keep and maintain adequate and current written records of all Developments you</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make (solely or jointly with others) during the term of your employment with Amkor. The records may be in the form of notes, sketches, drawings, flow charts, electronic data or recordings, laboratory notebooks, and any other format. The records will be available to and remain the sole property of Amkor at all times. You agree to return all such records (including all copies thereof) to Amkor at the time of termination of your employment with Amkor as provided for in Section 2 above.</w:t>
      </w:r>
    </w:p>
    <w:p>
      <w:pPr>
        <w:spacing w:after="0" w:line="1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i w:val="1"/>
          <w:iCs w:val="1"/>
          <w:color w:val="auto"/>
        </w:rPr>
        <w:t xml:space="preserve">Remedies. </w:t>
      </w:r>
      <w:r>
        <w:rPr>
          <w:rFonts w:ascii="Arial" w:cs="Arial" w:eastAsia="Arial" w:hAnsi="Arial"/>
          <w:sz w:val="21"/>
          <w:szCs w:val="21"/>
          <w:color w:val="auto"/>
        </w:rPr>
        <w:t>You agree that Amkor will suffer irrevocable harm if you breach your obligations listed in this agreement,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that monetary damage may not be adequate to compensate Amkor for such breach. If you breach or attempt to breach any of the provisions in this agreement, you agree that without limiting any other remedies under law or equity, Amkor is entitled to an immediate temporary restraining order without notice to you, a preliminary injunction and permanent injunction to prevent or restrain any breach or attempted breach of any provision herein, and reimbursement of all costs (including reasonable attorney’s fees) incurred in connection with such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9" w:name="page90"/>
    <w:bookmarkEnd w:id="89"/>
    <w:p>
      <w:pPr>
        <w:jc w:val="both"/>
        <w:ind w:firstLine="656"/>
        <w:spacing w:after="0" w:line="315" w:lineRule="auto"/>
        <w:tabs>
          <w:tab w:leader="none" w:pos="1296"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Insider Information. </w:t>
      </w:r>
      <w:r>
        <w:rPr>
          <w:rFonts w:ascii="Arial" w:cs="Arial" w:eastAsia="Arial" w:hAnsi="Arial"/>
          <w:sz w:val="19"/>
          <w:szCs w:val="19"/>
          <w:color w:val="auto"/>
        </w:rPr>
        <w:t>Any person who possesses material non-public information regarding Amkor is considered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an Insider, pursuant to securities laws, for as long as the information is treated as confidential by Amkor. Any employee who becomes an Insider at any point in time is subject to Amkor’s Insider Trading Policy (as in effect from time to time).</w:t>
      </w:r>
    </w:p>
    <w:p>
      <w:pPr>
        <w:spacing w:after="0" w:line="1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an Insider, if you become aware of material (as defined below and in the Insider Trading Policy) non-public information relating to Amkor, you will neither participate in any direct or indirect trade in Amkor stock or directly or indirectly disclose such material non-public information to any third party, even other Amkor employees who do not have a need to know. Any information, positive or negative, that might be of significance to an investor as an element in determining whether to purchase, sell, or hold Amkor stock would be material.</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You will not discuss confidential information, trade secrets or Amkor’s intellectual property with any third party, except as required in the performance of your employment duties, and where appropriate, solely pursuant to a non-disclosure agreement between Amkor and the third party. Questions regarding employee responsibilities under this agreement should be immediately directed to Human Resources or the General Counsel. Amkor expects strict compliance with these procedures by all personnel at every level. Failure of compliance may result in serious legal actions to minimize or address actual or potential repercussions for Amkor.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ACKNOWLEDGED AND ACCEPTED: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/s/ Giel Rutten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Giel Rutten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June 25,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90" w:name="page91"/>
    <w:bookmarkEnd w:id="90"/>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Prior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1440"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AND RELEASE AGREEMENT</w:t>
      </w:r>
    </w:p>
    <w:p>
      <w:pPr>
        <w:spacing w:after="0" w:line="25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In connection with the cessation of my service with Amkor Technology, Inc. (“Company”) as a director, officer and employee, and in order to settle as fully as possible all known and unknown claims I, Stephen D. Kelley, might have against the Company and all related parties, the Company and I enter into this Separation and Release Agreement (“Agreement”) as of June 17, 2020 (the “Separation Date”), and (whether I sign this Agreement or not) I will be paid my accrued, unpaid salary, any accrued, unused paid time off, and any unreimbursed business expenses through such date.</w:t>
      </w:r>
    </w:p>
    <w:p>
      <w:pPr>
        <w:spacing w:after="0" w:line="141" w:lineRule="exact"/>
        <w:rPr>
          <w:sz w:val="20"/>
          <w:szCs w:val="20"/>
          <w:color w:val="auto"/>
        </w:rPr>
      </w:pPr>
    </w:p>
    <w:p>
      <w:pPr>
        <w:ind w:right="160" w:firstLine="332"/>
        <w:spacing w:after="0" w:line="269" w:lineRule="auto"/>
        <w:tabs>
          <w:tab w:leader="none" w:pos="648"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Separation Payments and Benefits: </w:t>
      </w:r>
      <w:r>
        <w:rPr>
          <w:rFonts w:ascii="Arial" w:cs="Arial" w:eastAsia="Arial" w:hAnsi="Arial"/>
          <w:sz w:val="22"/>
          <w:szCs w:val="22"/>
          <w:color w:val="auto"/>
        </w:rPr>
        <w:t>The payments that constitute the entire monetary consideration for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are as follows:</w:t>
      </w:r>
    </w:p>
    <w:p>
      <w:pPr>
        <w:spacing w:after="0" w:line="161" w:lineRule="exact"/>
        <w:rPr>
          <w:rFonts w:ascii="Arial" w:cs="Arial" w:eastAsia="Arial" w:hAnsi="Arial"/>
          <w:sz w:val="22"/>
          <w:szCs w:val="22"/>
          <w:b w:val="1"/>
          <w:bCs w:val="1"/>
          <w:color w:val="auto"/>
        </w:rPr>
      </w:pPr>
    </w:p>
    <w:p>
      <w:pPr>
        <w:ind w:right="80" w:firstLine="866"/>
        <w:spacing w:after="0" w:line="260" w:lineRule="auto"/>
        <w:tabs>
          <w:tab w:leader="none" w:pos="1296" w:val="left"/>
        </w:tabs>
        <w:numPr>
          <w:ilvl w:val="1"/>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Salary Continuation: </w:t>
      </w:r>
      <w:r>
        <w:rPr>
          <w:rFonts w:ascii="Arial" w:cs="Arial" w:eastAsia="Arial" w:hAnsi="Arial"/>
          <w:sz w:val="21"/>
          <w:szCs w:val="21"/>
          <w:color w:val="auto"/>
        </w:rPr>
        <w:t>Starting on the first payroll date following the Effective Date (as defined below),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will make separation payments by direct deposit to my designated account in accordance with the Company’s regular payroll practices of the bi-weekly amount of $36,153.85 (which annualizes to $940,000), less all relevant taxes and other withholdings, for a period of thirty months (30) months (such period, the “Payment Period”). In addition, on the first payroll date following the 12 month anniversary of the Effective Date, the Company will make a lump sum payment by direct deposit to my designated account of $470,000, less all relevant taxes and other withholdings. In the event of my death prior to the end of the Payment Period, any unpaid amount of such payments will be accelerated and will be paid to my estate within 10 business days following the date of my death.</w:t>
      </w:r>
    </w:p>
    <w:p>
      <w:pPr>
        <w:spacing w:after="0" w:line="175" w:lineRule="exact"/>
        <w:rPr>
          <w:rFonts w:ascii="Arial" w:cs="Arial" w:eastAsia="Arial" w:hAnsi="Arial"/>
          <w:sz w:val="21"/>
          <w:szCs w:val="21"/>
          <w:b w:val="1"/>
          <w:bCs w:val="1"/>
          <w:color w:val="auto"/>
        </w:rPr>
      </w:pPr>
    </w:p>
    <w:p>
      <w:pPr>
        <w:ind w:left="1300" w:hanging="494"/>
        <w:spacing w:after="0"/>
        <w:tabs>
          <w:tab w:leader="none" w:pos="1300" w:val="left"/>
        </w:tabs>
        <w:numPr>
          <w:ilvl w:val="1"/>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Pro Rata Bonus: </w:t>
      </w:r>
      <w:r>
        <w:rPr>
          <w:rFonts w:ascii="Arial" w:cs="Arial" w:eastAsia="Arial" w:hAnsi="Arial"/>
          <w:sz w:val="21"/>
          <w:szCs w:val="21"/>
          <w:color w:val="auto"/>
        </w:rPr>
        <w:t>Within 30 days after the Effective Date, the Company will make a lump sum payment of</w:t>
      </w:r>
    </w:p>
    <w:p>
      <w:pPr>
        <w:spacing w:after="0" w:line="39"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$1,062,500, being the prorated amount of the Annual Service Bonus (as defined in the letter from the Company to me, dated February 27, 2017, concerning an offer of continued employment (the “Kelley Offer Letter”)) that would otherwise have been due to me in January 2021. In addition, the Company will make a lump sum payment of a prorated performance bonus amount for calendar year 2020 to be determined based on the actual performance bonus, if any, that I would have been paid for 2020 absent the termination of my employment, which will be payable on the date on which the Company pays bonuses for 2020 generally. For this purpose, the discretionary component will be deemed to be the average attainment for the executive officers eligible under the same plan. The Company will make these payments to me by direct deposit to my designated account, less all relevant taxes and other withholdings.</w:t>
      </w:r>
    </w:p>
    <w:p>
      <w:pPr>
        <w:spacing w:after="0" w:line="175" w:lineRule="exact"/>
        <w:rPr>
          <w:sz w:val="20"/>
          <w:szCs w:val="20"/>
          <w:color w:val="auto"/>
        </w:rPr>
      </w:pPr>
    </w:p>
    <w:p>
      <w:pPr>
        <w:ind w:firstLine="746"/>
        <w:spacing w:after="0" w:line="252" w:lineRule="auto"/>
        <w:tabs>
          <w:tab w:leader="none" w:pos="1296"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Outplacement Services: </w:t>
      </w:r>
      <w:r>
        <w:rPr>
          <w:rFonts w:ascii="Arial" w:cs="Arial" w:eastAsia="Arial" w:hAnsi="Arial"/>
          <w:sz w:val="22"/>
          <w:szCs w:val="22"/>
          <w:color w:val="auto"/>
        </w:rPr>
        <w:t>The Company will reimburse me for the actual cost of outplacement services used by me</w:t>
      </w:r>
      <w:r>
        <w:rPr>
          <w:rFonts w:ascii="Arial" w:cs="Arial" w:eastAsia="Arial" w:hAnsi="Arial"/>
          <w:sz w:val="22"/>
          <w:szCs w:val="22"/>
          <w:b w:val="1"/>
          <w:bCs w:val="1"/>
          <w:color w:val="auto"/>
        </w:rPr>
        <w:t xml:space="preserve"> </w:t>
      </w:r>
      <w:r>
        <w:rPr>
          <w:rFonts w:ascii="Arial" w:cs="Arial" w:eastAsia="Arial" w:hAnsi="Arial"/>
          <w:sz w:val="22"/>
          <w:szCs w:val="22"/>
          <w:color w:val="auto"/>
        </w:rPr>
        <w:t>for a period of 6 months following the Separation Date. Such payment will be made promptly upon receipt by the Company of reasonable documentation (as determined in the Company’s sole discretion) evidencing the actual cost of such services, but no later than March 15, 2021.</w:t>
      </w:r>
    </w:p>
    <w:p>
      <w:pPr>
        <w:sectPr>
          <w:pgSz w:w="11900" w:h="16838" w:orient="portrait"/>
          <w:cols w:equalWidth="0" w:num="1">
            <w:col w:w="11240"/>
          </w:cols>
          <w:pgMar w:left="320" w:top="1435" w:right="339" w:bottom="1440" w:gutter="0" w:footer="0" w:header="0"/>
        </w:sectPr>
      </w:pPr>
    </w:p>
    <w:bookmarkStart w:id="92" w:name="page93"/>
    <w:bookmarkEnd w:id="92"/>
    <w:p>
      <w:pPr>
        <w:ind w:left="-40" w:right="220" w:firstLine="758"/>
        <w:spacing w:after="0" w:line="256" w:lineRule="auto"/>
        <w:tabs>
          <w:tab w:leader="none" w:pos="1244"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COBRA: </w:t>
      </w:r>
      <w:r>
        <w:rPr>
          <w:rFonts w:ascii="Arial" w:cs="Arial" w:eastAsia="Arial" w:hAnsi="Arial"/>
          <w:sz w:val="22"/>
          <w:szCs w:val="22"/>
          <w:color w:val="auto"/>
        </w:rPr>
        <w:t>Upon my enrollment in COBRA continuation coverage, the Company will pay directly the cost of my</w:t>
      </w:r>
      <w:r>
        <w:rPr>
          <w:rFonts w:ascii="Arial" w:cs="Arial" w:eastAsia="Arial" w:hAnsi="Arial"/>
          <w:sz w:val="22"/>
          <w:szCs w:val="22"/>
          <w:b w:val="1"/>
          <w:bCs w:val="1"/>
          <w:color w:val="auto"/>
        </w:rPr>
        <w:t xml:space="preserve"> </w:t>
      </w:r>
      <w:r>
        <w:rPr>
          <w:rFonts w:ascii="Arial" w:cs="Arial" w:eastAsia="Arial" w:hAnsi="Arial"/>
          <w:sz w:val="22"/>
          <w:szCs w:val="22"/>
          <w:color w:val="auto"/>
        </w:rPr>
        <w:t>COBRA premium for my elected coverage (including eligible dependent coverage) for a period of eighteen (18) months (or if shorter, the maximum period permitted under COBRA) following my Separation Date.</w:t>
      </w:r>
    </w:p>
    <w:p>
      <w:pPr>
        <w:spacing w:after="0" w:line="176" w:lineRule="exact"/>
        <w:rPr>
          <w:rFonts w:ascii="Arial" w:cs="Arial" w:eastAsia="Arial" w:hAnsi="Arial"/>
          <w:sz w:val="22"/>
          <w:szCs w:val="22"/>
          <w:b w:val="1"/>
          <w:bCs w:val="1"/>
          <w:color w:val="auto"/>
        </w:rPr>
      </w:pPr>
    </w:p>
    <w:p>
      <w:pPr>
        <w:jc w:val="both"/>
        <w:ind w:left="-40" w:right="100" w:firstLine="818"/>
        <w:spacing w:after="0" w:line="252" w:lineRule="auto"/>
        <w:tabs>
          <w:tab w:leader="none" w:pos="1244"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Payments: </w:t>
      </w:r>
      <w:r>
        <w:rPr>
          <w:rFonts w:ascii="Arial" w:cs="Arial" w:eastAsia="Arial" w:hAnsi="Arial"/>
          <w:sz w:val="22"/>
          <w:szCs w:val="22"/>
          <w:color w:val="auto"/>
        </w:rPr>
        <w:t>I understand and agree that all of the payments referenced in this Paragraph (a) are in place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otherwise due under the Kelley Offer Letter and will not be taken into account in determining my rights or benefits under any benefit program. The Company will deduct applicable federal and state tax withholding and other amounts from these amounts as it determines it is required to do.</w:t>
      </w:r>
    </w:p>
    <w:p>
      <w:pPr>
        <w:spacing w:after="0" w:line="179" w:lineRule="exact"/>
        <w:rPr>
          <w:rFonts w:ascii="Arial" w:cs="Arial" w:eastAsia="Arial" w:hAnsi="Arial"/>
          <w:sz w:val="22"/>
          <w:szCs w:val="22"/>
          <w:b w:val="1"/>
          <w:bCs w:val="1"/>
          <w:color w:val="auto"/>
        </w:rPr>
      </w:pPr>
    </w:p>
    <w:p>
      <w:pPr>
        <w:ind w:left="-40" w:right="200" w:firstLine="758"/>
        <w:spacing w:after="0" w:line="256" w:lineRule="auto"/>
        <w:tabs>
          <w:tab w:leader="none" w:pos="1256" w:val="left"/>
        </w:tabs>
        <w:numPr>
          <w:ilvl w:val="2"/>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Sufficient Consideration: </w:t>
      </w:r>
      <w:r>
        <w:rPr>
          <w:rFonts w:ascii="Arial" w:cs="Arial" w:eastAsia="Arial" w:hAnsi="Arial"/>
          <w:sz w:val="22"/>
          <w:szCs w:val="22"/>
          <w:color w:val="auto"/>
        </w:rPr>
        <w:t>I acknowledge that the compensation and benefits described in this Paragraph (a) are</w:t>
      </w:r>
      <w:r>
        <w:rPr>
          <w:rFonts w:ascii="Arial" w:cs="Arial" w:eastAsia="Arial" w:hAnsi="Arial"/>
          <w:sz w:val="22"/>
          <w:szCs w:val="22"/>
          <w:b w:val="1"/>
          <w:bCs w:val="1"/>
          <w:color w:val="auto"/>
        </w:rPr>
        <w:t xml:space="preserve"> </w:t>
      </w:r>
      <w:r>
        <w:rPr>
          <w:rFonts w:ascii="Arial" w:cs="Arial" w:eastAsia="Arial" w:hAnsi="Arial"/>
          <w:sz w:val="22"/>
          <w:szCs w:val="22"/>
          <w:color w:val="auto"/>
        </w:rPr>
        <w:t>good, valuable, and sufficient consideration. I further acknowledge that this consideration exceeds that to which I would be entitled under the Company’s policies, procedures, benefit plans, and practices.</w:t>
      </w:r>
    </w:p>
    <w:p>
      <w:pPr>
        <w:spacing w:after="0" w:line="176" w:lineRule="exact"/>
        <w:rPr>
          <w:rFonts w:ascii="Arial" w:cs="Arial" w:eastAsia="Arial" w:hAnsi="Arial"/>
          <w:sz w:val="22"/>
          <w:szCs w:val="22"/>
          <w:b w:val="1"/>
          <w:bCs w:val="1"/>
          <w:color w:val="auto"/>
        </w:rPr>
      </w:pPr>
    </w:p>
    <w:p>
      <w:pPr>
        <w:ind w:left="620" w:hanging="328"/>
        <w:spacing w:after="0"/>
        <w:tabs>
          <w:tab w:leader="none" w:pos="62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Release:</w:t>
      </w:r>
    </w:p>
    <w:p>
      <w:pPr>
        <w:spacing w:after="0" w:line="225" w:lineRule="exact"/>
        <w:rPr>
          <w:rFonts w:ascii="Arial" w:cs="Arial" w:eastAsia="Arial" w:hAnsi="Arial"/>
          <w:sz w:val="22"/>
          <w:szCs w:val="22"/>
          <w:b w:val="1"/>
          <w:bCs w:val="1"/>
          <w:color w:val="auto"/>
        </w:rPr>
      </w:pPr>
    </w:p>
    <w:p>
      <w:pPr>
        <w:ind w:left="-40" w:firstLine="866"/>
        <w:spacing w:after="0" w:line="284" w:lineRule="auto"/>
        <w:tabs>
          <w:tab w:leader="none" w:pos="1256" w:val="left"/>
        </w:tabs>
        <w:numPr>
          <w:ilvl w:val="2"/>
          <w:numId w:val="78"/>
        </w:numPr>
        <w:rPr>
          <w:rFonts w:ascii="Arial" w:cs="Arial" w:eastAsia="Arial" w:hAnsi="Arial"/>
          <w:sz w:val="19"/>
          <w:szCs w:val="19"/>
          <w:b w:val="1"/>
          <w:bCs w:val="1"/>
          <w:color w:val="auto"/>
        </w:rPr>
      </w:pPr>
      <w:r>
        <w:rPr>
          <w:rFonts w:ascii="Arial" w:cs="Arial" w:eastAsia="Arial" w:hAnsi="Arial"/>
          <w:sz w:val="19"/>
          <w:szCs w:val="19"/>
          <w:color w:val="auto"/>
        </w:rPr>
        <w:t>I, for myself, my heirs, and my legal representatives and assigns, release (i.e., give up) and forever discharge the Company and its subsidiaries, their current and former, direct and indirect owners, officers, directors, employees, agents, successors, predecessors, assigns and affiliates, as well as the Company’s employee benefit plans (and any administrators, insurers, or fiduciaries thereof), and all persons acting by, through, under, or in concert with any of them (collectively, the “Released Parties”), from all known and unknown claims, demands, actions, causes of action, rights, damages, costs, expenses, compensation, wages, vacation pay, sick or paid time off, or commissions, whether arising under common law or statute, whether local, state, or federal, including without limitation Title VII of the Civil Rights Act of 1964, 42 U.S.C. § 2000e, et seq.; Sections 1981 and 1983 of the Civil Rights Act of 1866; the Age Discrimination in Employment Act (ADEA), as amended, 29 U.S.C. § 621, et seq.; the Employee Retirement Income Security Act of 1974 (ERISA), as amended, 29 U.S.C. § 1001, et seq.; the Americans with Disabilities Act of 1990 (ADA), 42 U.S.C. § 12101, et seq.; the Family and Medical Leave Act (FMLA), 29 U.S.C. § 2601, et seq.; the Worker Adjustment &amp; Retraining Notification Act (WARN Act); and any similar state or local laws, such as the Arizona Civil Rights Act and the Arizona Equal Pay Law, that I now have, or which were or could have been made, on account of my service with the Company and each of its subsidiaries and affiliates, including my separation therefrom and any transaction or occurrence between me and the Released Parties at any time during such service and after separation up to the time I execute this Agreement. The Company and I agree that I have waived all claims against the Company except (i) in respect of any obligation of the Company arising under this Agreement, (ii) vested benefits under any of the Company’s employee benefit plans in which I participate, (iii) in respect of equity awards (including any options, RSUs, restricted stock, or any other form of equity) that I have been granted pursuant to the Company’s Second Amended and Restated 2007 Equity Incentive Plan (the “2007 Equity Plan”), (iv) all rights to indemnification, including rights pursuant to the Indemnification Agreement between me and the Company dated May 8, 2013, under the Company’s directors’ and officers’ insurance coverage for acts performed or omissions while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60" w:top="1422" w:right="359" w:bottom="1440" w:gutter="0" w:footer="0" w:header="0"/>
        </w:sectPr>
      </w:pPr>
    </w:p>
    <w:bookmarkStart w:id="93" w:name="page94"/>
    <w:bookmarkEnd w:id="93"/>
    <w:p>
      <w:pPr>
        <w:jc w:val="both"/>
        <w:ind w:right="60"/>
        <w:spacing w:after="0" w:line="250" w:lineRule="auto"/>
        <w:rPr>
          <w:sz w:val="20"/>
          <w:szCs w:val="20"/>
          <w:color w:val="auto"/>
        </w:rPr>
      </w:pPr>
      <w:r>
        <w:rPr>
          <w:rFonts w:ascii="Arial" w:cs="Arial" w:eastAsia="Arial" w:hAnsi="Arial"/>
          <w:sz w:val="22"/>
          <w:szCs w:val="22"/>
          <w:color w:val="auto"/>
        </w:rPr>
        <w:t>was a director, employee or officer of the Company, and (v) those claims that as a matter of law are not waivable by an employee against his or her employer. It is my intention that the language relating to the description of claims in this section shall be given the broadest possible interpretation permitted by law. I further agree that the termination of my employment is not due to “Good Reason” as such term is defined in the Kelley Offer Letter.</w:t>
      </w:r>
    </w:p>
    <w:p>
      <w:pPr>
        <w:spacing w:after="0" w:line="188" w:lineRule="exact"/>
        <w:rPr>
          <w:sz w:val="20"/>
          <w:szCs w:val="20"/>
          <w:color w:val="auto"/>
        </w:rPr>
      </w:pPr>
    </w:p>
    <w:p>
      <w:pPr>
        <w:ind w:right="100" w:firstLine="806"/>
        <w:spacing w:after="0" w:line="250" w:lineRule="auto"/>
        <w:tabs>
          <w:tab w:leader="none" w:pos="1296" w:val="left"/>
        </w:tabs>
        <w:numPr>
          <w:ilvl w:val="1"/>
          <w:numId w:val="79"/>
        </w:numPr>
        <w:rPr>
          <w:rFonts w:ascii="Arial" w:cs="Arial" w:eastAsia="Arial" w:hAnsi="Arial"/>
          <w:sz w:val="22"/>
          <w:szCs w:val="22"/>
          <w:b w:val="1"/>
          <w:bCs w:val="1"/>
          <w:color w:val="auto"/>
        </w:rPr>
      </w:pPr>
      <w:r>
        <w:rPr>
          <w:rFonts w:ascii="Arial" w:cs="Arial" w:eastAsia="Arial" w:hAnsi="Arial"/>
          <w:sz w:val="22"/>
          <w:szCs w:val="22"/>
          <w:color w:val="auto"/>
        </w:rPr>
        <w:t>Except as specified in this Agreement, I represent and affirm that I have been paid and received from the Company all leave (paid or unpaid), compensation, wages, bonuses, commissions, incentive pay, and benefits to which I may be entitled, and that no other leave (paid or unpaid), compensation, wages, bonuses, commissions, incentive pay, or benefits are due to me.</w:t>
      </w:r>
    </w:p>
    <w:p>
      <w:pPr>
        <w:spacing w:after="0" w:line="181" w:lineRule="exact"/>
        <w:rPr>
          <w:rFonts w:ascii="Arial" w:cs="Arial" w:eastAsia="Arial" w:hAnsi="Arial"/>
          <w:sz w:val="22"/>
          <w:szCs w:val="22"/>
          <w:b w:val="1"/>
          <w:bCs w:val="1"/>
          <w:color w:val="auto"/>
        </w:rPr>
      </w:pPr>
    </w:p>
    <w:p>
      <w:pPr>
        <w:ind w:right="120" w:firstLine="332"/>
        <w:spacing w:after="0" w:line="252" w:lineRule="auto"/>
        <w:tabs>
          <w:tab w:leader="none" w:pos="636"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Applicable Law and Venue: </w:t>
      </w:r>
      <w:r>
        <w:rPr>
          <w:rFonts w:ascii="Arial" w:cs="Arial" w:eastAsia="Arial" w:hAnsi="Arial"/>
          <w:sz w:val="22"/>
          <w:szCs w:val="22"/>
          <w:color w:val="auto"/>
        </w:rPr>
        <w:t>This Agreement is governed by Federal law and the laws of Arizona, without regard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of law principles of any jurisdiction. I agree that any action to enforce or interpret this Agreement shall be brought exclusively in a court of competent jurisdiction in the State of Arizona, and I hereby waive any challenge to venue or exercise of jurisdiction by such courts.</w:t>
      </w:r>
    </w:p>
    <w:p>
      <w:pPr>
        <w:spacing w:after="0" w:line="179" w:lineRule="exact"/>
        <w:rPr>
          <w:rFonts w:ascii="Arial" w:cs="Arial" w:eastAsia="Arial" w:hAnsi="Arial"/>
          <w:sz w:val="22"/>
          <w:szCs w:val="22"/>
          <w:b w:val="1"/>
          <w:bCs w:val="1"/>
          <w:color w:val="auto"/>
        </w:rPr>
      </w:pPr>
    </w:p>
    <w:p>
      <w:pPr>
        <w:ind w:firstLine="332"/>
        <w:spacing w:after="0" w:line="315" w:lineRule="auto"/>
        <w:tabs>
          <w:tab w:leader="none" w:pos="64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The “Effective Date” of this Agreement shall be the date the revocation period described in Section (h)(v)</w:t>
      </w:r>
      <w:r>
        <w:rPr>
          <w:rFonts w:ascii="Arial" w:cs="Arial" w:eastAsia="Arial" w:hAnsi="Arial"/>
          <w:sz w:val="19"/>
          <w:szCs w:val="19"/>
          <w:b w:val="1"/>
          <w:bCs w:val="1"/>
          <w:color w:val="auto"/>
        </w:rPr>
        <w:t xml:space="preserve"> </w:t>
      </w:r>
      <w:r>
        <w:rPr>
          <w:rFonts w:ascii="Arial" w:cs="Arial" w:eastAsia="Arial" w:hAnsi="Arial"/>
          <w:sz w:val="19"/>
          <w:szCs w:val="19"/>
          <w:color w:val="auto"/>
        </w:rPr>
        <w:t>below expires, provided that I have not revoked this Agreement. Notwithstanding my revocation of this Agreement, my service as a director, officer and employee of the Company and its subsidiaries shall still be terminated as of the Separation Date.</w:t>
      </w:r>
    </w:p>
    <w:p>
      <w:pPr>
        <w:spacing w:after="0" w:line="125" w:lineRule="exact"/>
        <w:rPr>
          <w:rFonts w:ascii="Arial" w:cs="Arial" w:eastAsia="Arial" w:hAnsi="Arial"/>
          <w:sz w:val="19"/>
          <w:szCs w:val="19"/>
          <w:b w:val="1"/>
          <w:bCs w:val="1"/>
          <w:color w:val="auto"/>
        </w:rPr>
      </w:pPr>
    </w:p>
    <w:p>
      <w:pPr>
        <w:ind w:left="640" w:hanging="308"/>
        <w:spacing w:after="0"/>
        <w:tabs>
          <w:tab w:leader="none" w:pos="6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Covenant Not to Sue; Challenge to Validity and Communication with Government Agency:</w:t>
      </w:r>
    </w:p>
    <w:p>
      <w:pPr>
        <w:spacing w:after="0" w:line="225" w:lineRule="exact"/>
        <w:rPr>
          <w:rFonts w:ascii="Arial" w:cs="Arial" w:eastAsia="Arial" w:hAnsi="Arial"/>
          <w:sz w:val="22"/>
          <w:szCs w:val="22"/>
          <w:b w:val="1"/>
          <w:bCs w:val="1"/>
          <w:color w:val="auto"/>
        </w:rPr>
      </w:pPr>
    </w:p>
    <w:p>
      <w:pPr>
        <w:ind w:right="360" w:firstLine="866"/>
        <w:spacing w:after="0" w:line="265" w:lineRule="auto"/>
        <w:tabs>
          <w:tab w:leader="none" w:pos="1296" w:val="left"/>
        </w:tabs>
        <w:numPr>
          <w:ilvl w:val="1"/>
          <w:numId w:val="80"/>
        </w:numPr>
        <w:rPr>
          <w:rFonts w:ascii="Arial" w:cs="Arial" w:eastAsia="Arial" w:hAnsi="Arial"/>
          <w:sz w:val="21"/>
          <w:szCs w:val="21"/>
          <w:b w:val="1"/>
          <w:bCs w:val="1"/>
          <w:color w:val="auto"/>
        </w:rPr>
      </w:pPr>
      <w:r>
        <w:rPr>
          <w:rFonts w:ascii="Arial" w:cs="Arial" w:eastAsia="Arial" w:hAnsi="Arial"/>
          <w:sz w:val="21"/>
          <w:szCs w:val="21"/>
          <w:color w:val="auto"/>
        </w:rPr>
        <w:t>I promise that I will not file, cause to be filed, join, or accept any relief in any lawsuit (either individually, with others, or as part of a class) pleading, raising, or asserting any claims released by this Agreement. I agree that if I breach this promise, then I will reimburse each of the Released Parties for his, her, or its attorneys’ fees and costs (or the applicable proportions thereof) incurred in defending against any such released claims.</w:t>
      </w:r>
    </w:p>
    <w:p>
      <w:pPr>
        <w:spacing w:after="0" w:line="175" w:lineRule="exact"/>
        <w:rPr>
          <w:sz w:val="20"/>
          <w:szCs w:val="20"/>
          <w:color w:val="auto"/>
        </w:rPr>
      </w:pPr>
    </w:p>
    <w:p>
      <w:pPr>
        <w:ind w:firstLine="806"/>
        <w:spacing w:after="0" w:line="245" w:lineRule="auto"/>
        <w:tabs>
          <w:tab w:leader="none" w:pos="1296" w:val="left"/>
        </w:tabs>
        <w:numPr>
          <w:ilvl w:val="0"/>
          <w:numId w:val="81"/>
        </w:numPr>
        <w:rPr>
          <w:rFonts w:ascii="Arial" w:cs="Arial" w:eastAsia="Arial" w:hAnsi="Arial"/>
          <w:sz w:val="22"/>
          <w:szCs w:val="22"/>
          <w:b w:val="1"/>
          <w:bCs w:val="1"/>
          <w:color w:val="auto"/>
        </w:rPr>
      </w:pPr>
      <w:r>
        <w:rPr>
          <w:rFonts w:ascii="Arial" w:cs="Arial" w:eastAsia="Arial" w:hAnsi="Arial"/>
          <w:sz w:val="22"/>
          <w:szCs w:val="22"/>
          <w:color w:val="auto"/>
        </w:rPr>
        <w:t>Nothing in this Agreement shall be construed to prohibit me from filing a charge with or participating in an investigation or proceeding conducted by 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 proceeding or lawsuit brought on my behalf for the recovery of such relief, and which arises out of the matters that are and may be released or waived by this Agreement. I also understand, however, that this Agreement does not limit my ability to communicate with any government agencies or otherwise participate in any investigation or proceeding that may be conducted by any government agency, including providing documents or other information, without notice to the Company. This Agreement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does not limit my right to receive an award for information provided to any government agencies.</w:t>
      </w:r>
    </w:p>
    <w:p>
      <w:pPr>
        <w:spacing w:after="0" w:line="220" w:lineRule="exact"/>
        <w:rPr>
          <w:sz w:val="20"/>
          <w:szCs w:val="20"/>
          <w:color w:val="auto"/>
        </w:rPr>
      </w:pPr>
    </w:p>
    <w:p>
      <w:pPr>
        <w:ind w:firstLine="746"/>
        <w:spacing w:after="0" w:line="261" w:lineRule="auto"/>
        <w:tabs>
          <w:tab w:leader="none" w:pos="1296"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Nothing in this Agreement shall be interpreted or applied to affect or limit my otherwise lawful ability to challenge, under the Age Discrimination in Employment Act (ADEA) or Older Worker Benefit Protection Act (OWBPA), the knowing and voluntary nature of my release of any age claims in this Agreement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the release applies to and covers any claim that I may have under the ADEA and OWBPA.</w:t>
      </w:r>
    </w:p>
    <w:p>
      <w:pPr>
        <w:spacing w:after="0" w:line="179" w:lineRule="exact"/>
        <w:rPr>
          <w:sz w:val="20"/>
          <w:szCs w:val="20"/>
          <w:color w:val="auto"/>
        </w:rPr>
      </w:pPr>
    </w:p>
    <w:p>
      <w:pPr>
        <w:ind w:right="200" w:firstLine="758"/>
        <w:spacing w:after="0" w:line="312" w:lineRule="auto"/>
        <w:tabs>
          <w:tab w:leader="none" w:pos="1284"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Except as set forth in this Agreement, I understand, acknowledge, and voluntarily agree that this Agreement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27" w:lineRule="exact"/>
        <w:rPr>
          <w:rFonts w:ascii="Arial" w:cs="Arial" w:eastAsia="Arial" w:hAnsi="Arial"/>
          <w:sz w:val="19"/>
          <w:szCs w:val="19"/>
          <w:b w:val="1"/>
          <w:bCs w:val="1"/>
          <w:color w:val="auto"/>
        </w:rPr>
      </w:pPr>
    </w:p>
    <w:p>
      <w:pPr>
        <w:ind w:left="640" w:hanging="308"/>
        <w:spacing w:after="0"/>
        <w:tabs>
          <w:tab w:leader="none" w:pos="6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Independent Contractor:</w:t>
      </w:r>
    </w:p>
    <w:p>
      <w:pPr>
        <w:spacing w:after="0" w:line="225" w:lineRule="exact"/>
        <w:rPr>
          <w:rFonts w:ascii="Arial" w:cs="Arial" w:eastAsia="Arial" w:hAnsi="Arial"/>
          <w:sz w:val="22"/>
          <w:szCs w:val="22"/>
          <w:b w:val="1"/>
          <w:bCs w:val="1"/>
          <w:color w:val="auto"/>
        </w:rPr>
      </w:pPr>
    </w:p>
    <w:p>
      <w:pPr>
        <w:ind w:right="140" w:firstLine="866"/>
        <w:spacing w:after="0" w:line="261" w:lineRule="auto"/>
        <w:tabs>
          <w:tab w:leader="none" w:pos="1296" w:val="left"/>
        </w:tabs>
        <w:numPr>
          <w:ilvl w:val="2"/>
          <w:numId w:val="84"/>
        </w:numPr>
        <w:rPr>
          <w:rFonts w:ascii="Arial" w:cs="Arial" w:eastAsia="Arial" w:hAnsi="Arial"/>
          <w:sz w:val="21"/>
          <w:szCs w:val="21"/>
          <w:b w:val="1"/>
          <w:bCs w:val="1"/>
          <w:color w:val="auto"/>
        </w:rPr>
      </w:pPr>
      <w:r>
        <w:rPr>
          <w:rFonts w:ascii="Arial" w:cs="Arial" w:eastAsia="Arial" w:hAnsi="Arial"/>
          <w:sz w:val="21"/>
          <w:szCs w:val="21"/>
          <w:color w:val="auto"/>
        </w:rPr>
        <w:t>As a long-time executive of the Company, I have special knowledge, expertise and experience concerning the business and operations of the Company and the Company desires to have continuing access to such knowledge, expertise and experience. Accordingly, for a period of 12 months after the Separation Date, to the extent expressly requested in writing by the Company’s Executive Chairman of the Board of Directors or the Company’s Chief Executive Officer, I will provide the Company advice on any issue pertaining to the business or operations of the Company. My service to the Company pursuant to this Section (f)(i) will be as an independent contractor.</w:t>
      </w:r>
    </w:p>
    <w:p>
      <w:pPr>
        <w:spacing w:after="0" w:line="179" w:lineRule="exact"/>
        <w:rPr>
          <w:rFonts w:ascii="Arial" w:cs="Arial" w:eastAsia="Arial" w:hAnsi="Arial"/>
          <w:sz w:val="21"/>
          <w:szCs w:val="21"/>
          <w:b w:val="1"/>
          <w:bCs w:val="1"/>
          <w:color w:val="auto"/>
        </w:rPr>
      </w:pPr>
    </w:p>
    <w:p>
      <w:pPr>
        <w:jc w:val="both"/>
        <w:ind w:right="160" w:firstLine="806"/>
        <w:spacing w:after="0" w:line="265" w:lineRule="auto"/>
        <w:tabs>
          <w:tab w:leader="none" w:pos="1296" w:val="left"/>
        </w:tabs>
        <w:numPr>
          <w:ilvl w:val="2"/>
          <w:numId w:val="84"/>
        </w:numPr>
        <w:rPr>
          <w:rFonts w:ascii="Arial" w:cs="Arial" w:eastAsia="Arial" w:hAnsi="Arial"/>
          <w:sz w:val="21"/>
          <w:szCs w:val="21"/>
          <w:b w:val="1"/>
          <w:bCs w:val="1"/>
          <w:color w:val="auto"/>
        </w:rPr>
      </w:pPr>
      <w:r>
        <w:rPr>
          <w:rFonts w:ascii="Arial" w:cs="Arial" w:eastAsia="Arial" w:hAnsi="Arial"/>
          <w:sz w:val="21"/>
          <w:szCs w:val="21"/>
          <w:color w:val="auto"/>
        </w:rPr>
        <w:t>I agree and acknowledge that with respect to the services that I may provide to the Company pursuant to Section (f)(i), I will not receive any further compensation other than the separation payments pursuant to Section (a)(i) and I will not be eligible to participate in any vacation, group medical or life insurance, disability, profit sharing or retirement benefits, or any other fringe benefits or benefit plans offered by the Company to its employees.</w:t>
      </w:r>
    </w:p>
    <w:p>
      <w:pPr>
        <w:spacing w:after="0" w:line="169" w:lineRule="exact"/>
        <w:rPr>
          <w:rFonts w:ascii="Arial" w:cs="Arial" w:eastAsia="Arial" w:hAnsi="Arial"/>
          <w:sz w:val="21"/>
          <w:szCs w:val="21"/>
          <w:b w:val="1"/>
          <w:bCs w:val="1"/>
          <w:color w:val="auto"/>
        </w:rPr>
      </w:pPr>
    </w:p>
    <w:p>
      <w:pPr>
        <w:ind w:left="660" w:hanging="328"/>
        <w:spacing w:after="0"/>
        <w:tabs>
          <w:tab w:leader="none" w:pos="6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Promises: </w:t>
      </w:r>
      <w:r>
        <w:rPr>
          <w:rFonts w:ascii="Arial" w:cs="Arial" w:eastAsia="Arial" w:hAnsi="Arial"/>
          <w:sz w:val="22"/>
          <w:szCs w:val="22"/>
          <w:color w:val="auto"/>
        </w:rPr>
        <w:t>The Company and I acknowledge and agree that:</w:t>
      </w:r>
    </w:p>
    <w:p>
      <w:pPr>
        <w:spacing w:after="0" w:line="219" w:lineRule="exact"/>
        <w:rPr>
          <w:rFonts w:ascii="Arial" w:cs="Arial" w:eastAsia="Arial" w:hAnsi="Arial"/>
          <w:sz w:val="22"/>
          <w:szCs w:val="22"/>
          <w:b w:val="1"/>
          <w:bCs w:val="1"/>
          <w:color w:val="auto"/>
        </w:rPr>
      </w:pPr>
    </w:p>
    <w:p>
      <w:pPr>
        <w:ind w:right="120" w:firstLine="866"/>
        <w:spacing w:after="0" w:line="267" w:lineRule="auto"/>
        <w:tabs>
          <w:tab w:leader="none" w:pos="1296" w:val="left"/>
        </w:tabs>
        <w:numPr>
          <w:ilvl w:val="2"/>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Separation Date: </w:t>
      </w:r>
      <w:r>
        <w:rPr>
          <w:rFonts w:ascii="Arial" w:cs="Arial" w:eastAsia="Arial" w:hAnsi="Arial"/>
          <w:sz w:val="21"/>
          <w:szCs w:val="21"/>
          <w:color w:val="auto"/>
        </w:rPr>
        <w:t>As of the Separation Date, my service as a director, officer and employee of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each subsidiary and affiliate of the Company terminated and I ceased to be employed by the Company and each subsidiary and affiliate of the Company in any capacity. However, I will continue to provide services to the Company on an as-needed basis as an independent contractor, pursuant to the terms described in Section (f)(i) above.</w:t>
      </w:r>
    </w:p>
    <w:p>
      <w:pPr>
        <w:spacing w:after="0" w:line="167" w:lineRule="exact"/>
        <w:rPr>
          <w:rFonts w:ascii="Arial" w:cs="Arial" w:eastAsia="Arial" w:hAnsi="Arial"/>
          <w:sz w:val="21"/>
          <w:szCs w:val="21"/>
          <w:b w:val="1"/>
          <w:bCs w:val="1"/>
          <w:color w:val="auto"/>
        </w:rPr>
      </w:pPr>
    </w:p>
    <w:p>
      <w:pPr>
        <w:ind w:firstLine="806"/>
        <w:spacing w:after="0" w:line="315" w:lineRule="auto"/>
        <w:tabs>
          <w:tab w:leader="none" w:pos="1296" w:val="left"/>
        </w:tabs>
        <w:numPr>
          <w:ilvl w:val="2"/>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Equity Vesting: </w:t>
      </w:r>
      <w:r>
        <w:rPr>
          <w:rFonts w:ascii="Arial" w:cs="Arial" w:eastAsia="Arial" w:hAnsi="Arial"/>
          <w:sz w:val="19"/>
          <w:szCs w:val="19"/>
          <w:color w:val="auto"/>
        </w:rPr>
        <w:t>The terms of my outstanding equity awards granted pursuant to the 2007 Equity Plan will remain</w:t>
      </w:r>
      <w:r>
        <w:rPr>
          <w:rFonts w:ascii="Arial" w:cs="Arial" w:eastAsia="Arial" w:hAnsi="Arial"/>
          <w:sz w:val="19"/>
          <w:szCs w:val="19"/>
          <w:b w:val="1"/>
          <w:bCs w:val="1"/>
          <w:color w:val="auto"/>
        </w:rPr>
        <w:t xml:space="preserve"> </w:t>
      </w:r>
      <w:r>
        <w:rPr>
          <w:rFonts w:ascii="Arial" w:cs="Arial" w:eastAsia="Arial" w:hAnsi="Arial"/>
          <w:sz w:val="19"/>
          <w:szCs w:val="19"/>
          <w:color w:val="auto"/>
        </w:rPr>
        <w:t>in effect without modification. For the avoidance of doubt, during the term of my service as an independent contractor to the Company, any equity (including any options, RSUs, restricted stock, or any other form of equity) that has been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20" w:top="1428" w:right="399" w:bottom="1440" w:gutter="0" w:footer="0" w:header="0"/>
        </w:sectPr>
      </w:pPr>
    </w:p>
    <w:bookmarkStart w:id="95" w:name="page96"/>
    <w:bookmarkEnd w:id="95"/>
    <w:p>
      <w:pPr>
        <w:ind w:right="140"/>
        <w:spacing w:after="0" w:line="263" w:lineRule="auto"/>
        <w:rPr>
          <w:sz w:val="20"/>
          <w:szCs w:val="20"/>
          <w:color w:val="auto"/>
        </w:rPr>
      </w:pPr>
      <w:r>
        <w:rPr>
          <w:rFonts w:ascii="Arial" w:cs="Arial" w:eastAsia="Arial" w:hAnsi="Arial"/>
          <w:sz w:val="22"/>
          <w:szCs w:val="22"/>
          <w:color w:val="auto"/>
        </w:rPr>
        <w:t>to me and has not yet vested will continue to vest and be exercisable as provided under the terms of the applicable equity award agreement.</w:t>
      </w:r>
    </w:p>
    <w:p>
      <w:pPr>
        <w:spacing w:after="0" w:line="169" w:lineRule="exact"/>
        <w:rPr>
          <w:sz w:val="20"/>
          <w:szCs w:val="20"/>
          <w:color w:val="auto"/>
        </w:rPr>
      </w:pPr>
    </w:p>
    <w:p>
      <w:pPr>
        <w:ind w:right="40" w:firstLine="746"/>
        <w:spacing w:after="0" w:line="256" w:lineRule="auto"/>
        <w:tabs>
          <w:tab w:leader="none" w:pos="1296"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Complete Agreement: </w:t>
      </w:r>
      <w:r>
        <w:rPr>
          <w:rFonts w:ascii="Arial" w:cs="Arial" w:eastAsia="Arial" w:hAnsi="Arial"/>
          <w:sz w:val="22"/>
          <w:szCs w:val="22"/>
          <w:color w:val="auto"/>
        </w:rPr>
        <w:t>This Agreement is the entire agreement relating to any claims or future rights that I might</w:t>
      </w:r>
      <w:r>
        <w:rPr>
          <w:rFonts w:ascii="Arial" w:cs="Arial" w:eastAsia="Arial" w:hAnsi="Arial"/>
          <w:sz w:val="22"/>
          <w:szCs w:val="22"/>
          <w:b w:val="1"/>
          <w:bCs w:val="1"/>
          <w:color w:val="auto"/>
        </w:rPr>
        <w:t xml:space="preserve"> </w:t>
      </w:r>
      <w:r>
        <w:rPr>
          <w:rFonts w:ascii="Arial" w:cs="Arial" w:eastAsia="Arial" w:hAnsi="Arial"/>
          <w:sz w:val="22"/>
          <w:szCs w:val="22"/>
          <w:color w:val="auto"/>
        </w:rPr>
        <w:t>have with respect to the Company and the Released Parties, except for my obligations under the Kelley Offer Letter. Once in effect, this Agreement is a legally admissible and binding agreement.</w:t>
      </w:r>
    </w:p>
    <w:p>
      <w:pPr>
        <w:spacing w:after="0" w:line="176" w:lineRule="exact"/>
        <w:rPr>
          <w:sz w:val="20"/>
          <w:szCs w:val="20"/>
          <w:color w:val="auto"/>
        </w:rPr>
      </w:pPr>
    </w:p>
    <w:p>
      <w:pPr>
        <w:ind w:firstLine="758"/>
        <w:spacing w:after="0" w:line="252" w:lineRule="auto"/>
        <w:tabs>
          <w:tab w:leader="none" w:pos="128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Successors and Assigns: </w:t>
      </w:r>
      <w:r>
        <w:rPr>
          <w:rFonts w:ascii="Arial" w:cs="Arial" w:eastAsia="Arial" w:hAnsi="Arial"/>
          <w:sz w:val="22"/>
          <w:szCs w:val="22"/>
          <w:color w:val="auto"/>
        </w:rPr>
        <w:t>This Agreement only may be amended by a written agreement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 both sign. The rights and obligations of the Company under this Agreement shall inure to the benefit of and shall be binding upon the successors and assigns of the Company. I shall not be entitled to assign any of my rights or obligations under this Agreement.</w:t>
      </w:r>
    </w:p>
    <w:p>
      <w:pPr>
        <w:spacing w:after="0" w:line="179" w:lineRule="exact"/>
        <w:rPr>
          <w:rFonts w:ascii="Arial" w:cs="Arial" w:eastAsia="Arial" w:hAnsi="Arial"/>
          <w:sz w:val="22"/>
          <w:szCs w:val="22"/>
          <w:b w:val="1"/>
          <w:bCs w:val="1"/>
          <w:color w:val="auto"/>
        </w:rPr>
      </w:pPr>
    </w:p>
    <w:p>
      <w:pPr>
        <w:jc w:val="both"/>
        <w:ind w:right="60" w:firstLine="818"/>
        <w:spacing w:after="0" w:line="256" w:lineRule="auto"/>
        <w:tabs>
          <w:tab w:leader="none" w:pos="128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w:t>
      </w:r>
      <w:r>
        <w:rPr>
          <w:rFonts w:ascii="Arial" w:cs="Arial" w:eastAsia="Arial" w:hAnsi="Arial"/>
          <w:sz w:val="22"/>
          <w:szCs w:val="22"/>
          <w:color w:val="auto"/>
        </w:rPr>
        <w:t>When I decided to sign this Agreement, I was not relying on any representations that are not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 have not suffered any job-related wrongs or injuries, such as any type of discrimination, for which I might still be entitled to compensation or relief now or in the future.</w:t>
      </w:r>
    </w:p>
    <w:p>
      <w:pPr>
        <w:spacing w:after="0" w:line="176" w:lineRule="exact"/>
        <w:rPr>
          <w:rFonts w:ascii="Arial" w:cs="Arial" w:eastAsia="Arial" w:hAnsi="Arial"/>
          <w:sz w:val="22"/>
          <w:szCs w:val="22"/>
          <w:b w:val="1"/>
          <w:bCs w:val="1"/>
          <w:color w:val="auto"/>
        </w:rPr>
      </w:pPr>
    </w:p>
    <w:p>
      <w:pPr>
        <w:ind w:right="420" w:firstLine="758"/>
        <w:spacing w:after="0" w:line="269" w:lineRule="auto"/>
        <w:tabs>
          <w:tab w:leader="none" w:pos="1296" w:val="left"/>
        </w:tabs>
        <w:numPr>
          <w:ilvl w:val="1"/>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Wrongdoing: </w:t>
      </w:r>
      <w:r>
        <w:rPr>
          <w:rFonts w:ascii="Arial" w:cs="Arial" w:eastAsia="Arial" w:hAnsi="Arial"/>
          <w:sz w:val="22"/>
          <w:szCs w:val="22"/>
          <w:color w:val="auto"/>
        </w:rPr>
        <w:t>This Agreement is not an admission of wrongdoing by the Company or any other Released</w:t>
      </w:r>
      <w:r>
        <w:rPr>
          <w:rFonts w:ascii="Arial" w:cs="Arial" w:eastAsia="Arial" w:hAnsi="Arial"/>
          <w:sz w:val="22"/>
          <w:szCs w:val="22"/>
          <w:b w:val="1"/>
          <w:bCs w:val="1"/>
          <w:color w:val="auto"/>
        </w:rPr>
        <w:t xml:space="preserve"> </w:t>
      </w:r>
      <w:r>
        <w:rPr>
          <w:rFonts w:ascii="Arial" w:cs="Arial" w:eastAsia="Arial" w:hAnsi="Arial"/>
          <w:sz w:val="22"/>
          <w:szCs w:val="22"/>
          <w:color w:val="auto"/>
        </w:rPr>
        <w:t>Party; neither this Agreement nor any drafts shall be admissible evidence of wrongdoing.</w:t>
      </w:r>
    </w:p>
    <w:p>
      <w:pPr>
        <w:spacing w:after="0" w:line="161" w:lineRule="exact"/>
        <w:rPr>
          <w:rFonts w:ascii="Arial" w:cs="Arial" w:eastAsia="Arial" w:hAnsi="Arial"/>
          <w:sz w:val="22"/>
          <w:szCs w:val="22"/>
          <w:b w:val="1"/>
          <w:bCs w:val="1"/>
          <w:color w:val="auto"/>
        </w:rPr>
      </w:pPr>
    </w:p>
    <w:p>
      <w:pPr>
        <w:ind w:right="760" w:firstLine="698"/>
        <w:spacing w:after="0" w:line="349" w:lineRule="auto"/>
        <w:tabs>
          <w:tab w:leader="none" w:pos="1296" w:val="left"/>
        </w:tabs>
        <w:numPr>
          <w:ilvl w:val="1"/>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Unknown Claims: </w:t>
      </w:r>
      <w:r>
        <w:rPr>
          <w:rFonts w:ascii="Arial" w:cs="Arial" w:eastAsia="Arial" w:hAnsi="Arial"/>
          <w:sz w:val="19"/>
          <w:szCs w:val="19"/>
          <w:color w:val="auto"/>
        </w:rPr>
        <w:t>I am intentionally releasing claims that I do not know that I might have and that, with</w:t>
      </w:r>
      <w:r>
        <w:rPr>
          <w:rFonts w:ascii="Arial" w:cs="Arial" w:eastAsia="Arial" w:hAnsi="Arial"/>
          <w:sz w:val="19"/>
          <w:szCs w:val="19"/>
          <w:b w:val="1"/>
          <w:bCs w:val="1"/>
          <w:color w:val="auto"/>
        </w:rPr>
        <w:t xml:space="preserve"> </w:t>
      </w:r>
      <w:r>
        <w:rPr>
          <w:rFonts w:ascii="Arial" w:cs="Arial" w:eastAsia="Arial" w:hAnsi="Arial"/>
          <w:sz w:val="19"/>
          <w:szCs w:val="19"/>
          <w:color w:val="auto"/>
        </w:rPr>
        <w:t>hindsight, I might regret having released. I have not assigned or given away any of the claims I am releasing.</w:t>
      </w:r>
    </w:p>
    <w:p>
      <w:pPr>
        <w:spacing w:after="0" w:line="93" w:lineRule="exact"/>
        <w:rPr>
          <w:rFonts w:ascii="Arial" w:cs="Arial" w:eastAsia="Arial" w:hAnsi="Arial"/>
          <w:sz w:val="19"/>
          <w:szCs w:val="19"/>
          <w:b w:val="1"/>
          <w:bCs w:val="1"/>
          <w:color w:val="auto"/>
        </w:rPr>
      </w:pPr>
    </w:p>
    <w:p>
      <w:pPr>
        <w:jc w:val="both"/>
        <w:ind w:right="100" w:firstLine="638"/>
        <w:spacing w:after="0" w:line="252" w:lineRule="auto"/>
        <w:tabs>
          <w:tab w:leader="none" w:pos="1296" w:val="left"/>
        </w:tabs>
        <w:numPr>
          <w:ilvl w:val="1"/>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Void Provision: </w:t>
      </w:r>
      <w:r>
        <w:rPr>
          <w:rFonts w:ascii="Arial" w:cs="Arial" w:eastAsia="Arial" w:hAnsi="Arial"/>
          <w:sz w:val="22"/>
          <w:szCs w:val="22"/>
          <w:color w:val="auto"/>
        </w:rPr>
        <w:t>If the Company or I successfully assert that any provision in this Agreement is void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unenforceable, the rest of the Agreement shall remain valid and enforceable to the maximum extent permitted by law, unless the non-asserting party elects to cancel it. If this Agreement is cancelled, I will repay the consideration I received for signing it.</w:t>
      </w:r>
    </w:p>
    <w:p>
      <w:pPr>
        <w:spacing w:after="0" w:line="179" w:lineRule="exact"/>
        <w:rPr>
          <w:rFonts w:ascii="Arial" w:cs="Arial" w:eastAsia="Arial" w:hAnsi="Arial"/>
          <w:sz w:val="22"/>
          <w:szCs w:val="22"/>
          <w:b w:val="1"/>
          <w:bCs w:val="1"/>
          <w:color w:val="auto"/>
        </w:rPr>
      </w:pPr>
    </w:p>
    <w:p>
      <w:pPr>
        <w:ind w:right="100" w:firstLine="758"/>
        <w:spacing w:after="0" w:line="264" w:lineRule="auto"/>
        <w:tabs>
          <w:tab w:leader="none" w:pos="1296" w:val="left"/>
        </w:tabs>
        <w:numPr>
          <w:ilvl w:val="1"/>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Consideration of Agreement: </w:t>
      </w:r>
      <w:r>
        <w:rPr>
          <w:rFonts w:ascii="Arial" w:cs="Arial" w:eastAsia="Arial" w:hAnsi="Arial"/>
          <w:sz w:val="21"/>
          <w:szCs w:val="21"/>
          <w:color w:val="auto"/>
        </w:rPr>
        <w:t>If I initially did not think any representation I am making in this Agreement was</w:t>
      </w:r>
      <w:r>
        <w:rPr>
          <w:rFonts w:ascii="Arial" w:cs="Arial" w:eastAsia="Arial" w:hAnsi="Arial"/>
          <w:sz w:val="21"/>
          <w:szCs w:val="21"/>
          <w:b w:val="1"/>
          <w:bCs w:val="1"/>
          <w:color w:val="auto"/>
        </w:rPr>
        <w:t xml:space="preserve"> </w:t>
      </w:r>
      <w:r>
        <w:rPr>
          <w:rFonts w:ascii="Arial" w:cs="Arial" w:eastAsia="Arial" w:hAnsi="Arial"/>
          <w:sz w:val="21"/>
          <w:szCs w:val="21"/>
          <w:color w:val="auto"/>
        </w:rPr>
        <w:t>true or if I initially was uncomfortable making it, I resolved all my doubts and concerns before signing this Agreement. I have carefully read this Agreement, I fully understand what it means, I am entering into it knowingly and voluntarily, and all my representations in it are true. The Company would not have agreed to pay me the consideration I am getting in exchange for this Agreement but for my representations and promises I am making by signing it.</w:t>
      </w:r>
    </w:p>
    <w:p>
      <w:pPr>
        <w:spacing w:after="0" w:line="170" w:lineRule="exact"/>
        <w:rPr>
          <w:rFonts w:ascii="Arial" w:cs="Arial" w:eastAsia="Arial" w:hAnsi="Arial"/>
          <w:sz w:val="21"/>
          <w:szCs w:val="21"/>
          <w:b w:val="1"/>
          <w:bCs w:val="1"/>
          <w:color w:val="auto"/>
        </w:rPr>
      </w:pPr>
    </w:p>
    <w:p>
      <w:pPr>
        <w:ind w:firstLine="818"/>
        <w:spacing w:after="0" w:line="267" w:lineRule="auto"/>
        <w:tabs>
          <w:tab w:leader="none" w:pos="1296" w:val="left"/>
        </w:tabs>
        <w:numPr>
          <w:ilvl w:val="1"/>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Confidentiality: </w:t>
      </w:r>
      <w:r>
        <w:rPr>
          <w:rFonts w:ascii="Arial" w:cs="Arial" w:eastAsia="Arial" w:hAnsi="Arial"/>
          <w:sz w:val="21"/>
          <w:szCs w:val="21"/>
          <w:color w:val="auto"/>
        </w:rPr>
        <w:t>I agree that I will not disclose voluntarily or allow anyone else to disclose the existence, reason</w:t>
      </w:r>
      <w:r>
        <w:rPr>
          <w:rFonts w:ascii="Arial" w:cs="Arial" w:eastAsia="Arial" w:hAnsi="Arial"/>
          <w:sz w:val="21"/>
          <w:szCs w:val="21"/>
          <w:b w:val="1"/>
          <w:bCs w:val="1"/>
          <w:color w:val="auto"/>
        </w:rPr>
        <w:t xml:space="preserve"> </w:t>
      </w:r>
      <w:r>
        <w:rPr>
          <w:rFonts w:ascii="Arial" w:cs="Arial" w:eastAsia="Arial" w:hAnsi="Arial"/>
          <w:sz w:val="21"/>
          <w:szCs w:val="21"/>
          <w:color w:val="auto"/>
        </w:rPr>
        <w:t>for, or contents of this Agreement without the Company’s prior written consent, unless required to do so by law. Notwithstanding this provision, I am authorized to disclose this Agreement to my spouse, attorneys, and tax advisors on a “need to know” basis, on the condition that they agree to hold the terms of the Agreement, including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80"/>
          </w:cols>
          <w:pgMar w:left="320" w:top="1428" w:right="399" w:bottom="1440" w:gutter="0" w:footer="0" w:header="0"/>
        </w:sectPr>
      </w:pPr>
    </w:p>
    <w:bookmarkStart w:id="96" w:name="page97"/>
    <w:bookmarkEnd w:id="96"/>
    <w:p>
      <w:pPr>
        <w:ind w:right="40"/>
        <w:spacing w:after="0" w:line="287" w:lineRule="auto"/>
        <w:rPr>
          <w:sz w:val="20"/>
          <w:szCs w:val="20"/>
          <w:color w:val="auto"/>
        </w:rPr>
      </w:pPr>
      <w:r>
        <w:rPr>
          <w:rFonts w:ascii="Arial" w:cs="Arial" w:eastAsia="Arial" w:hAnsi="Arial"/>
          <w:sz w:val="19"/>
          <w:szCs w:val="19"/>
          <w:color w:val="auto"/>
        </w:rPr>
        <w:t>terms, in strictest confidence; provided that I may disclose any information that has been publicly disclosed by the Company. Any disclosure to any third party by my spouse, attorneys, or tax advisors will be treated as a breach by me of the non-disclosure provisions of this paragraph. I am further authorized to make appropriate disclosures as required by law, provided that, unless prohibited by law, I agree to provide the Company with sufficient advance notice prior to disclosure such that the Company may oppose disclosure and to cooperate with the Company in any such efforts. Because it would be difficult or impossible to calculate the actual damages the Company would suffer if I violate my confidentiality obligations, which would be substantial, I agree to pay the Company $5,000 in damages for each violation. For the avoidance of doubt, nothing in this Agreement shall be construed to prohibit or prevent the Company from disclosing this Agreement or the circumstances relating thereto, including without limitation as required by securities law or stock exchange rule. I further agree and acknowledgment that I remain subject to the confidentiality obligations set forth in the Kelley Offer Letter and my Confidentiality, Intellectual Property and Insider Information Obligations Agreement dated March 2, 2017.</w:t>
      </w:r>
    </w:p>
    <w:p>
      <w:pPr>
        <w:spacing w:after="0" w:line="157" w:lineRule="exact"/>
        <w:rPr>
          <w:sz w:val="20"/>
          <w:szCs w:val="20"/>
          <w:color w:val="auto"/>
        </w:rPr>
      </w:pPr>
    </w:p>
    <w:p>
      <w:pPr>
        <w:ind w:right="20" w:firstLine="758"/>
        <w:spacing w:after="0" w:line="260" w:lineRule="auto"/>
        <w:tabs>
          <w:tab w:leader="none" w:pos="1296"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Return of Property: </w:t>
      </w:r>
      <w:r>
        <w:rPr>
          <w:rFonts w:ascii="Arial" w:cs="Arial" w:eastAsia="Arial" w:hAnsi="Arial"/>
          <w:sz w:val="21"/>
          <w:szCs w:val="21"/>
          <w:color w:val="auto"/>
        </w:rPr>
        <w:t>I have returned to the Company all files, memoranda, documents, records, copies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foregoing, Company-provided credit cards, keys, building passes, security passes, access or identification cards, and any other Company property in my possession or control. To the extent I subsequently discover that any property or data identified above is still in my possession, custody or control, I agree to return all such property and data to the Company as soon as practicable, but in no event later than ten (10) days after making such discovery. I have cleared all expense accounts, repaid everything I owe to the Company or any Released Party, paid all amounts I owe on Company-provided credit cards or accounts (such as cell phone accounts), and canceled or personally assumed any such credit cards or accounts. I agree not to incur any expenses, obligations, or liabilities on behalf of the Company.</w:t>
      </w:r>
    </w:p>
    <w:p>
      <w:pPr>
        <w:spacing w:after="0" w:line="175" w:lineRule="exact"/>
        <w:rPr>
          <w:rFonts w:ascii="Arial" w:cs="Arial" w:eastAsia="Arial" w:hAnsi="Arial"/>
          <w:sz w:val="21"/>
          <w:szCs w:val="21"/>
          <w:b w:val="1"/>
          <w:bCs w:val="1"/>
          <w:color w:val="auto"/>
        </w:rPr>
      </w:pPr>
    </w:p>
    <w:p>
      <w:pPr>
        <w:ind w:right="160" w:firstLine="698"/>
        <w:spacing w:after="0" w:line="247" w:lineRule="auto"/>
        <w:tabs>
          <w:tab w:leader="none" w:pos="1296"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Non-Competition: </w:t>
      </w:r>
      <w:r>
        <w:rPr>
          <w:rFonts w:ascii="Arial" w:cs="Arial" w:eastAsia="Arial" w:hAnsi="Arial"/>
          <w:sz w:val="22"/>
          <w:szCs w:val="22"/>
          <w:color w:val="auto"/>
        </w:rPr>
        <w:t>I agree that beginning on my Separation Date and for eighteen (18) months thereafter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 Period”), I will not, without the prior written consent of the Company, engage in or carry on, directly or indirectly, whether as an advisor, principal, agent, partner, officer, director, employee, stockholder, associate or consultant to any person, partnership, corporation or any other business entity, the business of outsourced semiconductor packaging and test services anywhere in the United States or any other country in which the Company conducts business; provided that ownership by me of Company securities or of less than a five percent equity interest in a publicly held company shall not be a breach of this paragraph.</w:t>
      </w:r>
    </w:p>
    <w:p>
      <w:pPr>
        <w:spacing w:after="0" w:line="189" w:lineRule="exact"/>
        <w:rPr>
          <w:rFonts w:ascii="Arial" w:cs="Arial" w:eastAsia="Arial" w:hAnsi="Arial"/>
          <w:sz w:val="22"/>
          <w:szCs w:val="22"/>
          <w:b w:val="1"/>
          <w:bCs w:val="1"/>
          <w:color w:val="auto"/>
        </w:rPr>
      </w:pPr>
    </w:p>
    <w:p>
      <w:pPr>
        <w:ind w:firstLine="638"/>
        <w:spacing w:after="0" w:line="295" w:lineRule="auto"/>
        <w:tabs>
          <w:tab w:leader="none" w:pos="1296"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Non-Solicitation: </w:t>
      </w:r>
      <w:r>
        <w:rPr>
          <w:rFonts w:ascii="Arial" w:cs="Arial" w:eastAsia="Arial" w:hAnsi="Arial"/>
          <w:sz w:val="19"/>
          <w:szCs w:val="19"/>
          <w:color w:val="auto"/>
        </w:rPr>
        <w:t>I agree that during the Restriction Period, I will not, without the express prior written consent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directly or indirectly, for myself or on behalf of any other person or entity, (i) solicit or encourage any customer, vendor, client or prospective customer, vendor or client (or anyone who was a customer, vendor or client during the Restriction Period) to cease any relationship with the Company or its affiliates or (ii) solicit or encourage any employee or consultant of the Company or its affiliates (or anyone who was an employee or consultant of the Company or its affiliates during the Restriction Period) to leave the employment of or cease to perform services for the Company or its affiliates;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97" w:name="page98"/>
    <w:bookmarkEnd w:id="97"/>
    <w:p>
      <w:pPr>
        <w:ind w:right="80"/>
        <w:spacing w:after="0" w:line="263" w:lineRule="auto"/>
        <w:rPr>
          <w:sz w:val="20"/>
          <w:szCs w:val="20"/>
          <w:color w:val="auto"/>
        </w:rPr>
      </w:pPr>
      <w:r>
        <w:rPr>
          <w:rFonts w:ascii="Arial" w:cs="Arial" w:eastAsia="Arial" w:hAnsi="Arial"/>
          <w:sz w:val="22"/>
          <w:szCs w:val="22"/>
          <w:color w:val="auto"/>
        </w:rPr>
        <w:t>this paragraph shall not prohibit any general public advertisement or general solicitation for personnel not specifically directed at any employee or consultant of the Company or its affiliates.</w:t>
      </w:r>
    </w:p>
    <w:p>
      <w:pPr>
        <w:spacing w:after="0" w:line="169" w:lineRule="exact"/>
        <w:rPr>
          <w:sz w:val="20"/>
          <w:szCs w:val="20"/>
          <w:color w:val="auto"/>
        </w:rPr>
      </w:pPr>
    </w:p>
    <w:p>
      <w:pPr>
        <w:ind w:right="100" w:firstLine="650"/>
        <w:spacing w:after="0" w:line="291" w:lineRule="auto"/>
        <w:tabs>
          <w:tab w:leader="none" w:pos="1284"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I agree that at all times following my Separation Date, I will not make any public statement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are in any way disparaging, derogatory or defamatory regarding the Company, its affiliates, any of the Released Parties or their respective officers, directors, employees, consultants, reputations, products, operations, procedures, policies or services, which are reasonably likely to (i) damage materially the reputation of the Company or its affiliates or any of the Released Parties or (ii) interfere materially with the contracts or business relationships of the Company or its affiliates or any of the Released Parties. “Public statements” mean any statement, whether written or oral, made in any public forum, including in any social media or website. However, nothing in this subsection shall prohibit me from testifying truthfully in any forum or contacting, cooperating with or providing information to any government agency or commission.</w:t>
      </w:r>
    </w:p>
    <w:p>
      <w:pPr>
        <w:spacing w:after="0" w:line="148" w:lineRule="exact"/>
        <w:rPr>
          <w:rFonts w:ascii="Arial" w:cs="Arial" w:eastAsia="Arial" w:hAnsi="Arial"/>
          <w:sz w:val="19"/>
          <w:szCs w:val="19"/>
          <w:b w:val="1"/>
          <w:bCs w:val="1"/>
          <w:color w:val="auto"/>
        </w:rPr>
      </w:pPr>
    </w:p>
    <w:p>
      <w:pPr>
        <w:ind w:firstLine="710"/>
        <w:spacing w:after="0" w:line="262" w:lineRule="auto"/>
        <w:tabs>
          <w:tab w:leader="none" w:pos="1284"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Cooperation: </w:t>
      </w:r>
      <w:r>
        <w:rPr>
          <w:rFonts w:ascii="Arial" w:cs="Arial" w:eastAsia="Arial" w:hAnsi="Arial"/>
          <w:sz w:val="21"/>
          <w:szCs w:val="21"/>
          <w:color w:val="auto"/>
        </w:rPr>
        <w:t>I agree that following my Separation Date, I will provide reasonable assistance to and cooperate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and its affiliates as to any claims, controversies, disputes, or complaints of which I have knowledge or that may relate to me or my employment or other relationships with the Company or its affiliates. Such cooperation includes but is not limited to providing the Company and its affiliates with all information known to me related to the foregoing, meeting with counsel, and appearing and giving testimony in any forum. The Company will reimburse me for any reasonable out-of-pocket expenses incurred by me in providing assistance under this Agreement.</w:t>
      </w:r>
    </w:p>
    <w:p>
      <w:pPr>
        <w:spacing w:after="0" w:line="173" w:lineRule="exact"/>
        <w:rPr>
          <w:rFonts w:ascii="Arial" w:cs="Arial" w:eastAsia="Arial" w:hAnsi="Arial"/>
          <w:sz w:val="21"/>
          <w:szCs w:val="21"/>
          <w:b w:val="1"/>
          <w:bCs w:val="1"/>
          <w:color w:val="auto"/>
        </w:rPr>
      </w:pPr>
    </w:p>
    <w:p>
      <w:pPr>
        <w:ind w:firstLine="650"/>
        <w:spacing w:after="0" w:line="286" w:lineRule="auto"/>
        <w:tabs>
          <w:tab w:leader="none" w:pos="1296" w:val="left"/>
        </w:tabs>
        <w:numPr>
          <w:ilvl w:val="1"/>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 acknowledge that I and the Company intend that this Agreement be interpreted and administered</w:t>
      </w:r>
      <w:r>
        <w:rPr>
          <w:rFonts w:ascii="Arial" w:cs="Arial" w:eastAsia="Arial" w:hAnsi="Arial"/>
          <w:sz w:val="19"/>
          <w:szCs w:val="19"/>
          <w:b w:val="1"/>
          <w:bCs w:val="1"/>
          <w:color w:val="auto"/>
        </w:rPr>
        <w:t xml:space="preserve"> </w:t>
      </w:r>
      <w:r>
        <w:rPr>
          <w:rFonts w:ascii="Arial" w:cs="Arial" w:eastAsia="Arial" w:hAnsi="Arial"/>
          <w:sz w:val="19"/>
          <w:szCs w:val="19"/>
          <w:color w:val="auto"/>
        </w:rPr>
        <w:t>so that any amount or benefit paid hereunder shall be exempt from or compliant with Section 409A of the Internal Revenue Code of 1986, as amended, and the regulations thereunder (“Section 409A”). If the period between the date I receive this Agreement and the expiration of the revocation period described in Section (h)(v) below begins in one taxable year and ends in another taxable year, payment shall not be made until the beginning of the second taxable year. Notwithstanding the foregoing, neither the Company nor its affiliates nor any of their respective directors, officers, employees and advisors shall be held liable for any taxes, interest or other amounts owed by me as a result of Section 409A. Notwithstanding anything herein to the contrary (i) any “deferred compensation” (as defined in Section 409A) payable hereunder as a result of my termination of employment shall not be paid unless and until I have undergone a “separation from service” (as defined in Section 409A) and (ii) if I am a “specified employee” within the meaning of Section 409A, and a payment or benefit provided for in this Agreement would be subject to additional tax under Section 409A if such payment or benefit is paid within six months after my separation from service, then such payment or benefit shall not be paid (or commence) during the six-month period immediately following my separation from service except as provided in the immediately following sentence. In such event, any payments or benefits that would otherwise have been made or provided during such six-month period and which would have incurred such additional tax under Section 409A shall instead be paid to me in a lump-sum cash payment on the earlier of (i) the first regular payroll date of the seventh month following my separation from service or (ii) the 10th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98" w:name="page99"/>
    <w:bookmarkEnd w:id="98"/>
    <w:p>
      <w:pPr>
        <w:jc w:val="both"/>
        <w:ind w:right="40"/>
        <w:spacing w:after="0" w:line="253" w:lineRule="auto"/>
        <w:rPr>
          <w:sz w:val="20"/>
          <w:szCs w:val="20"/>
          <w:color w:val="auto"/>
        </w:rPr>
      </w:pPr>
      <w:r>
        <w:rPr>
          <w:rFonts w:ascii="Arial" w:cs="Arial" w:eastAsia="Arial" w:hAnsi="Arial"/>
          <w:sz w:val="22"/>
          <w:szCs w:val="22"/>
          <w:color w:val="auto"/>
        </w:rPr>
        <w:t>following my death. If any right to payment hereunder is deemed a right to an installment payment, such right shall be treated as a right to a series of separate payments and, accordingly, each installment payment shall at all times be considered a separate and distinct payment for purposes of Section 409A.</w:t>
      </w:r>
    </w:p>
    <w:p>
      <w:pPr>
        <w:spacing w:after="0" w:line="179" w:lineRule="exact"/>
        <w:rPr>
          <w:sz w:val="20"/>
          <w:szCs w:val="20"/>
          <w:color w:val="auto"/>
        </w:rPr>
      </w:pPr>
    </w:p>
    <w:p>
      <w:pPr>
        <w:ind w:firstLine="590"/>
        <w:spacing w:after="0" w:line="252" w:lineRule="auto"/>
        <w:tabs>
          <w:tab w:leader="none" w:pos="1296" w:val="left"/>
        </w:tabs>
        <w:numPr>
          <w:ilvl w:val="2"/>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Re-employment: </w:t>
      </w:r>
      <w:r>
        <w:rPr>
          <w:rFonts w:ascii="Arial" w:cs="Arial" w:eastAsia="Arial" w:hAnsi="Arial"/>
          <w:sz w:val="22"/>
          <w:szCs w:val="22"/>
          <w:color w:val="auto"/>
        </w:rPr>
        <w:t>I agree that the Company and its subsidiaries and affiliates are under no obligation to re-employ</w:t>
      </w:r>
      <w:r>
        <w:rPr>
          <w:rFonts w:ascii="Arial" w:cs="Arial" w:eastAsia="Arial" w:hAnsi="Arial"/>
          <w:sz w:val="22"/>
          <w:szCs w:val="22"/>
          <w:b w:val="1"/>
          <w:bCs w:val="1"/>
          <w:color w:val="auto"/>
        </w:rPr>
        <w:t xml:space="preserve"> </w:t>
      </w:r>
      <w:r>
        <w:rPr>
          <w:rFonts w:ascii="Arial" w:cs="Arial" w:eastAsia="Arial" w:hAnsi="Arial"/>
          <w:sz w:val="22"/>
          <w:szCs w:val="22"/>
          <w:color w:val="auto"/>
        </w:rPr>
        <w:t>or engage me in the future in any capacity and that the denial of such re-employment or engagement shall be considered legitimate, proper, and non-discriminatory, as well as an exercise of the Company’s, its subsidiaries, or its affiliates’ rights under this Agreement.</w:t>
      </w:r>
    </w:p>
    <w:p>
      <w:pPr>
        <w:spacing w:after="0" w:line="179" w:lineRule="exact"/>
        <w:rPr>
          <w:rFonts w:ascii="Arial" w:cs="Arial" w:eastAsia="Arial" w:hAnsi="Arial"/>
          <w:sz w:val="22"/>
          <w:szCs w:val="22"/>
          <w:b w:val="1"/>
          <w:bCs w:val="1"/>
          <w:color w:val="auto"/>
        </w:rPr>
      </w:pPr>
    </w:p>
    <w:p>
      <w:pPr>
        <w:ind w:right="100" w:firstLine="530"/>
        <w:spacing w:after="0" w:line="269" w:lineRule="auto"/>
        <w:tabs>
          <w:tab w:leader="none" w:pos="1296" w:val="left"/>
        </w:tabs>
        <w:numPr>
          <w:ilvl w:val="2"/>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I understand that the headings appearing in this Agreement are for convenience only and are not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in interpreting this Agreement.</w:t>
      </w:r>
    </w:p>
    <w:p>
      <w:pPr>
        <w:spacing w:after="0" w:line="161" w:lineRule="exact"/>
        <w:rPr>
          <w:rFonts w:ascii="Arial" w:cs="Arial" w:eastAsia="Arial" w:hAnsi="Arial"/>
          <w:sz w:val="22"/>
          <w:szCs w:val="22"/>
          <w:b w:val="1"/>
          <w:bCs w:val="1"/>
          <w:color w:val="auto"/>
        </w:rPr>
      </w:pPr>
    </w:p>
    <w:p>
      <w:pPr>
        <w:ind w:left="660" w:hanging="328"/>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Acceptance of Agreement:</w:t>
      </w:r>
    </w:p>
    <w:p>
      <w:pPr>
        <w:spacing w:after="0" w:line="225" w:lineRule="exact"/>
        <w:rPr>
          <w:rFonts w:ascii="Arial" w:cs="Arial" w:eastAsia="Arial" w:hAnsi="Arial"/>
          <w:sz w:val="22"/>
          <w:szCs w:val="22"/>
          <w:b w:val="1"/>
          <w:bCs w:val="1"/>
          <w:color w:val="auto"/>
        </w:rPr>
      </w:pPr>
    </w:p>
    <w:p>
      <w:pPr>
        <w:ind w:right="340" w:firstLine="866"/>
        <w:spacing w:after="0" w:line="253" w:lineRule="auto"/>
        <w:tabs>
          <w:tab w:leader="none" w:pos="1296" w:val="left"/>
        </w:tabs>
        <w:numPr>
          <w:ilvl w:val="2"/>
          <w:numId w:val="90"/>
        </w:numPr>
        <w:rPr>
          <w:rFonts w:ascii="Arial" w:cs="Arial" w:eastAsia="Arial" w:hAnsi="Arial"/>
          <w:sz w:val="22"/>
          <w:szCs w:val="22"/>
          <w:b w:val="1"/>
          <w:bCs w:val="1"/>
          <w:color w:val="auto"/>
        </w:rPr>
      </w:pPr>
      <w:r>
        <w:rPr>
          <w:rFonts w:ascii="Arial" w:cs="Arial" w:eastAsia="Arial" w:hAnsi="Arial"/>
          <w:sz w:val="22"/>
          <w:szCs w:val="22"/>
          <w:color w:val="auto"/>
        </w:rPr>
        <w:t>I HAVE CAREFULLY READ AND FULLY UNDERSTAND AND VOLUNTARILY AGREE TO ALL THE TERMS OF THIS AGREEMENT. IN EXCHANGE FOR MY AGREEMENT TO THE TERMS OF THIS AGREEMENT, I WILL RECEIVE BENEFITS TO WHICH I WOULD OTHERWISE NOT BE ENTITLED.</w:t>
      </w:r>
    </w:p>
    <w:p>
      <w:pPr>
        <w:spacing w:after="0" w:line="185" w:lineRule="exact"/>
        <w:rPr>
          <w:rFonts w:ascii="Arial" w:cs="Arial" w:eastAsia="Arial" w:hAnsi="Arial"/>
          <w:sz w:val="22"/>
          <w:szCs w:val="22"/>
          <w:b w:val="1"/>
          <w:bCs w:val="1"/>
          <w:color w:val="auto"/>
        </w:rPr>
      </w:pPr>
    </w:p>
    <w:p>
      <w:pPr>
        <w:ind w:firstLine="806"/>
        <w:spacing w:after="0" w:line="247" w:lineRule="auto"/>
        <w:tabs>
          <w:tab w:leader="none" w:pos="1296" w:val="left"/>
        </w:tabs>
        <w:numPr>
          <w:ilvl w:val="2"/>
          <w:numId w:val="90"/>
        </w:numPr>
        <w:rPr>
          <w:rFonts w:ascii="Arial" w:cs="Arial" w:eastAsia="Arial" w:hAnsi="Arial"/>
          <w:sz w:val="22"/>
          <w:szCs w:val="22"/>
          <w:b w:val="1"/>
          <w:bCs w:val="1"/>
          <w:color w:val="auto"/>
        </w:rPr>
      </w:pPr>
      <w:r>
        <w:rPr>
          <w:rFonts w:ascii="Arial" w:cs="Arial" w:eastAsia="Arial" w:hAnsi="Arial"/>
          <w:sz w:val="22"/>
          <w:szCs w:val="22"/>
          <w:color w:val="auto"/>
        </w:rPr>
        <w:t>THIS IS AN IMPORTANT LEGAL DOCUMENT AND I HAVE BEEN ADVISED TO CONSULT WITH AN ATTORNEY BEFORE SIGNING IT. I UNDERSTAND THAT I COULD TAKE UP TO TWENTY-ONE (21) DAYS TO CONSIDER THIS AGREEMENT BEFORE DECIDING WHETHER TO SIGN IT AND BY SIGNING IT I UNDERSTAND THAT I WILL BE WAIVING ALL KNOWN AND UNKNOWN CLAIMS. I ACKNOWLEDGE THAT CHANGES MADE TO THIS AGREEMENT, WHETHER MATERIAL OR IMMATERIAL, DO NOT RESTART THE AFOREMENTIONED TWENTY-ONE (21) DAY PERIOD.</w:t>
      </w:r>
    </w:p>
    <w:p>
      <w:pPr>
        <w:spacing w:after="0" w:line="192" w:lineRule="exact"/>
        <w:rPr>
          <w:rFonts w:ascii="Arial" w:cs="Arial" w:eastAsia="Arial" w:hAnsi="Arial"/>
          <w:sz w:val="22"/>
          <w:szCs w:val="22"/>
          <w:b w:val="1"/>
          <w:bCs w:val="1"/>
          <w:color w:val="auto"/>
        </w:rPr>
      </w:pPr>
    </w:p>
    <w:p>
      <w:pPr>
        <w:ind w:right="20" w:firstLine="746"/>
        <w:spacing w:after="0" w:line="248" w:lineRule="auto"/>
        <w:tabs>
          <w:tab w:leader="none" w:pos="1296" w:val="left"/>
        </w:tabs>
        <w:numPr>
          <w:ilvl w:val="2"/>
          <w:numId w:val="90"/>
        </w:numPr>
        <w:rPr>
          <w:rFonts w:ascii="Arial" w:cs="Arial" w:eastAsia="Arial" w:hAnsi="Arial"/>
          <w:sz w:val="22"/>
          <w:szCs w:val="22"/>
          <w:b w:val="1"/>
          <w:bCs w:val="1"/>
          <w:color w:val="auto"/>
        </w:rPr>
      </w:pPr>
      <w:r>
        <w:rPr>
          <w:rFonts w:ascii="Arial" w:cs="Arial" w:eastAsia="Arial" w:hAnsi="Arial"/>
          <w:sz w:val="22"/>
          <w:szCs w:val="22"/>
          <w:color w:val="auto"/>
        </w:rPr>
        <w:t>I ALSO UNDERSTAND THAT I MAY CHOOSE TO VOLUNTARILY SIGN THIS AGREEMENT WITHOUT TAKING THE FULL 21-DAY PERIOD. THE EXPIRATION OF THAT PERIOD IS THE DEADLINE FOR ME TO DELIVER A SIGNED COPY OF THIS AGREEMENT BY E-MAILING A PDF COPY TO LIZZETTE.ZUBEY@AMKOR.COM. IF I FAIL TO DO SO, I UNDERSTAND THAT I WILL NOT RECEIVE THE SEPARATION PAYMENTS OR BENEFITS DESCRIBED IN IT.</w:t>
      </w:r>
    </w:p>
    <w:p>
      <w:pPr>
        <w:spacing w:after="0" w:line="191" w:lineRule="exact"/>
        <w:rPr>
          <w:rFonts w:ascii="Arial" w:cs="Arial" w:eastAsia="Arial" w:hAnsi="Arial"/>
          <w:sz w:val="22"/>
          <w:szCs w:val="22"/>
          <w:b w:val="1"/>
          <w:bCs w:val="1"/>
          <w:color w:val="auto"/>
        </w:rPr>
      </w:pPr>
    </w:p>
    <w:p>
      <w:pPr>
        <w:ind w:right="420" w:firstLine="758"/>
        <w:spacing w:after="0" w:line="263" w:lineRule="auto"/>
        <w:tabs>
          <w:tab w:leader="none" w:pos="1284" w:val="left"/>
        </w:tabs>
        <w:numPr>
          <w:ilvl w:val="1"/>
          <w:numId w:val="90"/>
        </w:numPr>
        <w:rPr>
          <w:rFonts w:ascii="Arial" w:cs="Arial" w:eastAsia="Arial" w:hAnsi="Arial"/>
          <w:sz w:val="22"/>
          <w:szCs w:val="22"/>
          <w:b w:val="1"/>
          <w:bCs w:val="1"/>
          <w:color w:val="auto"/>
        </w:rPr>
      </w:pPr>
      <w:r>
        <w:rPr>
          <w:rFonts w:ascii="Arial" w:cs="Arial" w:eastAsia="Arial" w:hAnsi="Arial"/>
          <w:sz w:val="22"/>
          <w:szCs w:val="22"/>
          <w:color w:val="auto"/>
        </w:rPr>
        <w:t>THE CONSIDERATION PERIOD DESCRIBED IN PARAGRAPH (h)(ii) STARTED WHEN I FIRST WAS GIVEN THIS AGREEMENT.</w:t>
      </w:r>
    </w:p>
    <w:p>
      <w:pPr>
        <w:spacing w:after="0" w:line="174" w:lineRule="exact"/>
        <w:rPr>
          <w:rFonts w:ascii="Arial" w:cs="Arial" w:eastAsia="Arial" w:hAnsi="Arial"/>
          <w:sz w:val="22"/>
          <w:szCs w:val="22"/>
          <w:b w:val="1"/>
          <w:bCs w:val="1"/>
          <w:color w:val="auto"/>
        </w:rPr>
      </w:pPr>
    </w:p>
    <w:p>
      <w:pPr>
        <w:ind w:right="80" w:firstLine="818"/>
        <w:spacing w:after="0" w:line="248" w:lineRule="auto"/>
        <w:tabs>
          <w:tab w:leader="none" w:pos="1284" w:val="left"/>
        </w:tabs>
        <w:numPr>
          <w:ilvl w:val="1"/>
          <w:numId w:val="90"/>
        </w:numPr>
        <w:rPr>
          <w:rFonts w:ascii="Arial" w:cs="Arial" w:eastAsia="Arial" w:hAnsi="Arial"/>
          <w:sz w:val="22"/>
          <w:szCs w:val="22"/>
          <w:b w:val="1"/>
          <w:bCs w:val="1"/>
          <w:color w:val="auto"/>
        </w:rPr>
      </w:pPr>
      <w:r>
        <w:rPr>
          <w:rFonts w:ascii="Arial" w:cs="Arial" w:eastAsia="Arial" w:hAnsi="Arial"/>
          <w:sz w:val="22"/>
          <w:szCs w:val="22"/>
          <w:color w:val="auto"/>
        </w:rPr>
        <w:t>I MAY REVOKE THIS AGREEMENT IF I REGRET HAVING SIGNED IT. TO DO SO, I MUST DELIVER A WRITTEN NOTICE OF REVOCATION TO LIZZETTE ZUBEY AT 2045 East Innovation Circle, Tempe, ARIZONA 85284, BEFORE SEVEN (7) DAYS EXPIRE FROM THE TIME I SIGNED IT. IF I REVOKE MY SIGNATURE, THIS AGREEMENT WILL NOT GO INTO EFFECT AND I WILL NOT RECEIVE THE SEPARATION PAYMENTS OR BENEFITS DESCRIBED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1428" w:right="39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440" w:right="1440" w:bottom="1440" w:gutter="0" w:footer="0" w:header="0"/>
          <w:type w:val="continuous"/>
        </w:sectPr>
      </w:pPr>
    </w:p>
    <w:bookmarkStart w:id="100" w:name="page101"/>
    <w:bookmarkEnd w:id="100"/>
    <w:p>
      <w:pPr>
        <w:spacing w:after="0" w:line="22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on the dates set forth below.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/s/ Stephen D. Kelley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Stephen D. Kelley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June 25,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Amkor Technology,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By: /s/ Mark N. Rogers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Mark N. Rogers</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Executive Vice President and General Counsel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June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39"/>
          </w:cols>
          <w:pgMar w:left="320" w:top="1440" w:right="1440" w:bottom="1440" w:gutter="0" w:footer="0" w:header="0"/>
        </w:sectPr>
      </w:pPr>
    </w:p>
    <w:bookmarkStart w:id="101" w:name="page102"/>
    <w:bookmarkEnd w:id="101"/>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7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Guillaume Marie Jean Rutten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514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ectPr>
          <w:pgSz w:w="11900" w:h="16838" w:orient="portrait"/>
          <w:cols w:equalWidth="0" w:num="1">
            <w:col w:w="11240"/>
          </w:cols>
          <w:pgMar w:left="320" w:top="144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June 30, 2020, as filed with the Securities and Exchange Commission on the date hereof (the “Report”), I, Guillaume Marie Jean Rutten, President and Chief Executive Officer of the Company, certify, pursuant to 18 U.S.C. Section 1350, as adopted pursuant to Section 906 of the Sarbanes-Oxley Act of 2002, that:</w:t>
      </w:r>
    </w:p>
    <w:p>
      <w:pPr>
        <w:spacing w:after="0" w:line="42" w:lineRule="exact"/>
        <w:rPr>
          <w:sz w:val="20"/>
          <w:szCs w:val="20"/>
          <w:color w:val="auto"/>
        </w:rPr>
      </w:pPr>
    </w:p>
    <w:p>
      <w:pPr>
        <w:ind w:left="920" w:hanging="264"/>
        <w:spacing w:after="0"/>
        <w:tabs>
          <w:tab w:leader="none" w:pos="9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660" w:hanging="4"/>
        <w:spacing w:after="0" w:line="277" w:lineRule="auto"/>
        <w:tabs>
          <w:tab w:leader="none" w:pos="9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Guillaume Marie Jean Rutten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June 30, 2020,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660" w:hanging="4"/>
        <w:spacing w:after="0" w:line="277" w:lineRule="auto"/>
        <w:tabs>
          <w:tab w:leader="none" w:pos="9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3514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lvl w:ilvl="1">
      <w:lvlJc w:val="left"/>
      <w:lvlText w:val="(%2)"/>
      <w:numFmt w:val="decimal"/>
      <w:start w:val="1"/>
    </w:lvl>
  </w:abstractNum>
  <w:abstractNum w:abstractNumId="4">
    <w:nsid w:val="579478FE"/>
    <w:multiLevelType w:val="hybridMultilevel"/>
    <w:lvl w:ilvl="0">
      <w:lvlJc w:val="left"/>
      <w:lvlText w:val="%1."/>
      <w:numFmt w:val="decimal"/>
      <w:start w:val="7"/>
    </w:lvl>
    <w:lvl w:ilvl="1">
      <w:lvlJc w:val="left"/>
      <w:lvlText w:val="%2"/>
      <w:numFmt w:val="decimal"/>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decimal"/>
      <w:start w:val="1"/>
    </w:lvl>
    <w:lvl w:ilvl="1">
      <w:lvlJc w:val="left"/>
      <w:lvlText w:val="(%2)"/>
      <w:numFmt w:val="decimal"/>
      <w:start w:val="1"/>
    </w:lvl>
  </w:abstractNum>
  <w:abstractNum w:abstractNumId="7">
    <w:nsid w:val="1BA026FA"/>
    <w:multiLevelType w:val="hybridMultilevel"/>
    <w:lvl w:ilvl="0">
      <w:lvlJc w:val="left"/>
      <w:lvlText w:val="%1."/>
      <w:numFmt w:val="decimal"/>
      <w:start w:val="8"/>
    </w:lvl>
    <w:lvl w:ilvl="1">
      <w:lvlJc w:val="left"/>
      <w:lvlText w:val="%2"/>
      <w:numFmt w:val="decimal"/>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1)"/>
      <w:numFmt w:val="decimal"/>
      <w:start w:val="3"/>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2"/>
    </w:lvl>
  </w:abstractNum>
  <w:abstractNum w:abstractNumId="27">
    <w:nsid w:val="10233C99"/>
    <w:multiLevelType w:val="hybridMultilevel"/>
    <w:lvl w:ilvl="0">
      <w:lvlJc w:val="left"/>
      <w:lvlText w:val="%1."/>
      <w:numFmt w:val="decimal"/>
      <w:start w:val="3"/>
    </w:lvl>
  </w:abstractNum>
  <w:abstractNum w:abstractNumId="28">
    <w:nsid w:val="3F6AB60F"/>
    <w:multiLevelType w:val="hybridMultilevel"/>
    <w:lvl w:ilvl="0">
      <w:lvlJc w:val="left"/>
      <w:lvlText w:val="(%1)"/>
      <w:numFmt w:val="lowerLetter"/>
      <w:start w:val="1"/>
    </w:lvl>
  </w:abstractNum>
  <w:abstractNum w:abstractNumId="29">
    <w:nsid w:val="61574095"/>
    <w:multiLevelType w:val="hybridMultilevel"/>
    <w:lvl w:ilvl="0">
      <w:lvlJc w:val="left"/>
      <w:lvlText w:val="%1."/>
      <w:numFmt w:val="decimal"/>
      <w:start w:val="4"/>
    </w:lvl>
  </w:abstractNum>
  <w:abstractNum w:abstractNumId="30">
    <w:nsid w:val="7E0C57B1"/>
    <w:multiLevelType w:val="hybridMultilevel"/>
    <w:lvl w:ilvl="0">
      <w:lvlJc w:val="left"/>
      <w:lvlText w:val="%1."/>
      <w:numFmt w:val="decimal"/>
      <w:start w:val="6"/>
    </w:lvl>
    <w:lvl w:ilvl="1">
      <w:lvlJc w:val="left"/>
      <w:lvlText w:val="(%2)"/>
      <w:numFmt w:val="lowerLetter"/>
      <w:start w:val="1"/>
    </w:lvl>
  </w:abstractNum>
  <w:abstractNum w:abstractNumId="31">
    <w:nsid w:val="77AE35EB"/>
    <w:multiLevelType w:val="hybridMultilevel"/>
    <w:lvl w:ilvl="0">
      <w:lvlJc w:val="left"/>
      <w:lvlText w:val="(%1)"/>
      <w:numFmt w:val="lowerLetter"/>
      <w:start w:val="5"/>
    </w:lvl>
  </w:abstractNum>
  <w:abstractNum w:abstractNumId="32">
    <w:nsid w:val="579BE4F1"/>
    <w:multiLevelType w:val="hybridMultilevel"/>
    <w:lvl w:ilvl="0">
      <w:lvlJc w:val="left"/>
      <w:lvlText w:val="%1."/>
      <w:numFmt w:val="decimal"/>
      <w:start w:val="7"/>
    </w:lvl>
    <w:lvl w:ilvl="1">
      <w:lvlJc w:val="left"/>
      <w:lvlText w:val="(%2)"/>
      <w:numFmt w:val="lowerLetter"/>
      <w:start w:val="1"/>
    </w:lvl>
  </w:abstractNum>
  <w:abstractNum w:abstractNumId="33">
    <w:nsid w:val="310C50B3"/>
    <w:multiLevelType w:val="hybridMultilevel"/>
    <w:lvl w:ilvl="0">
      <w:lvlJc w:val="left"/>
      <w:lvlText w:val="%1"/>
      <w:numFmt w:val="decimal"/>
      <w:start w:val="1"/>
    </w:lvl>
    <w:lvl w:ilvl="1">
      <w:lvlJc w:val="left"/>
      <w:lvlText w:val="(%2)"/>
      <w:numFmt w:val="lowerLetter"/>
      <w:start w:val="3"/>
    </w:lvl>
  </w:abstractNum>
  <w:abstractNum w:abstractNumId="34">
    <w:nsid w:val="5FF87E05"/>
    <w:multiLevelType w:val="hybridMultilevel"/>
    <w:lvl w:ilvl="0">
      <w:lvlJc w:val="left"/>
      <w:lvlText w:val="%1."/>
      <w:numFmt w:val="decimal"/>
      <w:start w:val="8"/>
    </w:lvl>
    <w:lvl w:ilvl="1">
      <w:lvlJc w:val="left"/>
      <w:lvlText w:val="%2"/>
      <w:numFmt w:val="lowerLetter"/>
      <w:start w:val="1"/>
    </w:lvl>
  </w:abstractNum>
  <w:abstractNum w:abstractNumId="35">
    <w:nsid w:val="2F305DEF"/>
    <w:multiLevelType w:val="hybridMultilevel"/>
    <w:lvl w:ilvl="0">
      <w:lvlJc w:val="left"/>
      <w:lvlText w:val="%1."/>
      <w:numFmt w:val="decimal"/>
      <w:start w:val="10"/>
    </w:lvl>
  </w:abstractNum>
  <w:abstractNum w:abstractNumId="36">
    <w:nsid w:val="25A70BF7"/>
    <w:multiLevelType w:val="hybridMultilevel"/>
    <w:lvl w:ilvl="0">
      <w:lvlJc w:val="left"/>
      <w:lvlText w:val="%1."/>
      <w:numFmt w:val="decimal"/>
      <w:start w:val="17"/>
    </w:lvl>
  </w:abstractNum>
  <w:abstractNum w:abstractNumId="37">
    <w:nsid w:val="1DBABF00"/>
    <w:multiLevelType w:val="hybridMultilevel"/>
    <w:lvl w:ilvl="0">
      <w:lvlJc w:val="left"/>
      <w:lvlText w:val="%1."/>
      <w:numFmt w:val="decimal"/>
      <w:start w:val="23"/>
    </w:lvl>
  </w:abstractNum>
  <w:abstractNum w:abstractNumId="38">
    <w:nsid w:val="4AD084E9"/>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39">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0">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41">
    <w:nsid w:val="5DB70AE5"/>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2">
    <w:nsid w:val="100F8FC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3">
    <w:nsid w:val="6590700B"/>
    <w:multiLevelType w:val="hybridMultilevel"/>
    <w:lvl w:ilvl="0">
      <w:lvlJc w:val="left"/>
      <w:lvlText w:val="(%1)"/>
      <w:numFmt w:val="lowerLetter"/>
      <w:start w:val="2"/>
    </w:lvl>
  </w:abstractNum>
  <w:abstractNum w:abstractNumId="44">
    <w:nsid w:val="15014ACB"/>
    <w:multiLevelType w:val="hybridMultilevel"/>
    <w:lvl w:ilvl="0">
      <w:lvlJc w:val="left"/>
      <w:lvlText w:val="%1"/>
      <w:numFmt w:val="decimal"/>
      <w:start w:val="1"/>
    </w:lvl>
    <w:lvl w:ilvl="1">
      <w:lvlJc w:val="left"/>
      <w:lvlText w:val="(%2)"/>
      <w:numFmt w:val="lowerLetter"/>
      <w:start w:val="13"/>
    </w:lvl>
  </w:abstractNum>
  <w:abstractNum w:abstractNumId="45">
    <w:nsid w:val="5F5E7FD0"/>
    <w:multiLevelType w:val="hybridMultilevel"/>
    <w:lvl w:ilvl="0">
      <w:lvlJc w:val="left"/>
      <w:lvlText w:val="%1."/>
      <w:numFmt w:val="decimal"/>
      <w:start w:val="4"/>
    </w:lvl>
    <w:lvl w:ilvl="1">
      <w:lvlJc w:val="left"/>
      <w:lvlText w:val="%2"/>
      <w:numFmt w:val="lowerLetter"/>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2"/>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lowerLetter"/>
      <w:start w:val="7"/>
    </w:lvl>
  </w:abstractNum>
  <w:abstractNum w:abstractNumId="50">
    <w:nsid w:val="168E121F"/>
    <w:multiLevelType w:val="hybridMultilevel"/>
    <w:lvl w:ilvl="0">
      <w:lvlJc w:val="left"/>
      <w:lvlText w:val="%1."/>
      <w:numFmt w:val="decimal"/>
      <w:start w:val="3"/>
    </w:lvl>
  </w:abstractNum>
  <w:abstractNum w:abstractNumId="51">
    <w:nsid w:val="1EBA5D23"/>
    <w:multiLevelType w:val="hybridMultilevel"/>
    <w:lvl w:ilvl="0">
      <w:lvlJc w:val="left"/>
      <w:lvlText w:val="%1."/>
      <w:numFmt w:val="decimal"/>
      <w:start w:val="5"/>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4"/>
    </w:lvl>
  </w:abstractNum>
  <w:abstractNum w:abstractNumId="54">
    <w:nsid w:val="540A471C"/>
    <w:multiLevelType w:val="hybridMultilevel"/>
    <w:lvl w:ilvl="0">
      <w:lvlJc w:val="left"/>
      <w:lvlText w:val="%1."/>
      <w:numFmt w:val="decimal"/>
      <w:start w:val="7"/>
    </w:lvl>
  </w:abstractNum>
  <w:abstractNum w:abstractNumId="55">
    <w:nsid w:val="7BD3EE7B"/>
    <w:multiLevelType w:val="hybridMultilevel"/>
    <w:lvl w:ilvl="0">
      <w:lvlJc w:val="left"/>
      <w:lvlText w:val="%1"/>
      <w:numFmt w:val="lowerLetter"/>
      <w:start w:val="1"/>
    </w:lvl>
    <w:lvl w:ilvl="1">
      <w:lvlJc w:val="left"/>
      <w:lvlText w:val="%2."/>
      <w:numFmt w:val="decimal"/>
      <w:start w:val="10"/>
    </w:lvl>
  </w:abstractNum>
  <w:abstractNum w:abstractNumId="56">
    <w:nsid w:val="51D9C564"/>
    <w:multiLevelType w:val="hybridMultilevel"/>
    <w:lvl w:ilvl="0">
      <w:lvlJc w:val="left"/>
      <w:lvlText w:val="(%1)"/>
      <w:numFmt w:val="lowerLetter"/>
      <w:start w:val="1"/>
    </w:lvl>
    <w:lvl w:ilvl="1">
      <w:lvlJc w:val="left"/>
      <w:lvlText w:val="%2"/>
      <w:numFmt w:val="decimal"/>
      <w:start w:val="1"/>
    </w:lvl>
  </w:abstractNum>
  <w:abstractNum w:abstractNumId="57">
    <w:nsid w:val="613EFDC5"/>
    <w:multiLevelType w:val="hybridMultilevel"/>
    <w:lvl w:ilvl="0">
      <w:lvlJc w:val="left"/>
      <w:lvlText w:val="%1."/>
      <w:numFmt w:val="decimal"/>
      <w:start w:val="16"/>
    </w:lvl>
  </w:abstractNum>
  <w:abstractNum w:abstractNumId="58">
    <w:nsid w:val="BF72B14"/>
    <w:multiLevelType w:val="hybridMultilevel"/>
    <w:lvl w:ilvl="0">
      <w:lvlJc w:val="left"/>
      <w:lvlText w:val="%1."/>
      <w:numFmt w:val="decimal"/>
      <w:start w:val="23"/>
    </w:lvl>
  </w:abstractNum>
  <w:abstractNum w:abstractNumId="59">
    <w:nsid w:val="11447B7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1">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62">
    <w:nsid w:val="8F2B15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63">
    <w:nsid w:val="1A32234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64">
    <w:nsid w:val="3B0FD379"/>
    <w:multiLevelType w:val="hybridMultilevel"/>
    <w:lvl w:ilvl="0">
      <w:lvlJc w:val="left"/>
      <w:lvlText w:val="%1"/>
      <w:numFmt w:val="decimal"/>
      <w:start w:val="1"/>
    </w:lvl>
    <w:lvl w:ilvl="1">
      <w:lvlJc w:val="left"/>
      <w:lvlText w:val="(%2)"/>
      <w:numFmt w:val="lowerLetter"/>
      <w:start w:val="8"/>
    </w:lvl>
  </w:abstractNum>
  <w:abstractNum w:abstractNumId="65">
    <w:nsid w:val="68EB2F63"/>
    <w:multiLevelType w:val="hybridMultilevel"/>
    <w:lvl w:ilvl="0">
      <w:lvlJc w:val="left"/>
      <w:lvlText w:val="%1."/>
      <w:numFmt w:val="decimal"/>
      <w:start w:val="3"/>
    </w:lvl>
    <w:lvl w:ilvl="1">
      <w:lvlJc w:val="left"/>
      <w:lvlText w:val="%2"/>
      <w:numFmt w:val="lowerLetter"/>
      <w:start w:val="1"/>
    </w:lvl>
  </w:abstractNum>
  <w:abstractNum w:abstractNumId="66">
    <w:nsid w:val="4962813B"/>
    <w:multiLevelType w:val="hybridMultilevel"/>
    <w:lvl w:ilvl="0">
      <w:lvlJc w:val="left"/>
      <w:lvlText w:val="(%1)"/>
      <w:numFmt w:val="lowerRoman"/>
      <w:start w:val="2"/>
    </w:lvl>
  </w:abstractNum>
  <w:abstractNum w:abstractNumId="67">
    <w:nsid w:val="60B6DF70"/>
    <w:multiLevelType w:val="hybridMultilevel"/>
    <w:lvl w:ilvl="0">
      <w:lvlJc w:val="left"/>
      <w:lvlText w:val="%1"/>
      <w:numFmt w:val="lowerRoman"/>
      <w:start w:val="1"/>
    </w:lvl>
    <w:lvl w:ilvl="1">
      <w:lvlJc w:val="left"/>
      <w:lvlText w:val="%2."/>
      <w:numFmt w:val="decimal"/>
      <w:start w:val="1"/>
    </w:lvl>
  </w:abstractNum>
  <w:abstractNum w:abstractNumId="68">
    <w:nsid w:val="6A5EE64"/>
    <w:multiLevelType w:val="hybridMultilevel"/>
    <w:lvl w:ilvl="0">
      <w:lvlJc w:val="left"/>
      <w:lvlText w:val="(%1)"/>
      <w:numFmt w:val="lowerRoman"/>
      <w:start w:val="2"/>
    </w:lvl>
    <w:lvl w:ilvl="1">
      <w:lvlJc w:val="left"/>
      <w:lvlText w:val="%2"/>
      <w:numFmt w:val="decimal"/>
      <w:start w:val="1"/>
    </w:lvl>
  </w:abstractNum>
  <w:abstractNum w:abstractNumId="69">
    <w:nsid w:val="14330624"/>
    <w:multiLevelType w:val="hybridMultilevel"/>
    <w:lvl w:ilvl="0">
      <w:lvlJc w:val="left"/>
      <w:lvlText w:val="%1."/>
      <w:numFmt w:val="decimal"/>
      <w:start w:val="4"/>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decimal"/>
      <w:start w:val="2"/>
    </w:lvl>
  </w:abstractNum>
  <w:abstractNum w:abstractNumId="72">
    <w:nsid w:val="71EA1109"/>
    <w:multiLevelType w:val="hybridMultilevel"/>
    <w:lvl w:ilvl="0">
      <w:lvlJc w:val="left"/>
      <w:lvlText w:val="%1."/>
      <w:numFmt w:val="decimal"/>
      <w:start w:val="3"/>
    </w:lvl>
  </w:abstractNum>
  <w:abstractNum w:abstractNumId="73">
    <w:nsid w:val="100F59DC"/>
    <w:multiLevelType w:val="hybridMultilevel"/>
    <w:lvl w:ilvl="0">
      <w:lvlJc w:val="left"/>
      <w:lvlText w:val="%1."/>
      <w:numFmt w:val="decimal"/>
      <w:start w:val="4"/>
    </w:lvl>
  </w:abstractNum>
  <w:abstractNum w:abstractNumId="74">
    <w:nsid w:val="7FB7E0AA"/>
    <w:multiLevelType w:val="hybridMultilevel"/>
    <w:lvl w:ilvl="0">
      <w:lvlJc w:val="left"/>
      <w:lvlText w:val="%1."/>
      <w:numFmt w:val="lowerLetter"/>
      <w:start w:val="1"/>
    </w:lvl>
    <w:lvl w:ilvl="1">
      <w:lvlJc w:val="left"/>
      <w:lvlText w:val="%2."/>
      <w:numFmt w:val="lowerRoman"/>
      <w:start w:val="1"/>
    </w:lvl>
  </w:abstractNum>
  <w:abstractNum w:abstractNumId="75">
    <w:nsid w:val="6EB5BD4"/>
    <w:multiLevelType w:val="hybridMultilevel"/>
    <w:lvl w:ilvl="0">
      <w:lvlJc w:val="left"/>
      <w:lvlText w:val="%1."/>
      <w:numFmt w:val="lowerRoman"/>
      <w:start w:val="3"/>
    </w:lvl>
  </w:abstractNum>
  <w:abstractNum w:abstractNumId="76">
    <w:nsid w:val="6F6DD9AC"/>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abstractNum>
  <w:abstractNum w:abstractNumId="77">
    <w:nsid w:val="94211F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8">
    <w:nsid w:val="885E1B"/>
    <w:multiLevelType w:val="hybridMultilevel"/>
    <w:lvl w:ilvl="0">
      <w:lvlJc w:val="left"/>
      <w:lvlText w:val="%1"/>
      <w:numFmt w:val="lowerLetter"/>
      <w:start w:val="1"/>
    </w:lvl>
    <w:lvl w:ilvl="1">
      <w:lvlJc w:val="left"/>
      <w:lvlText w:val="%2."/>
      <w:numFmt w:val="lowerLetter"/>
      <w:start w:val="35"/>
    </w:lvl>
  </w:abstractNum>
  <w:abstractNum w:abstractNumId="79">
    <w:nsid w:val="76272110"/>
    <w:multiLevelType w:val="hybridMultilevel"/>
    <w:lvl w:ilvl="0">
      <w:lvlJc w:val="left"/>
      <w:lvlText w:val="%1."/>
      <w:numFmt w:val="lowerLetter"/>
      <w:start w:val="3"/>
    </w:lvl>
    <w:lvl w:ilvl="1">
      <w:lvlJc w:val="left"/>
      <w:lvlText w:val="%2."/>
      <w:numFmt w:val="lowerLetter"/>
      <w:start w:val="9"/>
    </w:lvl>
  </w:abstractNum>
  <w:abstractNum w:abstractNumId="80">
    <w:nsid w:val="4C04A8AF"/>
    <w:multiLevelType w:val="hybridMultilevel"/>
    <w:lvl w:ilvl="0">
      <w:lvlJc w:val="left"/>
      <w:lvlText w:val="%1."/>
      <w:numFmt w:val="lowerRoman"/>
      <w:start w:val="2"/>
    </w:lvl>
  </w:abstractNum>
  <w:abstractNum w:abstractNumId="81">
    <w:nsid w:val="1716703B"/>
    <w:multiLevelType w:val="hybridMultilevel"/>
    <w:lvl w:ilvl="0">
      <w:lvlJc w:val="left"/>
      <w:lvlText w:val="%1."/>
      <w:numFmt w:val="lowerRoman"/>
      <w:start w:val="3"/>
    </w:lvl>
  </w:abstractNum>
  <w:abstractNum w:abstractNumId="82">
    <w:nsid w:val="14E17E3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83">
    <w:nsid w:val="3222E7CD"/>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84">
    <w:nsid w:val="74DE0EE3"/>
    <w:multiLevelType w:val="hybridMultilevel"/>
    <w:lvl w:ilvl="0">
      <w:lvlJc w:val="left"/>
      <w:lvlText w:val="%1."/>
      <w:numFmt w:val="lowerRoman"/>
      <w:start w:val="3"/>
    </w:lvl>
  </w:abstractNum>
  <w:abstractNum w:abstractNumId="85">
    <w:nsid w:val="68EBC550"/>
    <w:multiLevelType w:val="hybridMultilevel"/>
    <w:lvl w:ilvl="0">
      <w:lvlJc w:val="left"/>
      <w:lvlText w:val="%1."/>
      <w:numFmt w:val="lowerRoman"/>
      <w:start w:val="4"/>
    </w:lvl>
    <w:lvl w:ilvl="1">
      <w:lvlJc w:val="left"/>
      <w:lvlText w:val="%2."/>
      <w:numFmt w:val="lowerRoman"/>
      <w:start w:val="6"/>
    </w:lvl>
  </w:abstractNum>
  <w:abstractNum w:abstractNumId="86">
    <w:nsid w:val="2DF6D648"/>
    <w:multiLevelType w:val="hybridMultilevel"/>
    <w:lvl w:ilvl="0">
      <w:lvlJc w:val="left"/>
      <w:lvlText w:val="%1."/>
      <w:numFmt w:val="lowerRoman"/>
      <w:start w:val="11"/>
    </w:lvl>
  </w:abstractNum>
  <w:abstractNum w:abstractNumId="87">
    <w:nsid w:val="46B7D447"/>
    <w:multiLevelType w:val="hybridMultilevel"/>
    <w:lvl w:ilvl="0">
      <w:lvlJc w:val="left"/>
      <w:lvlText w:val="%1."/>
      <w:numFmt w:val="lowerRoman"/>
      <w:start w:val="14"/>
    </w:lvl>
    <w:lvl w:ilvl="1">
      <w:lvlJc w:val="left"/>
      <w:lvlText w:val="%2."/>
      <w:numFmt w:val="lowerRoman"/>
      <w:start w:val="16"/>
    </w:lvl>
  </w:abstractNum>
  <w:abstractNum w:abstractNumId="88">
    <w:nsid w:val="4A2AC31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7"/>
    </w:lvl>
  </w:abstractNum>
  <w:abstractNum w:abstractNumId="89">
    <w:nsid w:val="39EE015C"/>
    <w:multiLevelType w:val="hybridMultilevel"/>
    <w:lvl w:ilvl="0">
      <w:lvlJc w:val="left"/>
      <w:lvlText w:val="%1."/>
      <w:numFmt w:val="lowerLetter"/>
      <w:start w:val="8"/>
    </w:lvl>
    <w:lvl w:ilvl="1">
      <w:lvlJc w:val="left"/>
      <w:lvlText w:val="%2."/>
      <w:numFmt w:val="lowerRoman"/>
      <w:start w:val="3"/>
    </w:lvl>
    <w:lvl w:ilvl="2">
      <w:lvlJc w:val="left"/>
      <w:lvlText w:val="%3."/>
      <w:numFmt w:val="lowerRoman"/>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2020-07-30T18:31:03Z</dcterms:created>
  <dcterms:modified xsi:type="dcterms:W3CDTF">2020-07-30T18:31:03Z</dcterms:modified>
</cp:coreProperties>
</file>