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523"/>
        <w:gridCol w:w="1479"/>
        <w:gridCol w:w="1479"/>
        <w:gridCol w:w="1479"/>
        <w:gridCol w:w="1479"/>
        <w:gridCol w:w="2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000-29472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AMKOR TECHNOLOGY,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8226"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109"/>
        <w:gridCol w:w="109"/>
        <w:gridCol w:w="109"/>
        <w:gridCol w:w="109"/>
        <w:gridCol w:w="109"/>
        <w:gridCol w:w="109"/>
        <w:gridCol w:w="854"/>
        <w:gridCol w:w="854"/>
        <w:gridCol w:w="1217"/>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23-1722724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2045 East Innovation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Tempe, AZ 85284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821-5000 </w:t>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AMKR</w:t>
            </w:r>
          </w:p>
        </w:tc>
        <w:tc>
          <w:tcPr>
            <w:tcW w:w="4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41"/>
        <w:gridCol w:w="441"/>
        <w:gridCol w:w="443"/>
        <w:gridCol w:w="109"/>
        <w:gridCol w:w="109"/>
        <w:gridCol w:w="109"/>
        <w:gridCol w:w="571"/>
        <w:gridCol w:w="571"/>
        <w:gridCol w:w="573"/>
        <w:gridCol w:w="109"/>
        <w:gridCol w:w="109"/>
        <w:gridCol w:w="109"/>
        <w:gridCol w:w="637"/>
        <w:gridCol w:w="637"/>
        <w:gridCol w:w="639"/>
        <w:gridCol w:w="109"/>
        <w:gridCol w:w="109"/>
        <w:gridCol w:w="109"/>
        <w:gridCol w:w="637"/>
        <w:gridCol w:w="637"/>
        <w:gridCol w:w="639"/>
        <w:gridCol w:w="109"/>
        <w:gridCol w:w="109"/>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as of July 21, 2026 was 248,452,472.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2"/>
        <w:gridCol w:w="245"/>
        <w:gridCol w:w="245"/>
        <w:gridCol w:w="2764"/>
        <w:gridCol w:w="2740"/>
        <w:gridCol w:w="2749"/>
        <w:gridCol w:w="335"/>
        <w:gridCol w:w="335"/>
        <w:gridCol w:w="500"/>
      </w:tblGrid>
      <w:tr>
        <w:trPr/>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1877cf987649ea8da3325ace7e4c8e_10">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
              <w:r>
                <w:rPr>
                  <w:rStyle w:val="InternetLink"/>
                  <w:rFonts w:ascii="Times New Roman;serif" w:hAnsi="Times New Roman;serif"/>
                  <w:b w:val="false"/>
                  <w:strike w:val="false"/>
                  <w:dstrike w:val="false"/>
                  <w:color w:val="000000"/>
                  <w:sz w:val="20"/>
                  <w:u w:val="none"/>
                  <w:effect w:val="none"/>
                </w:rPr>
                <w:t>Item 1.</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3">
              <w:r>
                <w:rPr>
                  <w:rStyle w:val="InternetLink"/>
                  <w:rFonts w:ascii="Times New Roman;serif" w:hAnsi="Times New Roman;serif"/>
                  <w:b w:val="false"/>
                  <w:strike w:val="false"/>
                  <w:dstrike w:val="false"/>
                  <w:color w:val="000000"/>
                  <w:sz w:val="20"/>
                  <w:u w:val="none"/>
                  <w:effect w:val="none"/>
                </w:rPr>
                <w:t>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6">
              <w:r>
                <w:rPr>
                  <w:rStyle w:val="InternetLink"/>
                  <w:rFonts w:ascii="Times New Roman;serif" w:hAnsi="Times New Roman;serif"/>
                  <w:b w:val="false"/>
                  <w:strike w:val="false"/>
                  <w:dstrike w:val="false"/>
                  <w:color w:val="000000"/>
                  <w:sz w:val="20"/>
                  <w:u w:val="none"/>
                  <w:effect w:val="none"/>
                </w:rPr>
                <w:t xml:space="preserve">Consolidated Statements of Income - </w:t>
              </w:r>
            </w:hyperlink>
            <w:r>
              <w:rPr>
                <w:rFonts w:ascii="Times New Roman;serif" w:hAnsi="Times New Roman;serif"/>
                <w:b w:val="false"/>
                <w:color w:val="000000"/>
                <w:sz w:val="20"/>
              </w:rPr>
              <w:t>Three and Six Months Ended June 30, 2026</w:t>
            </w:r>
            <w:hyperlink w:anchor="ia01877cf987649ea8da3325ace7e4c8e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6">
              <w:r>
                <w:rPr>
                  <w:rStyle w:val="InternetLink"/>
                  <w:rFonts w:ascii="Times New Roman;serif" w:hAnsi="Times New Roman;serif"/>
                  <w:b w:val="false"/>
                  <w:strike w:val="false"/>
                  <w:dstrike w:val="false"/>
                  <w:color w:val="000000"/>
                  <w:sz w:val="20"/>
                  <w:u w:val="none"/>
                  <w:effect w:val="none"/>
                </w:rPr>
                <w:t>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1877cf987649ea8da3325ace7e4c8e_19">
              <w:r>
                <w:rPr>
                  <w:rStyle w:val="InternetLink"/>
                  <w:rFonts w:ascii="Times New Roman;serif" w:hAnsi="Times New Roman;serif"/>
                  <w:b w:val="false"/>
                  <w:strike w:val="false"/>
                  <w:dstrike w:val="false"/>
                  <w:color w:val="000000"/>
                  <w:sz w:val="20"/>
                  <w:u w:val="none"/>
                  <w:effect w:val="none"/>
                </w:rPr>
                <w:t xml:space="preserve">Consolidated Statements of Comprehensive Income - </w:t>
              </w:r>
            </w:hyperlink>
            <w:r>
              <w:rPr>
                <w:rFonts w:ascii="Times New Roman;serif" w:hAnsi="Times New Roman;serif"/>
                <w:b w:val="false"/>
                <w:color w:val="000000"/>
                <w:sz w:val="20"/>
              </w:rPr>
              <w:t>Three and Six Months Ended June 30, 2026</w:t>
            </w:r>
            <w:hyperlink w:anchor="ia01877cf987649ea8da3325ace7e4c8e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9">
              <w:r>
                <w:rPr>
                  <w:rStyle w:val="InternetLink"/>
                  <w:rFonts w:ascii="Times New Roman;serif" w:hAnsi="Times New Roman;serif"/>
                  <w:b w:val="false"/>
                  <w:strike w:val="false"/>
                  <w:dstrike w:val="false"/>
                  <w:color w:val="000000"/>
                  <w:sz w:val="20"/>
                  <w:u w:val="none"/>
                  <w:effect w:val="none"/>
                </w:rPr>
                <w:t>4</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22">
              <w:r>
                <w:rPr>
                  <w:rStyle w:val="InternetLink"/>
                  <w:rFonts w:ascii="Times New Roman;serif" w:hAnsi="Times New Roman;serif"/>
                  <w:b w:val="false"/>
                  <w:strike w:val="false"/>
                  <w:dstrike w:val="false"/>
                  <w:color w:val="000000"/>
                  <w:sz w:val="20"/>
                  <w:u w:val="none"/>
                  <w:effect w:val="none"/>
                </w:rPr>
                <w:t xml:space="preserve">Consolidated Balance Sheets - </w:t>
              </w:r>
            </w:hyperlink>
            <w:r>
              <w:rPr>
                <w:rFonts w:ascii="Times New Roman;serif" w:hAnsi="Times New Roman;serif"/>
                <w:b w:val="false"/>
                <w:color w:val="000000"/>
                <w:sz w:val="20"/>
              </w:rPr>
              <w:t>June 30, 2026</w:t>
            </w:r>
            <w:hyperlink w:anchor="ia01877cf987649ea8da3325ace7e4c8e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22">
              <w:r>
                <w:rPr>
                  <w:rStyle w:val="InternetLink"/>
                  <w:rFonts w:ascii="Times New Roman;serif" w:hAnsi="Times New Roman;serif"/>
                  <w:b w:val="false"/>
                  <w:strike w:val="false"/>
                  <w:dstrike w:val="false"/>
                  <w:color w:val="000000"/>
                  <w:sz w:val="20"/>
                  <w:u w:val="none"/>
                  <w:effect w:val="none"/>
                </w:rPr>
                <w:t>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1877cf987649ea8da3325ace7e4c8e_25">
              <w:r>
                <w:rPr>
                  <w:rStyle w:val="InternetLink"/>
                  <w:rFonts w:ascii="Times New Roman;serif" w:hAnsi="Times New Roman;serif"/>
                  <w:b w:val="false"/>
                  <w:strike w:val="false"/>
                  <w:dstrike w:val="false"/>
                  <w:color w:val="000000"/>
                  <w:sz w:val="20"/>
                  <w:u w:val="none"/>
                  <w:effect w:val="none"/>
                </w:rPr>
                <w:t xml:space="preserve">Consolidated Statements of Stockholders’ Equity - </w:t>
              </w:r>
            </w:hyperlink>
            <w:r>
              <w:rPr>
                <w:rFonts w:ascii="Times New Roman;serif" w:hAnsi="Times New Roman;serif"/>
                <w:b w:val="false"/>
                <w:color w:val="000000"/>
                <w:sz w:val="20"/>
              </w:rPr>
              <w:t>Three and Six Months Ended June 30, 2026</w:t>
            </w:r>
            <w:hyperlink w:anchor="ia01877cf987649ea8da3325ace7e4c8e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25">
              <w:r>
                <w:rPr>
                  <w:rStyle w:val="InternetLink"/>
                  <w:rFonts w:ascii="Times New Roman;serif" w:hAnsi="Times New Roman;serif"/>
                  <w:b w:val="false"/>
                  <w:strike w:val="false"/>
                  <w:dstrike w:val="false"/>
                  <w:color w:val="000000"/>
                  <w:sz w:val="20"/>
                  <w:u w:val="none"/>
                  <w:effect w:val="none"/>
                </w:rPr>
                <w:t>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01877cf987649ea8da3325ace7e4c8e_28">
              <w:r>
                <w:rPr>
                  <w:rStyle w:val="InternetLink"/>
                  <w:rFonts w:ascii="Times New Roman;serif" w:hAnsi="Times New Roman;serif"/>
                  <w:b w:val="false"/>
                  <w:strike w:val="false"/>
                  <w:dstrike w:val="false"/>
                  <w:color w:val="000000"/>
                  <w:sz w:val="20"/>
                  <w:u w:val="none"/>
                  <w:effect w:val="none"/>
                </w:rPr>
                <w:t xml:space="preserve">Condensed Consolidated Statements of Cash Flows - </w:t>
              </w:r>
            </w:hyperlink>
            <w:r>
              <w:rPr>
                <w:rFonts w:ascii="Times New Roman;serif" w:hAnsi="Times New Roman;serif"/>
                <w:b w:val="false"/>
                <w:color w:val="000000"/>
                <w:sz w:val="20"/>
              </w:rPr>
              <w:t>Six Months Ended June 30, 2026</w:t>
            </w:r>
            <w:hyperlink w:anchor="ia01877cf987649ea8da3325ace7e4c8e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28">
              <w:r>
                <w:rPr>
                  <w:rStyle w:val="InternetLink"/>
                  <w:rFonts w:ascii="Times New Roman;serif" w:hAnsi="Times New Roman;serif"/>
                  <w:b w:val="false"/>
                  <w:strike w:val="false"/>
                  <w:dstrike w:val="false"/>
                  <w:color w:val="000000"/>
                  <w:sz w:val="20"/>
                  <w:u w:val="none"/>
                  <w:effect w:val="none"/>
                </w:rPr>
                <w:t>8</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31">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31">
              <w:r>
                <w:rPr>
                  <w:rStyle w:val="InternetLink"/>
                  <w:rFonts w:ascii="Times New Roman;serif" w:hAnsi="Times New Roman;serif"/>
                  <w:b w:val="false"/>
                  <w:strike w:val="false"/>
                  <w:dstrike w:val="false"/>
                  <w:color w:val="000000"/>
                  <w:sz w:val="20"/>
                  <w:u w:val="none"/>
                  <w:effect w:val="none"/>
                </w:rPr>
                <w:t>9</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91">
              <w:r>
                <w:rPr>
                  <w:rStyle w:val="InternetLink"/>
                  <w:rFonts w:ascii="Times New Roman;serif" w:hAnsi="Times New Roman;serif"/>
                  <w:b w:val="false"/>
                  <w:strike w:val="false"/>
                  <w:dstrike w:val="false"/>
                  <w:color w:val="000000"/>
                  <w:sz w:val="20"/>
                  <w:u w:val="none"/>
                  <w:effect w:val="none"/>
                </w:rPr>
                <w:t>Item 2.</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9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91">
              <w:r>
                <w:rPr>
                  <w:rStyle w:val="InternetLink"/>
                  <w:rFonts w:ascii="Times New Roman;serif" w:hAnsi="Times New Roman;serif"/>
                  <w:b w:val="false"/>
                  <w:strike w:val="false"/>
                  <w:dstrike w:val="false"/>
                  <w:color w:val="000000"/>
                  <w:sz w:val="20"/>
                  <w:u w:val="none"/>
                  <w:effect w:val="none"/>
                </w:rPr>
                <w:t>25</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09">
              <w:r>
                <w:rPr>
                  <w:rStyle w:val="InternetLink"/>
                  <w:rFonts w:ascii="Times New Roman;serif" w:hAnsi="Times New Roman;serif"/>
                  <w:b w:val="false"/>
                  <w:strike w:val="false"/>
                  <w:dstrike w:val="false"/>
                  <w:color w:val="000000"/>
                  <w:sz w:val="20"/>
                  <w:u w:val="none"/>
                  <w:effect w:val="none"/>
                </w:rPr>
                <w:t>Item 3.</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0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09">
              <w:r>
                <w:rPr>
                  <w:rStyle w:val="InternetLink"/>
                  <w:rFonts w:ascii="Times New Roman;serif" w:hAnsi="Times New Roman;serif"/>
                  <w:b w:val="false"/>
                  <w:strike w:val="false"/>
                  <w:dstrike w:val="false"/>
                  <w:color w:val="000000"/>
                  <w:sz w:val="20"/>
                  <w:u w:val="none"/>
                  <w:effect w:val="none"/>
                </w:rPr>
                <w:t>33</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12">
              <w:r>
                <w:rPr>
                  <w:rStyle w:val="InternetLink"/>
                  <w:rFonts w:ascii="Times New Roman;serif" w:hAnsi="Times New Roman;serif"/>
                  <w:b w:val="false"/>
                  <w:strike w:val="false"/>
                  <w:dstrike w:val="false"/>
                  <w:color w:val="000000"/>
                  <w:sz w:val="20"/>
                  <w:u w:val="none"/>
                  <w:effect w:val="none"/>
                </w:rPr>
                <w:t>Item 4.</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12">
              <w:r>
                <w:rPr>
                  <w:rStyle w:val="InternetLink"/>
                  <w:rFonts w:ascii="Times New Roman;serif" w:hAnsi="Times New Roman;serif"/>
                  <w:b w:val="false"/>
                  <w:strike w:val="false"/>
                  <w:dstrike w:val="false"/>
                  <w:color w:val="000000"/>
                  <w:sz w:val="20"/>
                  <w:u w:val="none"/>
                  <w:effect w:val="none"/>
                </w:rPr>
                <w:t>Controls and Procedures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12">
              <w:r>
                <w:rPr>
                  <w:rStyle w:val="InternetLink"/>
                  <w:rFonts w:ascii="Times New Roman;serif" w:hAnsi="Times New Roman;serif"/>
                  <w:b w:val="false"/>
                  <w:strike w:val="false"/>
                  <w:dstrike w:val="false"/>
                  <w:color w:val="000000"/>
                  <w:sz w:val="20"/>
                  <w:u w:val="none"/>
                  <w:effect w:val="none"/>
                </w:rPr>
                <w:t>34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a01877cf987649ea8da3325ace7e4c8e_115">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18">
              <w:r>
                <w:rPr>
                  <w:rStyle w:val="InternetLink"/>
                  <w:rFonts w:ascii="Times New Roman;serif" w:hAnsi="Times New Roman;serif"/>
                  <w:b w:val="false"/>
                  <w:strike w:val="false"/>
                  <w:dstrike w:val="false"/>
                  <w:color w:val="000000"/>
                  <w:sz w:val="20"/>
                  <w:u w:val="none"/>
                  <w:effect w:val="none"/>
                </w:rPr>
                <w:t>Item 1.</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18">
              <w:r>
                <w:rPr>
                  <w:rStyle w:val="InternetLink"/>
                  <w:rFonts w:ascii="Times New Roman;serif" w:hAnsi="Times New Roman;serif"/>
                  <w:b w:val="false"/>
                  <w:strike w:val="false"/>
                  <w:dstrike w:val="false"/>
                  <w:color w:val="000000"/>
                  <w:sz w:val="20"/>
                  <w:u w:val="none"/>
                  <w:effect w:val="none"/>
                </w:rPr>
                <w:t>Legal Proceedings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18">
              <w:r>
                <w:rPr>
                  <w:rStyle w:val="InternetLink"/>
                  <w:rFonts w:ascii="Times New Roman;serif" w:hAnsi="Times New Roman;serif"/>
                  <w:b w:val="false"/>
                  <w:strike w:val="false"/>
                  <w:dstrike w:val="false"/>
                  <w:color w:val="000000"/>
                  <w:sz w:val="20"/>
                  <w:u w:val="none"/>
                  <w:effect w:val="none"/>
                </w:rPr>
                <w:t>36</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1">
              <w:r>
                <w:rPr>
                  <w:rStyle w:val="InternetLink"/>
                  <w:rFonts w:ascii="Times New Roman;serif" w:hAnsi="Times New Roman;serif"/>
                  <w:b w:val="false"/>
                  <w:strike w:val="false"/>
                  <w:dstrike w:val="false"/>
                  <w:color w:val="000000"/>
                  <w:sz w:val="20"/>
                  <w:u w:val="none"/>
                  <w:effect w:val="none"/>
                </w:rPr>
                <w:t>Item 1A.</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1">
              <w:r>
                <w:rPr>
                  <w:rStyle w:val="InternetLink"/>
                  <w:rFonts w:ascii="Times New Roman;serif" w:hAnsi="Times New Roman;serif"/>
                  <w:b w:val="false"/>
                  <w:strike w:val="false"/>
                  <w:dstrike w:val="false"/>
                  <w:color w:val="000000"/>
                  <w:sz w:val="20"/>
                  <w:u w:val="none"/>
                  <w:effect w:val="none"/>
                </w:rPr>
                <w:t>Risk Factors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21">
              <w:r>
                <w:rPr>
                  <w:rStyle w:val="InternetLink"/>
                  <w:rFonts w:ascii="Times New Roman;serif" w:hAnsi="Times New Roman;serif"/>
                  <w:b w:val="false"/>
                  <w:strike w:val="false"/>
                  <w:dstrike w:val="false"/>
                  <w:color w:val="000000"/>
                  <w:sz w:val="20"/>
                  <w:u w:val="none"/>
                  <w:effect w:val="none"/>
                </w:rPr>
                <w:t>36</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4">
              <w:r>
                <w:rPr>
                  <w:rStyle w:val="InternetLink"/>
                  <w:rFonts w:ascii="Times New Roman;serif" w:hAnsi="Times New Roman;serif"/>
                  <w:b w:val="false"/>
                  <w:strike w:val="false"/>
                  <w:dstrike w:val="false"/>
                  <w:color w:val="000000"/>
                  <w:sz w:val="20"/>
                  <w:u w:val="none"/>
                  <w:effect w:val="none"/>
                </w:rPr>
                <w:t>Item 2.</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24">
              <w:r>
                <w:rPr>
                  <w:rStyle w:val="InternetLink"/>
                  <w:rFonts w:ascii="Times New Roman;serif" w:hAnsi="Times New Roman;serif"/>
                  <w:b w:val="false"/>
                  <w:strike w:val="false"/>
                  <w:dstrike w:val="false"/>
                  <w:color w:val="000000"/>
                  <w:sz w:val="20"/>
                  <w:u w:val="none"/>
                  <w:effect w:val="none"/>
                </w:rPr>
                <w:t>57</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7">
              <w:r>
                <w:rPr>
                  <w:rStyle w:val="InternetLink"/>
                  <w:rFonts w:ascii="Times New Roman;serif" w:hAnsi="Times New Roman;serif"/>
                  <w:b w:val="false"/>
                  <w:strike w:val="false"/>
                  <w:dstrike w:val="false"/>
                  <w:color w:val="000000"/>
                  <w:sz w:val="20"/>
                  <w:u w:val="none"/>
                  <w:effect w:val="none"/>
                </w:rPr>
                <w:t>Item 3.</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2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27">
              <w:r>
                <w:rPr>
                  <w:rStyle w:val="InternetLink"/>
                  <w:rFonts w:ascii="Times New Roman;serif" w:hAnsi="Times New Roman;serif"/>
                  <w:b w:val="false"/>
                  <w:strike w:val="false"/>
                  <w:dstrike w:val="false"/>
                  <w:color w:val="000000"/>
                  <w:sz w:val="20"/>
                  <w:u w:val="none"/>
                  <w:effect w:val="none"/>
                </w:rPr>
                <w:t>57</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0">
              <w:r>
                <w:rPr>
                  <w:rStyle w:val="InternetLink"/>
                  <w:rFonts w:ascii="Times New Roman;serif" w:hAnsi="Times New Roman;serif"/>
                  <w:b w:val="false"/>
                  <w:strike w:val="false"/>
                  <w:dstrike w:val="false"/>
                  <w:color w:val="000000"/>
                  <w:sz w:val="20"/>
                  <w:u w:val="none"/>
                  <w:effect w:val="none"/>
                </w:rPr>
                <w:t>Item 4.</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0">
              <w:r>
                <w:rPr>
                  <w:rStyle w:val="InternetLink"/>
                  <w:rFonts w:ascii="Times New Roman;serif" w:hAnsi="Times New Roman;serif"/>
                  <w:b w:val="false"/>
                  <w:strike w:val="false"/>
                  <w:dstrike w:val="false"/>
                  <w:color w:val="000000"/>
                  <w:sz w:val="20"/>
                  <w:u w:val="none"/>
                  <w:effect w:val="none"/>
                </w:rPr>
                <w:t>Mine Safety Disclosures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30">
              <w:r>
                <w:rPr>
                  <w:rStyle w:val="InternetLink"/>
                  <w:rFonts w:ascii="Times New Roman;serif" w:hAnsi="Times New Roman;serif"/>
                  <w:b w:val="false"/>
                  <w:strike w:val="false"/>
                  <w:dstrike w:val="false"/>
                  <w:color w:val="000000"/>
                  <w:sz w:val="20"/>
                  <w:u w:val="none"/>
                  <w:effect w:val="none"/>
                </w:rPr>
                <w:t>57</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3">
              <w:r>
                <w:rPr>
                  <w:rStyle w:val="InternetLink"/>
                  <w:rFonts w:ascii="Times New Roman;serif" w:hAnsi="Times New Roman;serif"/>
                  <w:b w:val="false"/>
                  <w:strike w:val="false"/>
                  <w:dstrike w:val="false"/>
                  <w:color w:val="000000"/>
                  <w:sz w:val="20"/>
                  <w:u w:val="none"/>
                  <w:effect w:val="none"/>
                </w:rPr>
                <w:t>Item 5.</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3">
              <w:r>
                <w:rPr>
                  <w:rStyle w:val="InternetLink"/>
                  <w:rFonts w:ascii="Times New Roman;serif" w:hAnsi="Times New Roman;serif"/>
                  <w:b w:val="false"/>
                  <w:strike w:val="false"/>
                  <w:dstrike w:val="false"/>
                  <w:color w:val="000000"/>
                  <w:sz w:val="20"/>
                  <w:u w:val="none"/>
                  <w:effect w:val="none"/>
                </w:rPr>
                <w:t>Other Information</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33">
              <w:r>
                <w:rPr>
                  <w:rStyle w:val="InternetLink"/>
                  <w:rFonts w:ascii="Times New Roman;serif" w:hAnsi="Times New Roman;serif"/>
                  <w:b w:val="false"/>
                  <w:strike w:val="false"/>
                  <w:dstrike w:val="false"/>
                  <w:color w:val="000000"/>
                  <w:sz w:val="20"/>
                  <w:u w:val="none"/>
                  <w:effect w:val="none"/>
                </w:rPr>
                <w:t>57</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9">
              <w:r>
                <w:rPr>
                  <w:rStyle w:val="InternetLink"/>
                  <w:rFonts w:ascii="Times New Roman;serif" w:hAnsi="Times New Roman;serif"/>
                  <w:b w:val="false"/>
                  <w:strike w:val="false"/>
                  <w:dstrike w:val="false"/>
                  <w:color w:val="000000"/>
                  <w:sz w:val="20"/>
                  <w:u w:val="none"/>
                  <w:effect w:val="none"/>
                </w:rPr>
                <w:t>Item 6.</w:t>
              </w:r>
            </w:hyperlink>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39">
              <w:r>
                <w:rPr>
                  <w:rStyle w:val="InternetLink"/>
                  <w:rFonts w:ascii="Times New Roman;serif" w:hAnsi="Times New Roman;serif"/>
                  <w:b w:val="false"/>
                  <w:strike w:val="false"/>
                  <w:dstrike w:val="false"/>
                  <w:color w:val="000000"/>
                  <w:sz w:val="20"/>
                  <w:u w:val="none"/>
                  <w:effect w:val="none"/>
                </w:rPr>
                <w:t>Exhibits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39">
              <w:r>
                <w:rPr>
                  <w:rStyle w:val="InternetLink"/>
                  <w:rFonts w:ascii="Times New Roman;serif" w:hAnsi="Times New Roman;serif"/>
                  <w:b w:val="false"/>
                  <w:strike w:val="false"/>
                  <w:dstrike w:val="false"/>
                  <w:color w:val="000000"/>
                  <w:sz w:val="20"/>
                  <w:u w:val="none"/>
                  <w:effect w:val="none"/>
                </w:rPr>
                <w:t>58</w:t>
              </w:r>
            </w:hyperlink>
          </w:p>
        </w:tc>
      </w:tr>
      <w:tr>
        <w:trPr/>
        <w:tc>
          <w:tcPr>
            <w:tcW w:w="90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1877cf987649ea8da3325ace7e4c8e_142">
              <w:r>
                <w:rPr>
                  <w:rStyle w:val="InternetLink"/>
                  <w:rFonts w:ascii="Times New Roman;serif" w:hAnsi="Times New Roman;serif"/>
                  <w:b w:val="false"/>
                  <w:strike w:val="false"/>
                  <w:dstrike w:val="false"/>
                  <w:color w:val="000000"/>
                  <w:sz w:val="20"/>
                  <w:u w:val="none"/>
                  <w:effect w:val="none"/>
                </w:rPr>
                <w:t>Signatures</w:t>
              </w:r>
            </w:hyperlink>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1877cf987649ea8da3325ace7e4c8e_142">
              <w:r>
                <w:rPr>
                  <w:rStyle w:val="InternetLink"/>
                  <w:rFonts w:ascii="Times New Roman;serif" w:hAnsi="Times New Roman;serif"/>
                  <w:b w:val="false"/>
                  <w:strike w:val="false"/>
                  <w:dstrike w:val="false"/>
                  <w:color w:val="000000"/>
                  <w:sz w:val="20"/>
                  <w:u w:val="none"/>
                  <w:effect w:val="none"/>
                </w:rPr>
                <w:t>59</w:t>
              </w:r>
            </w:hyperlink>
          </w:p>
        </w:tc>
      </w:tr>
    </w:tbl>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“Form 10-Q”) contains forward-looking statements within the meaning of the federal securities laws, including, but not limited to, statements regarding (1) the amount, timing and focus of our expected capital investments in 2026, (2) our ability to fund our operating activities and financial requirements for the next twelve months, (3) the effect of changes in revenue levels and capacity utilization on our gross margin, (4) the impact of natural disasters and other calamities, health conditions or pandemics, political instability, hostilities or other disruptions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or repurchases of our common stock, (11) compliance with restrictive covenants in the indentures and agreements governing our current and future indebtedness, (12) the conversion of convertible debt,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and our technology leadership and potential growth in our end markets, (19) projects to install or integrate new information technology systems or upgrade our existing systems, (20) our expected revenue recognition, (21) the anticipated benefits from our manufacturing facility in Bac Ninh, Vietnam (the “Vietnam Facility”), (22) the anticipated schedule for construction of our new facility in Arizona, United States (the “Arizona Facility”), (23) the receipt of government awards and incentives and the conditions and obligations thereto, (24) the effects of business, economic, political, legal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impacts, conflicts or natural disasters on our global operations, (25) the impact of interest rate changes on our investment portfolio and (26)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2025 (the “2025 Form 10-K”) and from time to time in our other reports filed with or furnished to the U.S. Securities and Exchange Commission (“SEC”). You should carefully consider the trends, risks and uncertainties described in this Form 10-Q, the 2025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2"/>
        <w:gridCol w:w="1127"/>
        <w:gridCol w:w="114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7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2,493,487 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per common share amounts: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91"/>
        <w:gridCol w:w="1415"/>
        <w:gridCol w:w="1429"/>
        <w:gridCol w:w="226"/>
        <w:gridCol w:w="888"/>
        <w:gridCol w:w="116"/>
        <w:gridCol w:w="116"/>
        <w:gridCol w:w="116"/>
        <w:gridCol w:w="116"/>
        <w:gridCol w:w="226"/>
        <w:gridCol w:w="775"/>
        <w:gridCol w:w="116"/>
        <w:gridCol w:w="109"/>
        <w:gridCol w:w="109"/>
        <w:gridCol w:w="109"/>
        <w:gridCol w:w="217"/>
        <w:gridCol w:w="851"/>
        <w:gridCol w:w="112"/>
        <w:gridCol w:w="112"/>
        <w:gridCol w:w="112"/>
        <w:gridCol w:w="112"/>
        <w:gridCol w:w="217"/>
        <w:gridCol w:w="743"/>
        <w:gridCol w:w="172"/>
      </w:tblGrid>
      <w:tr>
        <w:trPr/>
        <w:tc>
          <w:tcPr>
            <w:tcW w:w="169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unrealized gains (losses) on available-for-sale debt investments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unrealized components of defined benefit pension plans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Amkor</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255,378 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7"/>
        <w:gridCol w:w="2218"/>
        <w:gridCol w:w="2164"/>
        <w:gridCol w:w="211"/>
        <w:gridCol w:w="976"/>
        <w:gridCol w:w="109"/>
        <w:gridCol w:w="109"/>
        <w:gridCol w:w="109"/>
        <w:gridCol w:w="109"/>
        <w:gridCol w:w="225"/>
        <w:gridCol w:w="1042"/>
        <w:gridCol w:w="166"/>
      </w:tblGrid>
      <w:tr>
        <w:trPr/>
        <w:tc>
          <w:tcPr>
            <w:tcW w:w="27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1,378,347 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Short-term investments (amortized cost of $962,740 and $612,344 in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613,038 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1,354,825 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437,797 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100,754 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3,884,761 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3,870,808 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 of use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93,449 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67,776 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201,512 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9,716,114 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8,136,309 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EQUITY</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 and 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162,430 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912,766 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243,543 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operating lease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23,140 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370,093 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2,122,850 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1,711,972 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1,282,816 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severance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69,218 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48,549 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517,467 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5,029,286 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3,630,022 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Preferred stock, $0.001 par value, 10,000 shares authorized, designated Series A, none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Common stock, $0.001 par value, 500,000 shares authorized; 294,562 and 293,756 shares issued; and 247,986 and 247,303 shares outstanding in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2,054,051 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2,627,038 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Treasury stock, at cost, 46,576 and 46,453 shares in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Amkor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4,650,412 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4,471,106 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 in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4,686,828 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4,506,287 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9,716,114 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8,136,309 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16" w:type="dxa"/>
        <w:jc w:val="left"/>
        <w:tblInd w:w="0" w:type="dxa"/>
        <w:tblLayout w:type="fixed"/>
        <w:tblCellMar>
          <w:top w:w="28" w:type="dxa"/>
          <w:left w:w="28" w:type="dxa"/>
          <w:bottom w:w="28" w:type="dxa"/>
          <w:right w:w="28" w:type="dxa"/>
        </w:tblCellMar>
      </w:tblPr>
      <w:tblGrid>
        <w:gridCol w:w="667"/>
        <w:gridCol w:w="191"/>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294,394 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(46,566)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4,569,142 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174,869 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($0.08352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Capped call transactions related to the issuance of convertible senior notes due 2031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294,562 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2,842,719 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15,107 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(46,576)</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4,650,412 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36,416 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4,686,828 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293,756 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4,506,287 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258,835 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($0.16704 per common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Capped call transactions related to the issuance of convertible senior notes due 2031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294,562 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2,025,469 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2,842,719 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15,107 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(46,576)</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(233,178)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4,650,412 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36,416 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4,686,828 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16" w:type="dxa"/>
        <w:jc w:val="center"/>
        <w:tblInd w:w="0" w:type="dxa"/>
        <w:tblLayout w:type="fixed"/>
        <w:tblCellMar>
          <w:top w:w="28" w:type="dxa"/>
          <w:left w:w="28" w:type="dxa"/>
          <w:bottom w:w="28" w:type="dxa"/>
          <w:right w:w="28" w:type="dxa"/>
        </w:tblCellMar>
      </w:tblPr>
      <w:tblGrid>
        <w:gridCol w:w="667"/>
        <w:gridCol w:w="191"/>
        <w:gridCol w:w="193"/>
        <w:gridCol w:w="308"/>
        <w:gridCol w:w="308"/>
        <w:gridCol w:w="151"/>
        <w:gridCol w:w="109"/>
        <w:gridCol w:w="109"/>
        <w:gridCol w:w="109"/>
        <w:gridCol w:w="181"/>
        <w:gridCol w:w="361"/>
        <w:gridCol w:w="109"/>
        <w:gridCol w:w="109"/>
        <w:gridCol w:w="109"/>
        <w:gridCol w:w="109"/>
        <w:gridCol w:w="181"/>
        <w:gridCol w:w="721"/>
        <w:gridCol w:w="109"/>
        <w:gridCol w:w="109"/>
        <w:gridCol w:w="109"/>
        <w:gridCol w:w="109"/>
        <w:gridCol w:w="181"/>
        <w:gridCol w:w="721"/>
        <w:gridCol w:w="109"/>
        <w:gridCol w:w="109"/>
        <w:gridCol w:w="109"/>
        <w:gridCol w:w="109"/>
        <w:gridCol w:w="199"/>
        <w:gridCol w:w="596"/>
        <w:gridCol w:w="121"/>
        <w:gridCol w:w="109"/>
        <w:gridCol w:w="109"/>
        <w:gridCol w:w="109"/>
        <w:gridCol w:w="278"/>
        <w:gridCol w:w="278"/>
        <w:gridCol w:w="151"/>
        <w:gridCol w:w="109"/>
        <w:gridCol w:w="109"/>
        <w:gridCol w:w="109"/>
        <w:gridCol w:w="181"/>
        <w:gridCol w:w="631"/>
        <w:gridCol w:w="109"/>
        <w:gridCol w:w="109"/>
        <w:gridCol w:w="109"/>
        <w:gridCol w:w="109"/>
        <w:gridCol w:w="181"/>
        <w:gridCol w:w="721"/>
        <w:gridCol w:w="109"/>
        <w:gridCol w:w="109"/>
        <w:gridCol w:w="109"/>
        <w:gridCol w:w="109"/>
        <w:gridCol w:w="189"/>
        <w:gridCol w:w="567"/>
        <w:gridCol w:w="115"/>
        <w:gridCol w:w="109"/>
        <w:gridCol w:w="109"/>
        <w:gridCol w:w="109"/>
        <w:gridCol w:w="181"/>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Amkor</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 in</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5" w:type="dxa"/>
            <w:gridSpan w:val="5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293,482 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4,190,590 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($0.08269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293,577 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2,369,797 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(46,435)</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(226,514)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34,650 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4,232,074 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293,052 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4,183,165 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acquired through surrender of shares for tax withholding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stock through share-based compensation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declared ($0.16538 per common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Subsidiary dividends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293,577 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2,041,548 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2,369,797 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12,299 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(46,435)</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(226,514)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4,197,424 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34,650 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4,232,074 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47"/>
        <w:gridCol w:w="2293"/>
        <w:gridCol w:w="2300"/>
        <w:gridCol w:w="211"/>
        <w:gridCol w:w="976"/>
        <w:gridCol w:w="109"/>
        <w:gridCol w:w="109"/>
        <w:gridCol w:w="109"/>
        <w:gridCol w:w="109"/>
        <w:gridCol w:w="211"/>
        <w:gridCol w:w="976"/>
        <w:gridCol w:w="155"/>
      </w:tblGrid>
      <w:tr>
        <w:trPr/>
        <w:tc>
          <w:tcPr>
            <w:tcW w:w="264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and non-cash items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foreign exchange forward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(331,393)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capped call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finance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fluctuations on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included in capital expenditures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finance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acquired through exchange and derecognition of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and incentive receivables recognized for qualified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Interim Financial Statements </w:t>
      </w:r>
    </w:p>
    <w:p>
      <w:pPr>
        <w:pStyle w:val="TextBody"/>
        <w:bidi w:val="0"/>
        <w:spacing w:lineRule="auto" w:line="288" w:before="0" w:after="180"/>
        <w:jc w:val="both"/>
        <w:rPr/>
      </w:pPr>
      <w:r>
        <w:rPr>
          <w:rFonts w:ascii="Times New Roman;serif" w:hAnsi="Times New Roman;serif"/>
          <w:b w:val="false"/>
          <w:i/>
          <w:color w:val="000000"/>
          <w:sz w:val="20"/>
        </w:rPr>
        <w:t xml:space="preserve">Basis of Presentation. </w:t>
      </w:r>
      <w:r>
        <w:rPr>
          <w:rFonts w:ascii="Times New Roman;serif" w:hAnsi="Times New Roman;serif"/>
          <w:b w:val="false"/>
          <w:color w:val="000000"/>
          <w:sz w:val="20"/>
        </w:rPr>
        <w:t>The Consolidated Financial Statements and related disclosures as of June 30, 2026, and for the three and six months ended June 30, 2026 and 2025, contained in this Form 10-Q (the “Consolidated Financial Statements”) are unaudited pursuant to the rules and regulations of the SEC. The December 31, 2025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2025 Form 10-K. The results of operations for the three and six months ended June 30, 2026 are not necessarily indicative of the results to be expected for the full year ending December 31, 2026. Unless the context otherwise requires, all references to “Amkor,” “we,” “us” or “our” are to Amkor Technology, Inc. and its wholly and majority-owned subsidiaries. Certain prior year amounts have been recast to conform to current year presentation.</w:t>
      </w:r>
    </w:p>
    <w:p>
      <w:pPr>
        <w:pStyle w:val="TextBody"/>
        <w:bidi w:val="0"/>
        <w:spacing w:lineRule="auto" w:line="288" w:before="0" w:after="180"/>
        <w:jc w:val="both"/>
        <w:rPr/>
      </w:pPr>
      <w:r>
        <w:rPr>
          <w:rFonts w:ascii="Times New Roman;serif" w:hAnsi="Times New Roman;serif"/>
          <w:b w:val="false"/>
          <w:i/>
          <w:color w:val="000000"/>
          <w:sz w:val="20"/>
        </w:rPr>
        <w:t xml:space="preserve">Use of Estimates. </w:t>
      </w:r>
      <w:r>
        <w:rPr>
          <w:rFonts w:ascii="Times New Roman;serif" w:hAnsi="Times New Roman;serif"/>
          <w:b w:val="false"/>
          <w:color w:val="000000"/>
          <w:sz w:val="20"/>
        </w:rPr>
        <w:t>The Consolidated Financial Statements have been prepared in conformity with U.S. GAAP, using management’s best estimates and 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pStyle w:val="TextBody"/>
        <w:bidi w:val="0"/>
        <w:spacing w:lineRule="auto" w:line="276" w:before="0" w:after="180"/>
        <w:jc w:val="both"/>
        <w:rPr/>
      </w:pPr>
      <w:r>
        <w:rPr>
          <w:rFonts w:ascii="Times New Roman;serif" w:hAnsi="Times New Roman;serif"/>
          <w:b w:val="false"/>
          <w:i/>
          <w:color w:val="000000"/>
          <w:sz w:val="20"/>
        </w:rPr>
        <w:t>Restricted Cash.</w:t>
      </w:r>
      <w:r>
        <w:rPr>
          <w:color w:val="000000"/>
        </w:rPr>
        <w:t xml:space="preserve"> </w:t>
      </w:r>
      <w:r>
        <w:rPr>
          <w:rFonts w:ascii="Times New Roman;serif" w:hAnsi="Times New Roman;serif"/>
          <w:b w:val="false"/>
          <w:color w:val="000000"/>
          <w:sz w:val="20"/>
        </w:rPr>
        <w:t>Restricted cash mainly consists of collateral to fulfill construction requirements and funds to be used for labor costs.</w:t>
      </w:r>
    </w:p>
    <w:p>
      <w:pPr>
        <w:pStyle w:val="TextBody"/>
        <w:bidi w:val="0"/>
        <w:spacing w:lineRule="auto" w:line="276" w:before="0" w:after="18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Total long-term finance lease liabilities as of June 30, 2026 and December 31, 2025 were $87.5 million and $105.0 million, respectively.</w:t>
      </w:r>
    </w:p>
    <w:p>
      <w:pPr>
        <w:pStyle w:val="TextBody"/>
        <w:bidi w:val="0"/>
        <w:spacing w:lineRule="auto" w:line="276" w:before="0" w:after="180"/>
        <w:jc w:val="both"/>
        <w:rPr/>
      </w:pPr>
      <w:r>
        <w:rPr>
          <w:rFonts w:ascii="Times New Roman;serif" w:hAnsi="Times New Roman;serif"/>
          <w:b w:val="false"/>
          <w:i/>
          <w:color w:val="000000"/>
          <w:sz w:val="20"/>
        </w:rPr>
        <w:t xml:space="preserve">Goodwill. </w:t>
      </w:r>
      <w:r>
        <w:rPr>
          <w:rFonts w:ascii="Times New Roman;serif" w:hAnsi="Times New Roman;serif"/>
          <w:b w:val="false"/>
          <w:color w:val="000000"/>
          <w:sz w:val="20"/>
        </w:rPr>
        <w:t>The balance of goodwill in the Consolidated Balance Sheets contained in this Form 10-Q reflects adjustments for foreign currency translation.</w:t>
      </w:r>
    </w:p>
    <w:p>
      <w:pPr>
        <w:pStyle w:val="TextBody"/>
        <w:bidi w:val="0"/>
        <w:spacing w:lineRule="auto" w:line="288" w:before="0" w:after="180"/>
        <w:jc w:val="both"/>
        <w:rPr/>
      </w:pPr>
      <w:r>
        <w:rPr>
          <w:rFonts w:ascii="Times New Roman;serif" w:hAnsi="Times New Roman;serif"/>
          <w:b w:val="false"/>
          <w:i/>
          <w:color w:val="000000"/>
          <w:sz w:val="20"/>
        </w:rPr>
        <w:t>Unbilled Receivables</w:t>
      </w:r>
      <w:r>
        <w:rPr>
          <w:rFonts w:ascii="Times New Roman;serif" w:hAnsi="Times New Roman;serif"/>
          <w:b w:val="false"/>
          <w:color w:val="000000"/>
          <w:sz w:val="20"/>
        </w:rPr>
        <w:t>. Total unbilled receivables as of June 30, 2026 and December 31, 2025 were $309.1 million and $294.1 million, respectively.</w:t>
      </w:r>
    </w:p>
    <w:p>
      <w:pPr>
        <w:pStyle w:val="TextBody"/>
        <w:bidi w:val="0"/>
        <w:spacing w:lineRule="auto" w:line="288" w:before="0" w:after="18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xml:space="preserve">Contract liabilities were $393.0 million and $390.8 million as of June 30, 2026 and December 31, 2025, respectively. As of June 30, 2026 and December 31, 2025, the short-term portions of the liabilities were $93.1 million and $69.6 million, respectively. Of the remaining contract liability balance as of June 30, 2026, $284.6 million is expected to be recognized in revenue over the next 1-5 years, and $15.3 million over the next 5-10 years. Revenue recognized during the six months ended June 30, 2026 and 2025 that was included in the contract liabilities balance at the beginning of the period was $27.8 million and $36.6 million, respectively. As of June 30, 2026, $100.0 million of standby letters of credit were issued and outstanding related to customer advance payments received. In July 2026, we received $100.0 million of customer advance payments and issued the related standby letters of credit. </w:t>
      </w:r>
    </w:p>
    <w:p>
      <w:pPr>
        <w:pStyle w:val="TextBody"/>
        <w:bidi w:val="0"/>
        <w:spacing w:lineRule="auto" w:line="288" w:before="0" w:after="180"/>
        <w:jc w:val="both"/>
        <w:rPr/>
      </w:pPr>
      <w:r>
        <w:rPr>
          <w:rFonts w:ascii="Times New Roman;serif" w:hAnsi="Times New Roman;serif"/>
          <w:b w:val="false"/>
          <w:i/>
          <w:color w:val="000000"/>
          <w:sz w:val="20"/>
        </w:rPr>
        <w:t xml:space="preserve">Grant Accounting. </w:t>
      </w:r>
      <w:r>
        <w:rPr>
          <w:rFonts w:ascii="Times New Roman;serif" w:hAnsi="Times New Roman;serif"/>
          <w:b w:val="false"/>
          <w:color w:val="000000"/>
          <w:sz w:val="20"/>
        </w:rPr>
        <w:t xml:space="preserve">From time to time, we may receive grants from governmental agencies. We recognize grants in our financial statements when there is reasonable assurance that we will comply with conditions attached to the grants and the grants will be received. Investment tax credits and grants receivable recorded reduce the carrying amounts of the qualifying property, plant and equipment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investment tax credits and grants receivable as of June 30, 2026 and December 31, 2025:</w:t>
      </w:r>
    </w:p>
    <w:tbl>
      <w:tblPr>
        <w:tblW w:w="5921" w:type="dxa"/>
        <w:jc w:val="left"/>
        <w:tblInd w:w="0" w:type="dxa"/>
        <w:tblLayout w:type="fixed"/>
        <w:tblCellMar>
          <w:top w:w="28" w:type="dxa"/>
          <w:left w:w="28" w:type="dxa"/>
          <w:bottom w:w="28" w:type="dxa"/>
          <w:right w:w="28" w:type="dxa"/>
        </w:tblCellMar>
      </w:tblPr>
      <w:tblGrid>
        <w:gridCol w:w="1060"/>
        <w:gridCol w:w="931"/>
        <w:gridCol w:w="934"/>
        <w:gridCol w:w="228"/>
        <w:gridCol w:w="779"/>
        <w:gridCol w:w="117"/>
        <w:gridCol w:w="109"/>
        <w:gridCol w:w="109"/>
        <w:gridCol w:w="109"/>
        <w:gridCol w:w="300"/>
        <w:gridCol w:w="1026"/>
        <w:gridCol w:w="21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tax credits recorded in:</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receivable recorded in:</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2026, certain of our subsidiaries entered into a Foreign Direct Investment Cash Support Agreement with governmental authorities in the Republic of Korea pursuant to applicable foreign investment promotion laws. The agreement provides for potential cash grants of up to approximately ₩150 billion (approximately $100 million), subject to the subsidiaries’ achievement of specified investment, employment and other performance conditions over a multi</w:t>
        <w:noBreakHyphen/>
        <w:t>year period. We have not received any amounts related to this agreement.</w:t>
      </w:r>
    </w:p>
    <w:p>
      <w:pPr>
        <w:pStyle w:val="TextBody"/>
        <w:bidi w:val="0"/>
        <w:spacing w:lineRule="auto" w:line="276" w:before="0" w:after="180"/>
        <w:jc w:val="both"/>
        <w:rPr/>
      </w:pPr>
      <w:r>
        <w:rPr>
          <w:rFonts w:ascii="Times New Roman;serif" w:hAnsi="Times New Roman;serif"/>
          <w:b w:val="false"/>
          <w:i/>
          <w:color w:val="000000"/>
          <w:sz w:val="20"/>
        </w:rPr>
        <w:t xml:space="preserve">Recently Issued Standards.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which was subsequently amended and clarified. ASU 2024-03 requires 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color w:val="000000"/>
          <w:sz w:val="20"/>
        </w:rPr>
        <w:t>(“ASU 2025-06”).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We are currently evaluating the impact of this new standard on our financial statements and disclosures.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w:t>
      </w:r>
      <w:r>
        <w:rPr>
          <w:color w:val="000000"/>
        </w:rPr>
        <w:t xml:space="preserve"> </w:t>
      </w:r>
      <w:r>
        <w:rPr>
          <w:rFonts w:ascii="Times New Roman;serif" w:hAnsi="Times New Roman;serif"/>
          <w:b w:val="false"/>
          <w:color w:val="000000"/>
          <w:sz w:val="20"/>
        </w:rPr>
        <w:t>(“ASU 2025-10”). ASU 2025-10 provides guidance on the accounting for government grants received by a business entity, including grants related to assets and grants related to income. ASU 2025-10 is effective for annual reporting periods beginning after December 15, 2028, and interim periods within those annual reporting periods. Early adoption is permitted as of the beginning of an annual reporting period. Adoption of this ASU should be applied using the following transition methods: (i) a modified prospective approach for government grants that are entered into on or after, or not complete as of, the effective date; (ii) a modified retrospective approach for government grants that are entered into on or after, or not complete as of, the beginning of earliest period presented; or (iii) a retrospective approach for all government grants. We are currently evaluating the impact of this new standard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Business Segments, Product Groups and End Markets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profit or loss and significant segment expenses for our single operating segment:</w:t>
      </w:r>
    </w:p>
    <w:tbl>
      <w:tblPr>
        <w:tblW w:w="9165" w:type="dxa"/>
        <w:jc w:val="left"/>
        <w:tblInd w:w="0" w:type="dxa"/>
        <w:tblLayout w:type="fixed"/>
        <w:tblCellMar>
          <w:top w:w="28" w:type="dxa"/>
          <w:left w:w="28" w:type="dxa"/>
          <w:bottom w:w="28" w:type="dxa"/>
          <w:right w:w="28" w:type="dxa"/>
        </w:tblCellMar>
      </w:tblPr>
      <w:tblGrid>
        <w:gridCol w:w="1067"/>
        <w:gridCol w:w="934"/>
        <w:gridCol w:w="95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cost of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cost of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Other segment items include interest income, foreign currency (gain) loss, net and other (income)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other balances included in net income or that are regularly provided to the Chief Operating Decision Maker (CODM):</w:t>
      </w:r>
    </w:p>
    <w:tbl>
      <w:tblPr>
        <w:tblW w:w="9165" w:type="dxa"/>
        <w:jc w:val="left"/>
        <w:tblInd w:w="0" w:type="dxa"/>
        <w:tblLayout w:type="fixed"/>
        <w:tblCellMar>
          <w:top w:w="28" w:type="dxa"/>
          <w:left w:w="28" w:type="dxa"/>
          <w:bottom w:w="28" w:type="dxa"/>
          <w:right w:w="28" w:type="dxa"/>
        </w:tblCellMar>
      </w:tblPr>
      <w:tblGrid>
        <w:gridCol w:w="1195"/>
        <w:gridCol w:w="1047"/>
        <w:gridCol w:w="1057"/>
        <w:gridCol w:w="249"/>
        <w:gridCol w:w="853"/>
        <w:gridCol w:w="128"/>
        <w:gridCol w:w="128"/>
        <w:gridCol w:w="128"/>
        <w:gridCol w:w="128"/>
        <w:gridCol w:w="249"/>
        <w:gridCol w:w="853"/>
        <w:gridCol w:w="128"/>
        <w:gridCol w:w="109"/>
        <w:gridCol w:w="109"/>
        <w:gridCol w:w="109"/>
        <w:gridCol w:w="232"/>
        <w:gridCol w:w="793"/>
        <w:gridCol w:w="119"/>
        <w:gridCol w:w="119"/>
        <w:gridCol w:w="119"/>
        <w:gridCol w:w="119"/>
        <w:gridCol w:w="232"/>
        <w:gridCol w:w="793"/>
        <w:gridCol w:w="169"/>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32" w:type="dxa"/>
        <w:jc w:val="left"/>
        <w:tblInd w:w="0" w:type="dxa"/>
        <w:tblLayout w:type="fixed"/>
        <w:tblCellMar>
          <w:top w:w="28" w:type="dxa"/>
          <w:left w:w="28" w:type="dxa"/>
          <w:bottom w:w="28" w:type="dxa"/>
          <w:right w:w="28" w:type="dxa"/>
        </w:tblCellMar>
      </w:tblPr>
      <w:tblGrid>
        <w:gridCol w:w="385"/>
        <w:gridCol w:w="338"/>
        <w:gridCol w:w="341"/>
        <w:gridCol w:w="211"/>
        <w:gridCol w:w="976"/>
        <w:gridCol w:w="109"/>
        <w:gridCol w:w="109"/>
        <w:gridCol w:w="109"/>
        <w:gridCol w:w="109"/>
        <w:gridCol w:w="243"/>
        <w:gridCol w:w="1125"/>
        <w:gridCol w:w="17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net sales by product group:</w:t>
      </w:r>
    </w:p>
    <w:tbl>
      <w:tblPr>
        <w:tblW w:w="8309" w:type="dxa"/>
        <w:jc w:val="center"/>
        <w:tblInd w:w="0" w:type="dxa"/>
        <w:tblLayout w:type="fixed"/>
        <w:tblCellMar>
          <w:top w:w="28" w:type="dxa"/>
          <w:left w:w="28" w:type="dxa"/>
          <w:bottom w:w="28" w:type="dxa"/>
          <w:right w:w="28" w:type="dxa"/>
        </w:tblCellMar>
      </w:tblPr>
      <w:tblGrid>
        <w:gridCol w:w="759"/>
        <w:gridCol w:w="668"/>
        <w:gridCol w:w="67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products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Mainstream products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3,582,666 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Advanced products include flip chip, memory and wafer-level processing and related test services.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Mainstream products include all other wirebond packaging and related test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end market consist of the following:</w:t>
      </w:r>
    </w:p>
    <w:tbl>
      <w:tblPr>
        <w:tblW w:w="10205" w:type="dxa"/>
        <w:jc w:val="center"/>
        <w:tblInd w:w="0" w:type="dxa"/>
        <w:tblLayout w:type="fixed"/>
        <w:tblCellMar>
          <w:top w:w="28" w:type="dxa"/>
          <w:left w:w="28" w:type="dxa"/>
          <w:bottom w:w="28" w:type="dxa"/>
          <w:right w:w="28" w:type="dxa"/>
        </w:tblCellMar>
      </w:tblPr>
      <w:tblGrid>
        <w:gridCol w:w="1754"/>
        <w:gridCol w:w="1543"/>
        <w:gridCol w:w="1546"/>
        <w:gridCol w:w="238"/>
        <w:gridCol w:w="234"/>
        <w:gridCol w:w="490"/>
        <w:gridCol w:w="197"/>
        <w:gridCol w:w="197"/>
        <w:gridCol w:w="197"/>
        <w:gridCol w:w="238"/>
        <w:gridCol w:w="234"/>
        <w:gridCol w:w="490"/>
        <w:gridCol w:w="109"/>
        <w:gridCol w:w="109"/>
        <w:gridCol w:w="109"/>
        <w:gridCol w:w="281"/>
        <w:gridCol w:w="207"/>
        <w:gridCol w:w="456"/>
        <w:gridCol w:w="183"/>
        <w:gridCol w:w="183"/>
        <w:gridCol w:w="183"/>
        <w:gridCol w:w="281"/>
        <w:gridCol w:w="207"/>
        <w:gridCol w:w="539"/>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 (smartphones, tablets)</w:t>
            </w:r>
          </w:p>
        </w:tc>
        <w:tc>
          <w:tcPr>
            <w:tcW w:w="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Computing (data center, infrastructure, PC/laptop, storage)</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industrial and other (ADAS, electrification, infotainment, safety)</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(AR &amp; gaming, connected home, home electronics, wearables)</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4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Other Income and Expense</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and expense consist of the following:</w:t>
      </w:r>
    </w:p>
    <w:tbl>
      <w:tblPr>
        <w:tblW w:w="8705" w:type="dxa"/>
        <w:jc w:val="left"/>
        <w:tblInd w:w="0" w:type="dxa"/>
        <w:tblLayout w:type="fixed"/>
        <w:tblCellMar>
          <w:top w:w="28" w:type="dxa"/>
          <w:left w:w="28" w:type="dxa"/>
          <w:bottom w:w="28" w:type="dxa"/>
          <w:right w:w="28" w:type="dxa"/>
        </w:tblCellMar>
      </w:tblPr>
      <w:tblGrid>
        <w:gridCol w:w="1027"/>
        <w:gridCol w:w="899"/>
        <w:gridCol w:w="908"/>
        <w:gridCol w:w="235"/>
        <w:gridCol w:w="886"/>
        <w:gridCol w:w="121"/>
        <w:gridCol w:w="121"/>
        <w:gridCol w:w="121"/>
        <w:gridCol w:w="121"/>
        <w:gridCol w:w="235"/>
        <w:gridCol w:w="886"/>
        <w:gridCol w:w="121"/>
        <w:gridCol w:w="109"/>
        <w:gridCol w:w="109"/>
        <w:gridCol w:w="109"/>
        <w:gridCol w:w="218"/>
        <w:gridCol w:w="825"/>
        <w:gridCol w:w="113"/>
        <w:gridCol w:w="113"/>
        <w:gridCol w:w="113"/>
        <w:gridCol w:w="113"/>
        <w:gridCol w:w="218"/>
        <w:gridCol w:w="825"/>
        <w:gridCol w:w="159"/>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net</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4.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of $40.6 million for the six months ended June 30, 2026 reflects income taxes, foreign withholding taxes, minimum taxes and certain tax credits.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Unrecognized tax benefits represent reserves for potential tax deficiencies or reductions in tax benefits that could result from federal, state or foreign tax audits. Gross unrecognized tax benefits were $30.1 million and $36.1 million as of June 30, 2026 and December 31, 2025, respectively. As of June 30, 2026, $27.7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tax returns that are open to examination in various jurisdictions for tax years 2013-2025. The open years contain matters that could be subject to differing interpretations of applicable tax laws and regulations related to the amount and/or timing of income, deductions and tax credits. There can be no assurance that the outcome of examinations will be favorable. In certain circumstances where we elect to appeal the results of an examination, we may be required to make tax assessment payments to proceed with the administrative appeal process. Current examinations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include 2021, 2023 and 2024 Philippine income tax returns, 2022-2024 Japan income tax returns and 2020-2021 California income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5.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time-vested restricted stock units (“RSUs”) and shares associated with the conversion of debt instruments.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EPS:</w:t>
      </w:r>
    </w:p>
    <w:tbl>
      <w:tblPr>
        <w:tblW w:w="10205" w:type="dxa"/>
        <w:jc w:val="left"/>
        <w:tblInd w:w="0" w:type="dxa"/>
        <w:tblLayout w:type="fixed"/>
        <w:tblCellMar>
          <w:top w:w="28" w:type="dxa"/>
          <w:left w:w="28" w:type="dxa"/>
          <w:bottom w:w="28" w:type="dxa"/>
          <w:right w:w="28" w:type="dxa"/>
        </w:tblCellMar>
      </w:tblPr>
      <w:tblGrid>
        <w:gridCol w:w="1741"/>
        <w:gridCol w:w="1361"/>
        <w:gridCol w:w="1364"/>
        <w:gridCol w:w="231"/>
        <w:gridCol w:w="904"/>
        <w:gridCol w:w="119"/>
        <w:gridCol w:w="119"/>
        <w:gridCol w:w="119"/>
        <w:gridCol w:w="119"/>
        <w:gridCol w:w="231"/>
        <w:gridCol w:w="789"/>
        <w:gridCol w:w="119"/>
        <w:gridCol w:w="109"/>
        <w:gridCol w:w="109"/>
        <w:gridCol w:w="109"/>
        <w:gridCol w:w="218"/>
        <w:gridCol w:w="858"/>
        <w:gridCol w:w="113"/>
        <w:gridCol w:w="113"/>
        <w:gridCol w:w="113"/>
        <w:gridCol w:w="113"/>
        <w:gridCol w:w="218"/>
        <w:gridCol w:w="749"/>
        <w:gridCol w:w="167"/>
      </w:tblGrid>
      <w:tr>
        <w:trPr/>
        <w:tc>
          <w:tcPr>
            <w:tcW w:w="174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73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 xml:space="preserve">(In thousands, </w:t>
              <w:br/>
              <w:t>except per share data)</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common stockholders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246,973 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11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249,978 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Amkor per common share:</w:t>
            </w:r>
          </w:p>
        </w:tc>
        <w:tc>
          <w:tcPr>
            <w:tcW w:w="125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shares of common stock that were excluded from diluted EPS because the effect of including these potential shares was anti-dilutive:</w:t>
      </w:r>
    </w:p>
    <w:tbl>
      <w:tblPr>
        <w:tblW w:w="7559" w:type="dxa"/>
        <w:jc w:val="left"/>
        <w:tblInd w:w="0" w:type="dxa"/>
        <w:tblLayout w:type="fixed"/>
        <w:tblCellMar>
          <w:top w:w="28" w:type="dxa"/>
          <w:left w:w="28" w:type="dxa"/>
          <w:bottom w:w="28" w:type="dxa"/>
          <w:right w:w="28" w:type="dxa"/>
        </w:tblCellMar>
      </w:tblPr>
      <w:tblGrid>
        <w:gridCol w:w="614"/>
        <w:gridCol w:w="540"/>
        <w:gridCol w:w="541"/>
        <w:gridCol w:w="316"/>
        <w:gridCol w:w="316"/>
        <w:gridCol w:w="316"/>
        <w:gridCol w:w="316"/>
        <w:gridCol w:w="316"/>
        <w:gridCol w:w="316"/>
        <w:gridCol w:w="316"/>
        <w:gridCol w:w="316"/>
        <w:gridCol w:w="316"/>
        <w:gridCol w:w="109"/>
        <w:gridCol w:w="109"/>
        <w:gridCol w:w="109"/>
        <w:gridCol w:w="286"/>
        <w:gridCol w:w="286"/>
        <w:gridCol w:w="286"/>
        <w:gridCol w:w="286"/>
        <w:gridCol w:w="286"/>
        <w:gridCol w:w="286"/>
        <w:gridCol w:w="286"/>
        <w:gridCol w:w="286"/>
        <w:gridCol w:w="405"/>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val="false"/>
          <w:color w:val="000000"/>
          <w:sz w:val="20"/>
        </w:rPr>
      </w:pPr>
      <w:r>
        <w:rPr>
          <w:rFonts w:ascii="Times New Roman;serif" w:hAnsi="Times New Roman;serif"/>
          <w:b w:val="false"/>
          <w:color w:val="000000"/>
          <w:sz w:val="20"/>
        </w:rPr>
        <w:t>There were no potentially dilutive common shares issuable pursuant to the $1.15 billion aggregate principal amount of our 0.00% convertible senior notes due 2031 (the “2031 Notes”) for the three and six months ended June 30, 2026, as the average market price of our common stock did not exceed the applicable conversion price during those periods. Refer to Note 11 for additional information on the 2031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Accumulated Other Comprehensive Income (Loss)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net of tax, consist of the following:</w:t>
      </w:r>
    </w:p>
    <w:tbl>
      <w:tblPr>
        <w:tblW w:w="10205" w:type="dxa"/>
        <w:jc w:val="center"/>
        <w:tblInd w:w="0" w:type="dxa"/>
        <w:tblLayout w:type="fixed"/>
        <w:tblCellMar>
          <w:top w:w="28" w:type="dxa"/>
          <w:left w:w="28" w:type="dxa"/>
          <w:bottom w:w="28" w:type="dxa"/>
          <w:right w:w="28" w:type="dxa"/>
        </w:tblCellMar>
      </w:tblPr>
      <w:tblGrid>
        <w:gridCol w:w="1060"/>
        <w:gridCol w:w="885"/>
        <w:gridCol w:w="889"/>
        <w:gridCol w:w="560"/>
        <w:gridCol w:w="1679"/>
        <w:gridCol w:w="291"/>
        <w:gridCol w:w="109"/>
        <w:gridCol w:w="109"/>
        <w:gridCol w:w="109"/>
        <w:gridCol w:w="272"/>
        <w:gridCol w:w="932"/>
        <w:gridCol w:w="140"/>
        <w:gridCol w:w="109"/>
        <w:gridCol w:w="109"/>
        <w:gridCol w:w="109"/>
        <w:gridCol w:w="306"/>
        <w:gridCol w:w="960"/>
        <w:gridCol w:w="158"/>
        <w:gridCol w:w="109"/>
        <w:gridCol w:w="109"/>
        <w:gridCol w:w="109"/>
        <w:gridCol w:w="211"/>
        <w:gridCol w:w="721"/>
        <w:gridCol w:w="160"/>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2025</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June 30, 2026</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0"/>
        <w:gridCol w:w="885"/>
        <w:gridCol w:w="889"/>
        <w:gridCol w:w="665"/>
        <w:gridCol w:w="1519"/>
        <w:gridCol w:w="345"/>
        <w:gridCol w:w="109"/>
        <w:gridCol w:w="109"/>
        <w:gridCol w:w="109"/>
        <w:gridCol w:w="272"/>
        <w:gridCol w:w="932"/>
        <w:gridCol w:w="140"/>
        <w:gridCol w:w="109"/>
        <w:gridCol w:w="109"/>
        <w:gridCol w:w="109"/>
        <w:gridCol w:w="306"/>
        <w:gridCol w:w="960"/>
        <w:gridCol w:w="158"/>
        <w:gridCol w:w="109"/>
        <w:gridCol w:w="109"/>
        <w:gridCol w:w="109"/>
        <w:gridCol w:w="211"/>
        <w:gridCol w:w="721"/>
        <w:gridCol w:w="161"/>
      </w:tblGrid>
      <w:tr>
        <w:trPr/>
        <w:tc>
          <w:tcPr>
            <w:tcW w:w="10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Available-for-Sale Debt Investments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December 31, 2024</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at June 30, 2025</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Amounts reclassified out of accumulated other comprehensive income (loss) are included as other (income) expense, net (Note 3). </w:t>
      </w:r>
    </w:p>
    <w:p>
      <w:pPr>
        <w:pStyle w:val="TextBody"/>
        <w:bidi w:val="0"/>
        <w:spacing w:lineRule="auto" w:line="288" w:before="0" w:after="180"/>
        <w:ind w:left="0" w:right="0" w:hanging="360"/>
        <w:jc w:val="both"/>
        <w:rPr/>
      </w:pPr>
      <w:r>
        <w:rPr>
          <w:rFonts w:ascii="Times New Roman;serif" w:hAnsi="Times New Roman;serif"/>
          <w:b w:val="false"/>
          <w:color w:val="000000"/>
          <w:sz w:val="20"/>
        </w:rPr>
        <w:t>(2)    Amounts reclassified out of accumulated other comprehensive income (loss) are included as a component of net periodic pension cost (Note 12) or other (income) expense, net (Note 3)</w:t>
      </w:r>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both"/>
        <w:rPr/>
      </w:pPr>
      <w:r>
        <w:rPr>
          <w:rFonts w:ascii="Times New Roman;serif" w:hAnsi="Times New Roman;serif"/>
          <w:b w:val="false"/>
          <w:color w:val="000000"/>
          <w:sz w:val="20"/>
          <w:shd w:fill="FFFFFF" w:val="clear"/>
        </w:rPr>
        <w:t>(3)    Foreign currency translation includes the gain (loss) from net investment hedges (</w:t>
      </w:r>
      <w:r>
        <w:rPr>
          <w:rFonts w:ascii="Times New Roman;serif" w:hAnsi="Times New Roman;serif"/>
          <w:b w:val="false"/>
          <w:color w:val="000000"/>
          <w:sz w:val="20"/>
        </w:rPr>
        <w:t>Note 13</w:t>
      </w:r>
      <w:r>
        <w:rPr>
          <w:rFonts w:ascii="Times New Roman;serif" w:hAnsi="Times New Roman;serif"/>
          <w:b w:val="false"/>
          <w:color w:val="000000"/>
          <w:sz w:val="20"/>
          <w:shd w:fill="FFFFFF" w:val="clear"/>
        </w:rPr>
        <w: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of our available-for-sale debt investments as of June 30, 2026 are available to fund current operations and are recorded at fair value (Note 14).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equivalents and available-for-sale debt investments:</w:t>
      </w:r>
    </w:p>
    <w:tbl>
      <w:tblPr>
        <w:tblW w:w="10205" w:type="dxa"/>
        <w:jc w:val="center"/>
        <w:tblInd w:w="0" w:type="dxa"/>
        <w:tblLayout w:type="fixed"/>
        <w:tblCellMar>
          <w:top w:w="28" w:type="dxa"/>
          <w:left w:w="28" w:type="dxa"/>
          <w:bottom w:w="28" w:type="dxa"/>
          <w:right w:w="28" w:type="dxa"/>
        </w:tblCellMar>
      </w:tblPr>
      <w:tblGrid>
        <w:gridCol w:w="594"/>
        <w:gridCol w:w="424"/>
        <w:gridCol w:w="426"/>
        <w:gridCol w:w="211"/>
        <w:gridCol w:w="976"/>
        <w:gridCol w:w="109"/>
        <w:gridCol w:w="109"/>
        <w:gridCol w:w="109"/>
        <w:gridCol w:w="109"/>
        <w:gridCol w:w="279"/>
        <w:gridCol w:w="618"/>
        <w:gridCol w:w="146"/>
        <w:gridCol w:w="109"/>
        <w:gridCol w:w="109"/>
        <w:gridCol w:w="109"/>
        <w:gridCol w:w="249"/>
        <w:gridCol w:w="767"/>
        <w:gridCol w:w="128"/>
        <w:gridCol w:w="109"/>
        <w:gridCol w:w="109"/>
        <w:gridCol w:w="109"/>
        <w:gridCol w:w="211"/>
        <w:gridCol w:w="979"/>
        <w:gridCol w:w="109"/>
        <w:gridCol w:w="109"/>
        <w:gridCol w:w="109"/>
        <w:gridCol w:w="109"/>
        <w:gridCol w:w="211"/>
        <w:gridCol w:w="826"/>
        <w:gridCol w:w="109"/>
        <w:gridCol w:w="109"/>
        <w:gridCol w:w="109"/>
        <w:gridCol w:w="109"/>
        <w:gridCol w:w="211"/>
        <w:gridCol w:w="826"/>
        <w:gridCol w:w="161"/>
      </w:tblGrid>
      <w:tr>
        <w:trPr/>
        <w:tc>
          <w:tcPr>
            <w:tcW w:w="5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61"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(2)</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169,709 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643,695 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813,404 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51"/>
        <w:gridCol w:w="422"/>
        <w:gridCol w:w="388"/>
        <w:gridCol w:w="211"/>
        <w:gridCol w:w="976"/>
        <w:gridCol w:w="109"/>
        <w:gridCol w:w="109"/>
        <w:gridCol w:w="109"/>
        <w:gridCol w:w="109"/>
        <w:gridCol w:w="260"/>
        <w:gridCol w:w="577"/>
        <w:gridCol w:w="136"/>
        <w:gridCol w:w="109"/>
        <w:gridCol w:w="109"/>
        <w:gridCol w:w="109"/>
        <w:gridCol w:w="262"/>
        <w:gridCol w:w="601"/>
        <w:gridCol w:w="136"/>
        <w:gridCol w:w="109"/>
        <w:gridCol w:w="109"/>
        <w:gridCol w:w="109"/>
        <w:gridCol w:w="211"/>
        <w:gridCol w:w="977"/>
        <w:gridCol w:w="109"/>
        <w:gridCol w:w="109"/>
        <w:gridCol w:w="109"/>
        <w:gridCol w:w="109"/>
        <w:gridCol w:w="211"/>
        <w:gridCol w:w="826"/>
        <w:gridCol w:w="109"/>
        <w:gridCol w:w="109"/>
        <w:gridCol w:w="109"/>
        <w:gridCol w:w="109"/>
        <w:gridCol w:w="211"/>
        <w:gridCol w:w="826"/>
        <w:gridCol w:w="161"/>
      </w:tblGrid>
      <w:tr>
        <w:trPr/>
        <w:tc>
          <w:tcPr>
            <w:tcW w:w="85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4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demand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491,960 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556,388 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the six months ended June 30, 2026 and 2025, we sold cash equivalent investments for proceeds of $17.8 million and $7.5 million, respectively, and realized no gain or loss on such sales.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following table summarizes the contractual maturities of our cash equivalents and available-for-sale debt investments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tbl>
      <w:tblPr>
        <w:tblW w:w="6533" w:type="dxa"/>
        <w:jc w:val="left"/>
        <w:tblInd w:w="0" w:type="dxa"/>
        <w:tblLayout w:type="fixed"/>
        <w:tblCellMar>
          <w:top w:w="28" w:type="dxa"/>
          <w:left w:w="28" w:type="dxa"/>
          <w:bottom w:w="28" w:type="dxa"/>
          <w:right w:w="28" w:type="dxa"/>
        </w:tblCellMar>
      </w:tblPr>
      <w:tblGrid>
        <w:gridCol w:w="858"/>
        <w:gridCol w:w="754"/>
        <w:gridCol w:w="758"/>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Actual maturities can differ from contractual maturities due to various factors including whether the issuers have the right to call or prepay obligations without call or prepayment penalties, and we view our available-for-sale debt investments as available for current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amortized cost and the fair market value of our held-to-maturity government bonds (Level 1) maturing within a year were $4.1 million and $4.0 million, respectively. As of December 31, 2025, the amortized cost and the fair market value of our held-to-maturity government bonds (Level 1) maturing within a year were $3.9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Factoring of Accounts Receivable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2026, we sold receivables totaling $9.5 million and $30.4 million, respectively, net of discounts and fees, which were insignificant for the respective periods. For the three and six months ended June 30, 2025, we sold receivables totaling $16.1 million and $25.5 million, respectively, net of discounts and fees, which were insignificant for the respective periods.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Property, Plant and Equipment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w:t>
      </w:r>
    </w:p>
    <w:tbl>
      <w:tblPr>
        <w:tblW w:w="6858" w:type="dxa"/>
        <w:jc w:val="left"/>
        <w:tblInd w:w="0" w:type="dxa"/>
        <w:tblLayout w:type="fixed"/>
        <w:tblCellMar>
          <w:top w:w="28" w:type="dxa"/>
          <w:left w:w="28" w:type="dxa"/>
          <w:bottom w:w="28" w:type="dxa"/>
          <w:right w:w="28" w:type="dxa"/>
        </w:tblCellMar>
      </w:tblPr>
      <w:tblGrid>
        <w:gridCol w:w="1336"/>
        <w:gridCol w:w="1171"/>
        <w:gridCol w:w="1183"/>
        <w:gridCol w:w="211"/>
        <w:gridCol w:w="976"/>
        <w:gridCol w:w="109"/>
        <w:gridCol w:w="109"/>
        <w:gridCol w:w="109"/>
        <w:gridCol w:w="109"/>
        <w:gridCol w:w="243"/>
        <w:gridCol w:w="1125"/>
        <w:gridCol w:w="177"/>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247,450 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2,353,344 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7,946,040 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computer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229,769 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11,263,430 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(7,392,622)</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4,478,951 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3,870,808 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incurred costs of $333.6 million, including capitalized interest of $5.4 million, related to construction of the Arizona Facility.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an agreement to purchase approximately 67 additional acres of land for the Arizona Facility for approximately $33 million. The transaction is expected to close in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depreciation expense:</w:t>
      </w:r>
    </w:p>
    <w:tbl>
      <w:tblPr>
        <w:tblW w:w="7744" w:type="dxa"/>
        <w:jc w:val="left"/>
        <w:tblInd w:w="0" w:type="dxa"/>
        <w:tblLayout w:type="fixed"/>
        <w:tblCellMar>
          <w:top w:w="28" w:type="dxa"/>
          <w:left w:w="28" w:type="dxa"/>
          <w:bottom w:w="28" w:type="dxa"/>
          <w:right w:w="28" w:type="dxa"/>
        </w:tblCellMar>
      </w:tblPr>
      <w:tblGrid>
        <w:gridCol w:w="679"/>
        <w:gridCol w:w="597"/>
        <w:gridCol w:w="599"/>
        <w:gridCol w:w="229"/>
        <w:gridCol w:w="899"/>
        <w:gridCol w:w="118"/>
        <w:gridCol w:w="118"/>
        <w:gridCol w:w="118"/>
        <w:gridCol w:w="118"/>
        <w:gridCol w:w="229"/>
        <w:gridCol w:w="899"/>
        <w:gridCol w:w="118"/>
        <w:gridCol w:w="109"/>
        <w:gridCol w:w="109"/>
        <w:gridCol w:w="109"/>
        <w:gridCol w:w="213"/>
        <w:gridCol w:w="837"/>
        <w:gridCol w:w="110"/>
        <w:gridCol w:w="110"/>
        <w:gridCol w:w="110"/>
        <w:gridCol w:w="110"/>
        <w:gridCol w:w="213"/>
        <w:gridCol w:w="837"/>
        <w:gridCol w:w="15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Accrued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7067" w:type="dxa"/>
        <w:jc w:val="left"/>
        <w:tblInd w:w="0" w:type="dxa"/>
        <w:tblLayout w:type="fixed"/>
        <w:tblCellMar>
          <w:top w:w="28" w:type="dxa"/>
          <w:left w:w="28" w:type="dxa"/>
          <w:bottom w:w="28" w:type="dxa"/>
          <w:right w:w="28" w:type="dxa"/>
        </w:tblCellMar>
      </w:tblPr>
      <w:tblGrid>
        <w:gridCol w:w="1465"/>
        <w:gridCol w:w="1290"/>
        <w:gridCol w:w="1295"/>
        <w:gridCol w:w="211"/>
        <w:gridCol w:w="826"/>
        <w:gridCol w:w="109"/>
        <w:gridCol w:w="109"/>
        <w:gridCol w:w="109"/>
        <w:gridCol w:w="109"/>
        <w:gridCol w:w="273"/>
        <w:gridCol w:w="1072"/>
        <w:gridCol w:w="199"/>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customer advances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69,611 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finance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severance plan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59,713 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370,093 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Short-term borrowings and long-term debt consist of the following:</w:t>
      </w:r>
    </w:p>
    <w:tbl>
      <w:tblPr>
        <w:tblW w:w="10205" w:type="dxa"/>
        <w:jc w:val="left"/>
        <w:tblInd w:w="0" w:type="dxa"/>
        <w:tblLayout w:type="fixed"/>
        <w:tblCellMar>
          <w:top w:w="28" w:type="dxa"/>
          <w:left w:w="28" w:type="dxa"/>
          <w:bottom w:w="28" w:type="dxa"/>
          <w:right w:w="28" w:type="dxa"/>
        </w:tblCellMar>
      </w:tblPr>
      <w:tblGrid>
        <w:gridCol w:w="2555"/>
        <w:gridCol w:w="2243"/>
        <w:gridCol w:w="2251"/>
        <w:gridCol w:w="211"/>
        <w:gridCol w:w="976"/>
        <w:gridCol w:w="109"/>
        <w:gridCol w:w="109"/>
        <w:gridCol w:w="109"/>
        <w:gridCol w:w="109"/>
        <w:gridCol w:w="240"/>
        <w:gridCol w:w="1115"/>
        <w:gridCol w:w="178"/>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Amkor Technology, Inc.: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5.875% Senior notes, due October 2033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0.00% Convertible senior notes, due July 2031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 applicable bank rate plus 1.75%, due May 2030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A Loans, applicable bank rate plus 1.75%, 5.48% as of June 30, 2026, due May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of subsidiaries: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Korea, Inc.: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3.95%, due May 2027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2.12%, due December 2028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Amkor Technology Japan, Inc.: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term loans, variable rate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1.23%, due December 2026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1.59%, due December 2027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Term loan, fixed rate at 1.80%, due December 2028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2.05%, due December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Term loan, fixed rate at 2.42%, due December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1,456,171 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deferred debt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borrowings and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1,282,816 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 May 2026, we issued the 2031 Notes, which included the exercise in full of the option granted to the initial purchasers to purchase up to an additional $150 million aggregate principal amount of the 2031 Notes. The 2031 Notes are senior, unsecured obligations guaranteed by our wholly-owned subsidiary Guardian Assets, Inc. (“Guardian”). The 2031 Notes will mature on July 15, 2031, unless earlier repurchased, redeemed or converted. We incurred $21.0 million of debt issuance costs associated with the 2031 Notes. As of June 30, 2026, the effective interest rate for the 2031 Notes was 0.03%, primarily reflecting the accretion of debt issuance costs. The net proceeds from the offering of the 2031 Notes were used to fund the cost of entering into privately negotiated capped call transactions (the “Capped Calls”) and for general corporate purposes, including capital expenditures.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under the following conditions: (1) during any calendar quarter commencing after the calendar quarter ending on June 30, 2026 and only during such fiscal quarter, if the last reported sale price of our common stock for at least 20 trading days (whether or not consecutive) during a period of 30 consecutive trading days ending on, and including, the last trading day of the immediately preceding calendar quarter exceeds (x) before July 15, 2030, 150% and (y) on or after July 15, 2030, 130%, in each case, of the conversion price on each applicable trading day; (2) during the five consecutive business days immediately after any ten consecutive trading day period in which the trading price per $1,000 principal amount of notes for each trading day of such five consecutive trading day period was less than 98% of the product of the last reported sale price of our common stock and the conversion rate on each such trading day; (3) if we call any notes for redemption; or (4) upon the occurrence of specified corporate events. On or after April 15, 2031, until the close of business on the second scheduled trading day immediately preceding the maturity date, holders of the 2031 Notes may convert all or any portion of their notes at any time, in integral multiples of $1,000 principal amount, at the option of the holder regardless of the foregoing conditions. Upon conversion, we will settle conversions of the 2031 Notes by paying cash up to the aggregate principal amount of the 2031 Notes and pay or deliver, as applicable, cash or shares of our common stock, based on the applicable conversion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none of the conditions permitting the holders of the 2031 Notes to convert their notes early had been met. Therefore, the 2031 Notes are classified as long-term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redeem the 2031 Notes prior to May 15, 2029. On or after May 15, 2029, we may redeem all or a portion of the 2031 Notes for cash at our option if certain stock price and other conditions are satisfied, at a redemption price equal to 100% of the principal amount to be redeemed, plus accrued and unpaid interest to, but excluding, the redemption date. If we redeem less than all of the outstanding 2031 Notes, at least $150 million aggregate principal amount of notes must be outstanding and not subject to redemption as of, and after giving effect to, delivery of the relevant notice of redemption. No sinking fund is provided for the 2031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for the 2031 Notes is 9.4013 shares of common stock per $1,000 principal amount of the 2031 Notes, which represents an initial conversion price of approximately $106.37 per share of our common stock. The conversion rate and conversion price are subject to customary adjustments upon the occurrence of certain events. In addition, holders who convert their 2031 Notes in connection with a “make-whole fundamental change” (as defined in the indenture for the 2031 Notes) or a notice of redemption may be entitled to an increase in the conversion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 “fundamental change” (as defined in the indenture for the 2031 Notes) occurs, then, subject to certain conditions, noteholders may require us to repurchase their 2031 Notes for cash at a price equal to the principal amount of the 2031 Notes to be repurchased, plus accrued and unpaid interest, if any, to, but excluding, the applicable repurchase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2031 Notes include customary covenants and certain events of default after which the 2031 Notes may be declared immediately due and payable and set forth certain types of bankruptcy or insolvency events of default after which the notes become automatically due and payable.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2031 Notes, we entered into the Capped Calls with certain financial institutions at an aggregate cost of approximately $56.4 million. The Capped Calls initially cover, subject to anti-dilution adjustments, approximately 10.8 million shares of common stock underlying the 2031 Notes.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Capped Calls can be settled in cash or shares at our option and are expected generally to reduce the potential dilution to common stock upon any conversion of the 2031 Notes and/or offset any cash payments we are required to make in excess of the principal amount of the 2031 Notes. The Capped Calls have an initial strike price of approximately $106.37 per share and an initial cap price of $139.50 per share, which are subject to certain adjustments under the terms of the Capped Calls. The Capped Calls meet the criteria for classification in equity, are not remeasured each reporting period and are included, net of tax, as a reduction to additional paid-in-capital within shareholders’ equity in the Consolidated Balance Sheets.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May 2025, we entered into a $1.0 billion senior secured revolving credit facility (the “2025 Revolving Credit Facility”) guaranteed by Amkor Technology Singapore Holding Pte. Ltd. (“ATSH”) and Guardian. The maximum borrowing capacity under the 2025 Revolving Credit Facility is $1.0 billion. The 2025 Revolving Credit Facility includes an uncommitted optional accordion of up to $200.0 million, which may be incurred in the form of revolving commitment increases or term loans. As of June 30, 2026, $1.0 billion was available for future borrowings under the 2025 Revolving Credit Facility.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 May 2024, we entered into a ₩80.0 billion (approximately $59 million) term loan agreement with the option to borrow and re-borrow the funds up to six times per year through May 2027. Principal is payable at maturity, and interest is payable monthly at a fixed rate of 3.95%. As of June 30, 2026, ₩80.0 billion, or approximately $52 million, was available to be drawn.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(4)We entered into various short-term term loans which mature semiannually. Principal and interest are payable in monthly installments. As of June 30, 2026, $3.1 million was available to be drawn.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debt is collateralized by the land, buildings, equipment and capital stock of subsidiaries. As of June 30, 2026, the collateralized debt balance was $865.8 million, of which $611.9 million of assets and subsidiary capital stock were pledged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indebtedness. The agreements governing our indebtedness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all debt covenants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Pension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Defined Benefit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W w:w="8451" w:type="dxa"/>
        <w:jc w:val="left"/>
        <w:tblInd w:w="0" w:type="dxa"/>
        <w:tblLayout w:type="fixed"/>
        <w:tblCellMar>
          <w:top w:w="28" w:type="dxa"/>
          <w:left w:w="28" w:type="dxa"/>
          <w:bottom w:w="28" w:type="dxa"/>
          <w:right w:w="28" w:type="dxa"/>
        </w:tblCellMar>
      </w:tblPr>
      <w:tblGrid>
        <w:gridCol w:w="933"/>
        <w:gridCol w:w="820"/>
        <w:gridCol w:w="827"/>
        <w:gridCol w:w="273"/>
        <w:gridCol w:w="798"/>
        <w:gridCol w:w="141"/>
        <w:gridCol w:w="141"/>
        <w:gridCol w:w="141"/>
        <w:gridCol w:w="141"/>
        <w:gridCol w:w="273"/>
        <w:gridCol w:w="798"/>
        <w:gridCol w:w="141"/>
        <w:gridCol w:w="109"/>
        <w:gridCol w:w="109"/>
        <w:gridCol w:w="109"/>
        <w:gridCol w:w="253"/>
        <w:gridCol w:w="741"/>
        <w:gridCol w:w="131"/>
        <w:gridCol w:w="131"/>
        <w:gridCol w:w="131"/>
        <w:gridCol w:w="131"/>
        <w:gridCol w:w="253"/>
        <w:gridCol w:w="741"/>
        <w:gridCol w:w="185"/>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7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gain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gain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expense</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pension cost other than the service cost component are included in other (income) expense, net in our Consolidated Statements of Income.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Defined Contribution Pension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sponsor defined contribution pension plans in Korea, Malaysia, Taiwan and the U.S. The following table summarizes our defined contribution expense: </w:t>
      </w:r>
    </w:p>
    <w:tbl>
      <w:tblPr>
        <w:tblW w:w="8403" w:type="dxa"/>
        <w:jc w:val="center"/>
        <w:tblInd w:w="0" w:type="dxa"/>
        <w:tblLayout w:type="fixed"/>
        <w:tblCellMar>
          <w:top w:w="28" w:type="dxa"/>
          <w:left w:w="28" w:type="dxa"/>
          <w:bottom w:w="28" w:type="dxa"/>
          <w:right w:w="28" w:type="dxa"/>
        </w:tblCellMar>
      </w:tblPr>
      <w:tblGrid>
        <w:gridCol w:w="917"/>
        <w:gridCol w:w="806"/>
        <w:gridCol w:w="811"/>
        <w:gridCol w:w="273"/>
        <w:gridCol w:w="798"/>
        <w:gridCol w:w="141"/>
        <w:gridCol w:w="141"/>
        <w:gridCol w:w="141"/>
        <w:gridCol w:w="141"/>
        <w:gridCol w:w="273"/>
        <w:gridCol w:w="798"/>
        <w:gridCol w:w="141"/>
        <w:gridCol w:w="109"/>
        <w:gridCol w:w="109"/>
        <w:gridCol w:w="109"/>
        <w:gridCol w:w="232"/>
        <w:gridCol w:w="793"/>
        <w:gridCol w:w="119"/>
        <w:gridCol w:w="119"/>
        <w:gridCol w:w="119"/>
        <w:gridCol w:w="119"/>
        <w:gridCol w:w="232"/>
        <w:gridCol w:w="793"/>
        <w:gridCol w:w="16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expense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Derivatives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hedge certain net investment positions in foreign subsidiaries. To accomplish this, we enter into foreign currency forward contracts, generally settled monthly, that are designated as hedges of net investments.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foreign exchange forward contracts consisted of the following:</w:t>
      </w:r>
    </w:p>
    <w:tbl>
      <w:tblPr>
        <w:tblW w:w="10205" w:type="dxa"/>
        <w:jc w:val="center"/>
        <w:tblInd w:w="0" w:type="dxa"/>
        <w:tblLayout w:type="fixed"/>
        <w:tblCellMar>
          <w:top w:w="28" w:type="dxa"/>
          <w:left w:w="28" w:type="dxa"/>
          <w:bottom w:w="28" w:type="dxa"/>
          <w:right w:w="28" w:type="dxa"/>
        </w:tblCellMar>
      </w:tblPr>
      <w:tblGrid>
        <w:gridCol w:w="840"/>
        <w:gridCol w:w="662"/>
        <w:gridCol w:w="543"/>
        <w:gridCol w:w="213"/>
        <w:gridCol w:w="835"/>
        <w:gridCol w:w="110"/>
        <w:gridCol w:w="109"/>
        <w:gridCol w:w="109"/>
        <w:gridCol w:w="109"/>
        <w:gridCol w:w="252"/>
        <w:gridCol w:w="602"/>
        <w:gridCol w:w="130"/>
        <w:gridCol w:w="109"/>
        <w:gridCol w:w="109"/>
        <w:gridCol w:w="109"/>
        <w:gridCol w:w="402"/>
        <w:gridCol w:w="333"/>
        <w:gridCol w:w="334"/>
        <w:gridCol w:w="109"/>
        <w:gridCol w:w="109"/>
        <w:gridCol w:w="109"/>
        <w:gridCol w:w="213"/>
        <w:gridCol w:w="835"/>
        <w:gridCol w:w="110"/>
        <w:gridCol w:w="109"/>
        <w:gridCol w:w="109"/>
        <w:gridCol w:w="109"/>
        <w:gridCol w:w="239"/>
        <w:gridCol w:w="737"/>
        <w:gridCol w:w="123"/>
        <w:gridCol w:w="109"/>
        <w:gridCol w:w="109"/>
        <w:gridCol w:w="109"/>
        <w:gridCol w:w="306"/>
        <w:gridCol w:w="306"/>
        <w:gridCol w:w="445"/>
      </w:tblGrid>
      <w:tr>
        <w:trPr/>
        <w:tc>
          <w:tcPr>
            <w:tcW w:w="8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0"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not designated as hedging instruments</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dollar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peso</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dollar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not designated as hedging instruments</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404,324 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415,223 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9"/>
        <w:gridCol w:w="742"/>
        <w:gridCol w:w="668"/>
        <w:gridCol w:w="213"/>
        <w:gridCol w:w="835"/>
        <w:gridCol w:w="110"/>
        <w:gridCol w:w="109"/>
        <w:gridCol w:w="109"/>
        <w:gridCol w:w="109"/>
        <w:gridCol w:w="261"/>
        <w:gridCol w:w="577"/>
        <w:gridCol w:w="134"/>
        <w:gridCol w:w="109"/>
        <w:gridCol w:w="109"/>
        <w:gridCol w:w="109"/>
        <w:gridCol w:w="332"/>
        <w:gridCol w:w="332"/>
        <w:gridCol w:w="334"/>
        <w:gridCol w:w="109"/>
        <w:gridCol w:w="109"/>
        <w:gridCol w:w="109"/>
        <w:gridCol w:w="213"/>
        <w:gridCol w:w="835"/>
        <w:gridCol w:w="110"/>
        <w:gridCol w:w="109"/>
        <w:gridCol w:w="109"/>
        <w:gridCol w:w="109"/>
        <w:gridCol w:w="261"/>
        <w:gridCol w:w="577"/>
        <w:gridCol w:w="134"/>
        <w:gridCol w:w="109"/>
        <w:gridCol w:w="109"/>
        <w:gridCol w:w="109"/>
        <w:gridCol w:w="305"/>
        <w:gridCol w:w="305"/>
        <w:gridCol w:w="443"/>
      </w:tblGrid>
      <w:tr>
        <w:trPr/>
        <w:tc>
          <w:tcPr>
            <w:tcW w:w="84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color w:val="000000"/>
                <w:sz w:val="20"/>
              </w:rPr>
            </w:pPr>
            <w:r>
              <w:rPr>
                <w:rFonts w:ascii="Times New Roman;serif" w:hAnsi="Times New Roman;serif"/>
                <w:b/>
                <w:color w:val="000000"/>
                <w:sz w:val="20"/>
              </w:rPr>
              <w:t>Forward contracts designated as net investment hedging instruments</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forward contracts designated as net investment hedging instruments</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incurred a net loss of $2.4 million and $5.9 million, respectively, due to the impact of derivatives not designated as hedging instruments, which includes the forward costs, and the revaluation of the related hedged items. For the three and six months ended June 30, 2025, we incurred a net loss of $3.7 million and $6.6 million, respectively, due to the impact of derivatives not designated as hedging instruments, which includes the forward costs, and the revaluation of the related hedged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3"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gain or loss recognized on our derivatives designated as net investment hedging instruments:</w:t>
      </w:r>
    </w:p>
    <w:tbl>
      <w:tblPr>
        <w:tblW w:w="10205" w:type="dxa"/>
        <w:jc w:val="left"/>
        <w:tblInd w:w="0" w:type="dxa"/>
        <w:tblLayout w:type="fixed"/>
        <w:tblCellMar>
          <w:top w:w="28" w:type="dxa"/>
          <w:left w:w="28" w:type="dxa"/>
          <w:bottom w:w="28" w:type="dxa"/>
          <w:right w:w="28" w:type="dxa"/>
        </w:tblCellMar>
      </w:tblPr>
      <w:tblGrid>
        <w:gridCol w:w="943"/>
        <w:gridCol w:w="829"/>
        <w:gridCol w:w="832"/>
        <w:gridCol w:w="821"/>
        <w:gridCol w:w="635"/>
        <w:gridCol w:w="636"/>
        <w:gridCol w:w="109"/>
        <w:gridCol w:w="109"/>
        <w:gridCol w:w="109"/>
        <w:gridCol w:w="229"/>
        <w:gridCol w:w="669"/>
        <w:gridCol w:w="118"/>
        <w:gridCol w:w="118"/>
        <w:gridCol w:w="118"/>
        <w:gridCol w:w="118"/>
        <w:gridCol w:w="229"/>
        <w:gridCol w:w="712"/>
        <w:gridCol w:w="118"/>
        <w:gridCol w:w="109"/>
        <w:gridCol w:w="109"/>
        <w:gridCol w:w="109"/>
        <w:gridCol w:w="220"/>
        <w:gridCol w:w="682"/>
        <w:gridCol w:w="113"/>
        <w:gridCol w:w="113"/>
        <w:gridCol w:w="113"/>
        <w:gridCol w:w="113"/>
        <w:gridCol w:w="220"/>
        <w:gridCol w:w="682"/>
        <w:gridCol w:w="170"/>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on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forward rate and spot rate of the forward contracts</w:t>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forward contracts</w:t>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14.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derivative financial instruments are valued using quoted market prices for similar assets. Counterparties to these derivative contracts are highly rated financial institutions.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measure certain assets and liabilities, including property, plant and equipment and goodwill, at fair value on a nonrecurring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4"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AMKOR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We measure the fair value of our debt for disclosure purposes. The following table presents the fair value of our debt:</w:t>
      </w:r>
    </w:p>
    <w:tbl>
      <w:tblPr>
        <w:tblW w:w="10205" w:type="dxa"/>
        <w:jc w:val="left"/>
        <w:tblInd w:w="0" w:type="dxa"/>
        <w:tblLayout w:type="fixed"/>
        <w:tblCellMar>
          <w:top w:w="28" w:type="dxa"/>
          <w:left w:w="28" w:type="dxa"/>
          <w:bottom w:w="28" w:type="dxa"/>
          <w:right w:w="28" w:type="dxa"/>
        </w:tblCellMar>
      </w:tblPr>
      <w:tblGrid>
        <w:gridCol w:w="1472"/>
        <w:gridCol w:w="1255"/>
        <w:gridCol w:w="126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7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(Level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 and term loans (Level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2,727,002 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1,445,246 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senior notes and convertible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warrant that our services will be performed in a professional and workmanlike manner and in compliance with our customers’ specifications. We accrue costs for known warranty issues. Historically, our warranty costs have been immaterial.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could change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various contracts related to the construction and development of our manufacturing facilities. As of June 30, 2026, the remaining commitments under these contracts were approximately $991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5"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 is the world’s largest U.S. headquartered outsourced semiconductor assembly and test provider (“OSAT”). We are an industry leader in developing and commercializing advanced packaging and test technologies, which we believe provide substantial value to our customers. Our primary financial objective is profitable sales growth. To achieve this goal, we are focused on leveraging our technology leadership and innovation, providing our customers with a geographically diverse manufacturing footprint, partnering with lead customers in the key markets of high-performance computing (“HPC”) and artificial intelligence (“AI”), automotive, Internet-of-Things (“IoT”) and mobile communications, selectively growing our scale and scope through strategic investments and optimizing utilization of existing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 is a global leader in advanced semiconductor packaging and test technologies. Our technology leadership encompasses areas such as high density fan-out (“HDFO”), 2.5D integration, advanced flip chip, fine pitch bumping, wafer-level processing and advanced system-in-package (“SiP”) solutions which support the industry’s drive toward smaller form factors, higher integration, improved performance and lower power consumption. We provide turnkey solutions that include package design, wafer bump, wafer probe, wafer back-grind, packaging, burn-in, system level and final test and drop shipment services. Our extensive line of packaging and test services covers analog, digital, logic, mixed signal, memory, sensors and radio frequency devices. This breadth of services allows customers to limit the number of suppliers and focus their resources on semiconductor design and wafer fabrication. Our commitment to technology leadership is reinforced by ongoing investment in research and development, and we intend to continue to leverage our investments in advanced technology to meet the demand for these services in key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Amkor’s broad and strategically located manufacturing footprint is a key differentiator, enabling us to deliver flexible, resilient and cost-effective solutions to customers worldwide. With facilities located in key manufacturing regions in Asia and Europe, we provide customers with multiple options to mitigate risk, diversify supply chains and support regionalization initiatives. As a U.S. headquartered OSAT, we are expanding our manufacturing footprint with the construction of a new facility in Arizona. Construction began in the second half of 2025, and we believe that this investment will strengthen our ability to serve customers seeking to regionalize their supply chains and will enhance our participation in U.S. semiconductor initiatives. In addition, we continue to scale production in our Vietnam facility, which opened in 2024, further increasing our capacity and operational flexibility in Asia. Our scale and geographic diversity allow us to qualify production at multiple sites and optimize asset utilization.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Amkor has built long-standing relationships with most of the world’s leading semiconductor companies over the last five decades. Our operational excellence, high quality, reliability and predictability have been key to attracting and retaining customers. Our collaborative approach enables us to work closely with customers and suppliers to co-develop proprietary process technologies, accelerate time-to-market, improve quality and lower costs. We work closely with lead customers to deliver advanced packaging solutions tailored to evolving industry needs.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HPC supporting AI and increasing demand for improved networking speed and storage within data centers, cloud computing, PCs and laptops are driving increasing demand for semiconductors and advanced packaging in the computing end market. Increasing semiconductor content in automobiles is driving demand for advanced packaging to enable safety features such as advanced driver assistance systems (“ADAS”), in-car computing, radar and digital cockpit features such as infotainment displays and telematics. Increasing battery voltage, higher voltage power converters, onboard chargers, automotive inverter components and microcontrollers also require innovative power packaging solutions. Hearables, watches and augmented and virtual reality devices integrate multiple functions, such as processors, sensors and connectivity devices, into small form factors, which requires innovation in advanced packaging. We have a strong position across multiple device functionalities within premium and high-tier smartphones. We are collaborating with industry leaders as smartphones transition to include artificial intelligence and drive semiconductor growth through the adoption of new wireless standards, integration of a broad range of applications, enhanced features and higher performance requirements to support increased data processing. The trend to greater functionality drives miniaturization and innovation enabled by advanced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cyclical upturns and downturns in the past. We cannot predict the timing, strength or duration of any correction, economic slowdown, recession or subsequent economic recovery.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other investments and servicing principal and interest obligations with respect to our debt, from cash flows from our operations, existing cash and cash equivalents, borrowings under available debt facilities and/or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 As of June 30, 2026, we had cash and cash equivalents and short-term investments of $1,551.9 million and $960.3 million,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have historically fluctuated significantly from quarter to quarter due to many factors, including the seasonality of our business, the cyclical nature of the semiconductor industry and other factors discussed in the “Risk Factors” section in Part II, Item 1A of this Form 10-Q.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Financial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increased $386.6 million, or 25.6%, to $1,898.0 million for the three months ended June 30, 2026 compared to $1,511.4 million for the three months ended June 30, 2025, due to growth across all end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2026 increased to 16.8% compared to 12.0% for the three months ended June 30, 2025. The increase in gross margin was primarily due to higher factory utilization driven by the increase in 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income margin for the three months ended June 30, 2026 increased to 10.5% compared to 6.1% for the three months ended June 30, 2025, primarily due to the increase in our gross margin discussed above and a gain on disposal of fixed assets, partially offset by the net amount recognized in 2025 for a cash receipt subject to bankruptcy proceedings related to our Nanium acquisition in May 2017 (“Nanium Insolvency Receipt”).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totaled $688.4 million for the six months ended June 30, 2026 compared to $226.1 million for the six months ended June 30, 2025. Our spending was primarily focused on investments in advanced packaging and test equipment and the Arizona Facility.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$381.6 million for the six months ended June 30, 2026 compared to $282.6 million for the six months ended June 30, 2025. This increase was primarily due to higher operating profits, partially offset by changes in working capital.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operating data as a percentage of net sales for the periods indicated:</w:t>
      </w:r>
    </w:p>
    <w:tbl>
      <w:tblPr>
        <w:tblW w:w="8780" w:type="dxa"/>
        <w:jc w:val="left"/>
        <w:tblInd w:w="0" w:type="dxa"/>
        <w:tblLayout w:type="fixed"/>
        <w:tblCellMar>
          <w:top w:w="28" w:type="dxa"/>
          <w:left w:w="28" w:type="dxa"/>
          <w:bottom w:w="28" w:type="dxa"/>
          <w:right w:w="28" w:type="dxa"/>
        </w:tblCellMar>
      </w:tblPr>
      <w:tblGrid>
        <w:gridCol w:w="952"/>
        <w:gridCol w:w="838"/>
        <w:gridCol w:w="759"/>
        <w:gridCol w:w="278"/>
        <w:gridCol w:w="278"/>
        <w:gridCol w:w="572"/>
        <w:gridCol w:w="243"/>
        <w:gridCol w:w="243"/>
        <w:gridCol w:w="243"/>
        <w:gridCol w:w="278"/>
        <w:gridCol w:w="278"/>
        <w:gridCol w:w="572"/>
        <w:gridCol w:w="109"/>
        <w:gridCol w:w="109"/>
        <w:gridCol w:w="109"/>
        <w:gridCol w:w="278"/>
        <w:gridCol w:w="278"/>
        <w:gridCol w:w="523"/>
        <w:gridCol w:w="223"/>
        <w:gridCol w:w="223"/>
        <w:gridCol w:w="223"/>
        <w:gridCol w:w="278"/>
        <w:gridCol w:w="278"/>
        <w:gridCol w:w="615"/>
      </w:tblGrid>
      <w:tr>
        <w:trPr/>
        <w:tc>
          <w:tcPr>
            <w:tcW w:w="9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manufacturing costs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Amkor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righ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tbl>
      <w:tblPr>
        <w:tblW w:w="11030" w:type="dxa"/>
        <w:jc w:val="left"/>
        <w:tblInd w:w="0" w:type="dxa"/>
        <w:tblLayout w:type="fixed"/>
        <w:tblCellMar>
          <w:top w:w="28" w:type="dxa"/>
          <w:left w:w="28" w:type="dxa"/>
          <w:bottom w:w="28" w:type="dxa"/>
          <w:right w:w="28" w:type="dxa"/>
        </w:tblCellMar>
      </w:tblPr>
      <w:tblGrid>
        <w:gridCol w:w="168"/>
        <w:gridCol w:w="148"/>
        <w:gridCol w:w="150"/>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5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30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4"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net sales for the three and six months ended June 30, 2026 compared to the three and six months ended June 30, 2025 was due to growth across all end markets. The communications end market grew 32% and 37% and the automotive and industrial end market grew 35% and 31% for the three and six months ended June 30, 2026 compared to 2025, respectively, primarily due to increased supported content in premium tier smartphones and growth in ADAS and industrial applications. Additionally, the computing end market grew 23% and 21% for the three and six months ended June 30, 2026 compared to 2025, respectively, primarily driven by strength in datacenter.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9902"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218,142 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higher material costs than our other products. An increase in production of these higher material cost products could have an impact on our profitability, depending on overall utilization.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and gross margin increased for the three and six months ended June 30, 2026 compared to the three and six months ended June 30, 2025, primarily due to higher factory utilization driven by the increase in net sales.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tbl>
      <w:tblPr>
        <w:tblW w:w="10775" w:type="dxa"/>
        <w:jc w:val="left"/>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25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01"/>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4"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pPr>
      <w:r>
        <w:rPr>
          <w:rFonts w:ascii="Times New Roman;serif" w:hAnsi="Times New Roman;serif"/>
          <w:b w:val="false"/>
          <w:color w:val="000000"/>
          <w:sz w:val="20"/>
        </w:rPr>
        <w:t>Selling, general and administrative expenses increased for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and six months ended June 30, 2025, primarily due to the Nanium Insolvency Receipt recognized in 2025 and increased employee compensation costs, partially offset by a gain on disposal of fixed assets. The amount recognized from the Nanium Insolvency Receipt for the three and six months ended June 30, 2025, net of amounts remitted to the selling shareholders, was $32.4 million. The gain recognized from the disposal of fixed assets for the three and six months ended June 30, 2026 was approximately $21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5"/>
        <w:gridCol w:w="196"/>
        <w:gridCol w:w="256"/>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5"/>
        <w:gridCol w:w="196"/>
        <w:gridCol w:w="30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4"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for the three and six months ended June 30, 2026 compared to the three and six months ended June 30, 2025, primarily due to projects moving into production, partially offset by development projects in new advanced packaging technologies.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and Expense</w:t>
      </w:r>
    </w:p>
    <w:tbl>
      <w:tblPr>
        <w:tblW w:w="10295" w:type="dxa"/>
        <w:jc w:val="center"/>
        <w:tblInd w:w="0" w:type="dxa"/>
        <w:tblLayout w:type="fixed"/>
        <w:tblCellMar>
          <w:top w:w="28" w:type="dxa"/>
          <w:left w:w="28" w:type="dxa"/>
          <w:bottom w:w="28" w:type="dxa"/>
          <w:right w:w="28" w:type="dxa"/>
        </w:tblCellMar>
      </w:tblPr>
      <w:tblGrid>
        <w:gridCol w:w="470"/>
        <w:gridCol w:w="146"/>
        <w:gridCol w:w="135"/>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40"/>
        <w:gridCol w:w="241"/>
        <w:gridCol w:w="256"/>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40"/>
        <w:gridCol w:w="241"/>
        <w:gridCol w:w="301"/>
      </w:tblGrid>
      <w:tr>
        <w:trPr/>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for the three and six months ended June 30, 2026 compared to the three and six months ended June 30, 2025, primarily due to increases in our cash and cash equivalent and available-for-sale debt investment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foreign currency (gain) loss, net for the three and six months ended June 30, 2026 compared to the three and six months ended June 30, 2025 were primarily due to the weakening of the U.S. dollar compared to the foreign currencies of our subsidiaries and the associated impact on our unhedged net monetary exposures in 2025.</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8585" w:type="dxa"/>
        <w:jc w:val="left"/>
        <w:tblInd w:w="0" w:type="dxa"/>
        <w:tblLayout w:type="fixed"/>
        <w:tblCellMar>
          <w:top w:w="28" w:type="dxa"/>
          <w:left w:w="28" w:type="dxa"/>
          <w:bottom w:w="28" w:type="dxa"/>
          <w:right w:w="28" w:type="dxa"/>
        </w:tblCellMar>
      </w:tblPr>
      <w:tblGrid>
        <w:gridCol w:w="548"/>
        <w:gridCol w:w="482"/>
        <w:gridCol w:w="484"/>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which includes foreign withholding taxes, minimum taxes and certain tax credits, reflects the applicable tax rates in effect in the various countries where our income is earned and is subject to volatility depending on the relative mix of earnings in each location. Income tax expense increased for the three and six months ended June 30, 2026 compared to the three and six months ended June 30, 2025, primarily due to an increase in income before income taxes. Income tax expense for the three months ended June 30, 2025 included discrete tax expense associated with the Nanium Insolvency Receipt.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our subsidiaries in Singapore and Vietnam operated under various conditional reduced tax rates. The conditional reduced tax rates granted to certain operations in Korea expired during 2025. As these conditional reduced tax rates expire, income earned in these jurisdictions will be subject to higher statutory income tax rates, which may cause our effective tax rate to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4 to our Consolidated Financial Statements in Part 1, Item 1 of this Form 10-Q for additional information about our income tax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and the source of funds for our operations are cash flows from operations, current cash and cash equivalents, short-term investments, borrowings under available credit facilities and proceeds from debt or equity financings. Please refer to Note 7 and Note 11 to our Consolidated Financial Statements in Part 1, Item 1 of this Form 10-Q for additional information on our investments and borrowings, respectively. </w:t>
      </w:r>
    </w:p>
    <w:p>
      <w:pPr>
        <w:pStyle w:val="TextBody"/>
        <w:bidi w:val="0"/>
        <w:spacing w:lineRule="auto" w:line="288" w:before="0" w:after="180"/>
        <w:jc w:val="both"/>
        <w:rPr/>
      </w:pPr>
      <w:r>
        <w:rPr>
          <w:rFonts w:ascii="Times New Roman;serif" w:hAnsi="Times New Roman;serif"/>
          <w:b w:val="false"/>
          <w:color w:val="000000"/>
          <w:sz w:val="20"/>
        </w:rPr>
        <w:t>As of June 30, 2026, we had cash and cash e</w:t>
      </w:r>
      <w:r>
        <w:rPr>
          <w:rFonts w:ascii="Times New Roman;serif" w:hAnsi="Times New Roman;serif"/>
          <w:b w:val="false"/>
          <w:color w:val="000000"/>
          <w:sz w:val="20"/>
          <w:shd w:fill="FFFFFF" w:val="clear"/>
        </w:rPr>
        <w:t>quivalents and short-term investments of $2,512.2 million. Included in our cash and short-term investments balances as of June 30, 2026 is</w:t>
      </w:r>
      <w:r>
        <w:rPr>
          <w:color w:val="000000"/>
        </w:rPr>
        <w:t xml:space="preserve"> </w:t>
      </w:r>
      <w:r>
        <w:rPr>
          <w:rFonts w:ascii="Times New Roman;serif" w:hAnsi="Times New Roman;serif"/>
          <w:b w:val="false"/>
          <w:color w:val="000000"/>
          <w:sz w:val="20"/>
        </w:rPr>
        <w:t xml:space="preserve">$1,269.9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six months ended June 30, 2026 and 2025, we sold receivables totaling $30.4 million and $25.5 million, respectively, net of discounts and fees, which were insignificant for the respective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we signed a Direct Funding Agreement with the U.S. Department of Commerce (the “Commerce Department”) for the award of up to $407 million in government incentives pursuant to the CHIPS Act, and no funds have been received to date. The award requires us to achieve construction and production milestones over the next several years. In addition, we are eligible to receive a 35% investment tax credit on qualified investments in U.S. semiconductor manufacturing under the CHIPS Act and the One Big Beautiful Bill Act (“OBBBA”).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maximum amount available to draw under the 2025 Revolving Credit Facility is $1.0 billion. The 2025 Revolving Credit Facility includes an uncommitted optional accordion of up to $200.0 million, which may be incurred in the form of revolving commitment increases or term loans. As of June 30, 2026, we had availability of $1.0 billion under the 2025 Revolving Credit Facility. As of June 30, 2026, our foreign subsidiaries also had $54.7 million available to be borrowed under term loan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issued $1.15 billion of the 2031 Notes. The 2031 Notes were issued pursuant to, and are governed by, an indenture, dated as of May 5, 2026, between us and U.S. Bank Trust Company, National Association, as trustee. In connection with the issuance of the 2031 Notes, we entered into the Capped Calls. The net proceeds from the offering of the 2031 Notes were used to fund the cost of entering into the Capped Calls and for general corporate purposes, including capital expenditures. For additional information regarding the 2031 Notes and Capped Calls, please refer to Note 11 to our Consolidated Financial Statements in Part I,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debt of $2,485.7 million, with $150.8 million payable within 12 months. As of June 30, 2026, the interest payment obligations, based on stated coupon rates for fixed rate debt and interest rates applicable at June 30, 2026 for variable rate debt, were $333.1 million during the remaining term of the debt. Interest payment obligations payable within 12 months were $63.4 million. We were in compliance with all debt covenants as of June 30, 2026, and we expect to remain in compliance with these covenants for at least the next 12 months. For additional information regarding our debt arrangements, please refer to Note 11 to our Consolidated Financial Statements in Part 1,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debt agreements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debt of Amkor Technology, Inc. is structurally subordinated in right of payment to all existing and future debt and other liabilities of our subsidiaries. From time to time, Amkor Technology, Inc., ATSH and Guardian guarantee certain indebtedness.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certain machinery and equipment, office space and manufacturing facilities. As of June 30, 2026, our total remaining operating lease obligations and finance lease obligations were $71.6 million and $145.1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$25.3 million and $45.5 million payable within 12 months, respectively. The lease obligations represent our future minimum lease payments including interest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had off-balance sheet purchase obligations for capital expenditures, long-term supply contracts and other contractual commitments. As of June 30, 2026, the purchase obligations were $1,465.2 million, with $1,395.1 million payable within 12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 into customer advance payment agreements from time to time, some of which require standby letters of credit. As of June 30, 2026, we expect to receive approximately $300 million of advance payments over a two-year period, all of which will require standby letters of credit upon receipt. In July 2026, we received $100.0 million of customer advance payments and issued the related standby letters of credit. During the same month, we separately entered into an advance payment agreement with a customer pursuant to which we expect to receive approximately $1.5 billion in 2027. For additional information regarding our customer advance payments, please refer to Note 1 to our Consolidated Financial Statements in Part I, Item 1 of this Form 10-Q.</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paid total quarterly cash dividends of $41.4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23, 2026, our Board of Directors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At June 30, 2026, $300.0 million was available to repurchase common stock pursuant to the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significant capital expenditures in order to service the demand of our customers. During the six months ended June 30, 2026, our capital expenditures totaled $688.4 million, which are primarily focused on investments in advanced packaging and test equipment and the Arizona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our 2026 capital expenditures will be approximately $2.5 billion to $3.0 billion. The increase from 2025 is primarily due to the construction of the Arizona Facility. Ultimately, the amount of our 2026 capital expenditures will depend on several factors including, among others, the timing and implementation of any capital projects under review, including the progress of construction of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investing and financing activities for the six months ended June 30, 2026 and 2025, was as follows:</w:t>
      </w:r>
    </w:p>
    <w:tbl>
      <w:tblPr>
        <w:tblW w:w="4436" w:type="dxa"/>
        <w:jc w:val="left"/>
        <w:tblInd w:w="0" w:type="dxa"/>
        <w:tblLayout w:type="fixed"/>
        <w:tblCellMar>
          <w:top w:w="28" w:type="dxa"/>
          <w:left w:w="28" w:type="dxa"/>
          <w:bottom w:w="28" w:type="dxa"/>
          <w:right w:w="28" w:type="dxa"/>
        </w:tblCellMar>
      </w:tblPr>
      <w:tblGrid>
        <w:gridCol w:w="630"/>
        <w:gridCol w:w="553"/>
        <w:gridCol w:w="557"/>
        <w:gridCol w:w="213"/>
        <w:gridCol w:w="837"/>
        <w:gridCol w:w="110"/>
        <w:gridCol w:w="110"/>
        <w:gridCol w:w="110"/>
        <w:gridCol w:w="110"/>
        <w:gridCol w:w="213"/>
        <w:gridCol w:w="837"/>
        <w:gridCol w:w="15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Operating activities: </w:t>
      </w:r>
      <w:r>
        <w:rPr>
          <w:color w:val="000000"/>
        </w:rPr>
        <w:t> </w:t>
      </w:r>
      <w:r>
        <w:rPr>
          <w:rFonts w:ascii="Times New Roman;serif" w:hAnsi="Times New Roman;serif"/>
          <w:b w:val="false"/>
          <w:color w:val="000000"/>
          <w:sz w:val="20"/>
        </w:rPr>
        <w:t>Our cash flow provided by operating activities for the six months ended June 30, 2026 increased by $99.0 million compared to the six months ended June 30, 2025, primarily due to higher operating profits, partially offset by changes in working capital.</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Investing activities: </w:t>
      </w:r>
      <w:r>
        <w:rPr>
          <w:color w:val="000000"/>
          <w:shd w:fill="FFFFFF" w:val="clear"/>
        </w:rPr>
        <w:t> </w:t>
      </w:r>
      <w:r>
        <w:rPr>
          <w:rFonts w:ascii="Times New Roman;serif" w:hAnsi="Times New Roman;serif"/>
          <w:b w:val="false"/>
          <w:color w:val="000000"/>
          <w:sz w:val="20"/>
          <w:shd w:fill="FFFFFF" w:val="clear"/>
        </w:rPr>
        <w:t xml:space="preserve">Our cash flow used in investing activities for the </w:t>
      </w:r>
      <w:r>
        <w:rPr>
          <w:rFonts w:ascii="Times New Roman;serif" w:hAnsi="Times New Roman;serif"/>
          <w:b w:val="false"/>
          <w:color w:val="000000"/>
          <w:sz w:val="20"/>
        </w:rPr>
        <w:t>six months ended June 30, 2026 increased by $801.9 million compared to the six months ended June 30, 2025, primarily due to higher payments for property, plant and equipment and net payments for short-term investments in the current year. Payments for property, plant and equipment can fluctuate based on the timing of purchase, receipt and acceptance of equipment.</w:t>
      </w:r>
    </w:p>
    <w:p>
      <w:pPr>
        <w:pStyle w:val="TextBody"/>
        <w:bidi w:val="0"/>
        <w:spacing w:lineRule="auto" w:line="288" w:before="0" w:after="180"/>
        <w:jc w:val="both"/>
        <w:rPr/>
      </w:pPr>
      <w:r>
        <w:rPr>
          <w:rFonts w:ascii="Times New Roman;serif" w:hAnsi="Times New Roman;serif"/>
          <w:b w:val="false"/>
          <w:i/>
          <w:color w:val="000000"/>
          <w:sz w:val="20"/>
        </w:rPr>
        <w:t xml:space="preserve">Financing activities: </w:t>
      </w:r>
      <w:r>
        <w:rPr>
          <w:color w:val="000000"/>
        </w:rPr>
        <w:t> </w:t>
      </w:r>
      <w:r>
        <w:rPr>
          <w:rFonts w:ascii="Times New Roman;serif" w:hAnsi="Times New Roman;serif"/>
          <w:b w:val="false"/>
          <w:color w:val="000000"/>
          <w:sz w:val="20"/>
        </w:rPr>
        <w:t>The changes in financing activities for the six months ended June 30, 2026 compared to the six months ended June 30, 2025 were primarily due to increased net debt borrowings, partially offset by payments for Capped Calls.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tbl>
      <w:tblPr>
        <w:tblW w:w="8229" w:type="dxa"/>
        <w:jc w:val="left"/>
        <w:tblInd w:w="0" w:type="dxa"/>
        <w:tblLayout w:type="fixed"/>
        <w:tblCellMar>
          <w:top w:w="28" w:type="dxa"/>
          <w:left w:w="28" w:type="dxa"/>
          <w:bottom w:w="28" w:type="dxa"/>
          <w:right w:w="28" w:type="dxa"/>
        </w:tblCellMar>
      </w:tblPr>
      <w:tblGrid>
        <w:gridCol w:w="1987"/>
        <w:gridCol w:w="1749"/>
        <w:gridCol w:w="1754"/>
        <w:gridCol w:w="211"/>
        <w:gridCol w:w="901"/>
        <w:gridCol w:w="109"/>
        <w:gridCol w:w="109"/>
        <w:gridCol w:w="109"/>
        <w:gridCol w:w="109"/>
        <w:gridCol w:w="211"/>
        <w:gridCol w:w="826"/>
        <w:gridCol w:w="154"/>
      </w:tblGrid>
      <w:tr>
        <w:trPr/>
        <w:tc>
          <w:tcPr>
            <w:tcW w:w="1987"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and grants for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recently adopted and recently issued accounting standards, please refer to Note 1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Risk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primarily related to foreign currency and interest rate fluctuations. In the normal course of business, we employ established policies and procedures to manage the exposure to fluctuations in foreign currency values and changes in interest rates.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2026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six months ended June 30, 2026 would have been approximately $18 million lower, due to the remeasurement of monetary assets and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foreign currency exchange rate exposure on our results of operations. For the six months ended June 30, 2026, approximately 90% of our net sales were denominated in U.S. dollars. Our remaining net sales were principally denominated in Japanese yen. For the six months ended June 30, 2026,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2026 to assess the potential impact of fluctuations in exchange rates for all foreign denominated sales and operating expenses. Assuming that all foreign currencies appreciated 10% against the U.S. dollar, our operating income for the six months ended June 30, 2026 would have been approximately $84 million lower.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$1.5 million and $6.2 million for the six months ended June 30, 2026 and 2025, respectively, and was recognized as an adjustment to equity through other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7 to our Consolidated Financial Statements in Part I, Item 1 of this Form 10-Q.</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interest rates, maturities and fair value of our fixed and variable rate debt as of June 30, 2026:</w:t>
      </w:r>
    </w:p>
    <w:tbl>
      <w:tblPr>
        <w:tblW w:w="12607" w:type="dxa"/>
        <w:jc w:val="left"/>
        <w:tblInd w:w="0" w:type="dxa"/>
        <w:tblLayout w:type="fixed"/>
        <w:tblCellMar>
          <w:top w:w="28" w:type="dxa"/>
          <w:left w:w="28" w:type="dxa"/>
          <w:bottom w:w="28" w:type="dxa"/>
          <w:right w:w="28" w:type="dxa"/>
        </w:tblCellMar>
      </w:tblPr>
      <w:tblGrid>
        <w:gridCol w:w="470"/>
        <w:gridCol w:w="162"/>
        <w:gridCol w:w="164"/>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2026 - 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in thousands)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maturities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142,721 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135,904 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64,373 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443,333 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2,515,751 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2,727,002 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the fair value of our long-term debt, see Note 14 to our Consolidated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management, including our Chief Executive Officer and our Chief Financial Officer, of the effectiveness of the design and operation of our disclosure controls and procedures as of June 30, 2026 and concluded those disclosure controls and procedures were effective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2026. There have been no changes in our internal control over financial reporting that occurred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legal proceedings is set forth in Note 15 to our Consolidated Financial Statements in Part I, Item 1 of this Form 10-Q and in Note 17 to the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Item 1A. </w:t>
      </w:r>
      <w:r>
        <w:rPr>
          <w:color w:val="000000"/>
        </w:rPr>
        <w:t>    </w:t>
      </w:r>
      <w:r>
        <w:rPr>
          <w:rFonts w:ascii="Times New Roman;serif" w:hAnsi="Times New Roman;serif"/>
          <w:b/>
          <w:i/>
          <w:color w:val="000000"/>
          <w:sz w:val="20"/>
        </w:rPr>
        <w:t>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pStyle w:val="TextBody"/>
        <w:bidi w:val="0"/>
        <w:spacing w:lineRule="auto" w:line="247" w:before="0" w:after="18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costs, quality, availability and delivery times of raw materials, components and equipment;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operating results and cash flows;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competition with established competitors in the packaging and test business, the internal capabilities of integrated device manufacturers (“IDMs”), and other competitors, including foundries and contract manufacturers;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substantial investments in equipment and facilities to support the demand of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absence of backlog and the short-term nature of our customers’ commitments;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historical downward pressure on the prices of our packaging and test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downturn or lower sales to customers in the automotive industry;</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difficulty funding our liquidity needs;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challenges with integrating diverse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International Sales and Operations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dependence on international factories and operations, and risks relating to trade restrictions and regional conflict, including restrictive trade barriers, export controls, tariffs, customs and duties.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develop new proprietary technology, protect our proprietary technology, operate without infringing the proprietary rights of others, and implement new technologies;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continuing development and implementation of changes to, and maintenance and security of, our information technology systems.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restrictive covenants in the indentures and agreements governing our current and future indebtedness;</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our substantial indebtedness; </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the effect of interest rate increases on our variable rate indebtedness; </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fluctuations in interest rates and changes in credit risk; </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terms of the 2031 Notes could delay or prevent an otherwise beneficial takeover of us, may dilute the ownership interest of existing stockholders or may otherwise adversely affect the price of our common stock;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Capped Calls entered into in connection with the issuance of the 2031 Notes subject us to counterparty risk.</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ability of certain of our stockholders to effectively determine or substantially influence the outcome of matters requiring stockholder approval; and</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the possibility that we may decrease or suspend our quarterly dividend.</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47" w:before="0" w:after="180"/>
        <w:ind w:left="0" w:right="0" w:hanging="360"/>
        <w:jc w:val="both"/>
        <w:rPr/>
      </w:pPr>
      <w:r>
        <w:rPr>
          <w:color w:val="000000"/>
        </w:rPr>
        <w:t>•</w:t>
      </w:r>
      <w:r>
        <w:rPr>
          <w:rFonts w:ascii="Times New Roman;serif" w:hAnsi="Times New Roman;serif"/>
          <w:b w:val="false"/>
          <w:color w:val="000000"/>
          <w:sz w:val="20"/>
        </w:rPr>
        <w:t xml:space="preserve">difficulty attracting, retaining or replacing qualified personnel. </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maintaining an effective system of internal controls;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in tax laws, taxing authorities not agreeing with our interpretation of applicable tax laws, including whether we continue to qualify for conditional reduced tax rates, or any requirements to establish or adjust valuation allowances on deferred tax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health and safety liabilities and expenditures;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conditions and obligations in connection with the receipt of government awards and incentives.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natural disasters and other calamities, health conditions or pandemics, political instability, hostilities or other disruptions.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Business, Operations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packaging and test services are used in volatile industries, and industry downturns and declines in global economic and financial conditions could harm our performance.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markets in which we compete experience slower, or even negative growth, our business and results of operations may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 experienced, among other things, reduced demand, excess capacity and reduced sales. For example, in recent years, the macroeconomic environment has experienced uncertainty related to evolving tariff and trade policies, geopolitical tensions, inflationary pressures, labor market shortages and disputes, changes in interest rates, supply chain disruptions, foreign currency fluctuations and periods of volatility in global capital markets.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strategy depends in part on sustained demand for advanced semiconductor packaging driven by AI, HPC and related data center applications. If the pace of AI infrastructure buildout slows, if demand for AI-related semiconductors contracts due to changes in technology, regulatory constraints on AI, shifts in customer spending priorities or otherwise or if we are unable to develop and scale the advanced packaging technologies required to serve AI and HPC applications, our results of operations could be materially and adversely affected. The current level of AI-driven demand for semiconductor packaging may not be sustained, and a reversal or significant slowdown in such demand could result in excess capacity, reduced utilization and downward pressure on average selling prices, any of which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may suffer if the cost, quality or supply of materials or equipment changes adversely.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obtain the materials and equipment required for the packaging and test services performed by our factories from various vendors. We source most of our materials, including critical materials such as leadframes, laminate substrates and gold wire, from a limited group of suppliers. The costs of materials used in our packaging and test services have increased and may continue to increase, which could adversely impact our business, financial condition, results of operations and cash flows. A disruption to the operations of one or more of our suppliers could extend lead times for materials and equipment and have a negative impact on our business. For example, geopolitical events, including the ongoing conflicts in the Middle East and tensions between China and Taiwan, could disrupt global supply chains and adversely affect the availability and cost of materials and equipment, and furthermore, fire, severe weather, earthquakes, flooding and tsunamis in the past have impacted the supply of specialty chemicals, substrates, silicon wafers, equipment and other supplies to the electronics industry.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including memory and silicon wafers. Shortages or disruptions in our customers’ supply channels, including any disruptions arising out of the conflicts in Ukraine and Israel and the Middle East or other future conflicts, could have a material adverse effect on our business, financial condition,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rely on raw materials, including steel and other construction materials, in connection with construction and expansion projects, such as our Arizona Facility. Any shortages or delays in procuring such construction materials can materially delay construction milestones, which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may move their business to other suppliers, and our reputation and business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and cash flows have varied and may vary significantly as a result of factors that we cannot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demand for semiconductors and conditions in the semiconductor industry generally, as well as by specific customers, such as inventory reductions by our customers impacting demand in key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cost, quality, availability and delivery times of raw materials, components, equipment and labor;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inflation, including wage inflation, and fluctuations in energy prices and commodity prices, including gold, silver, copper and other precious metals;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our major growth objectives, including transitioning second-wave customers to advanced packages and increasing our share of the automotive and industrial end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our capacity and capacity utilization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interest rates and currency exchange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average selling prices which can occur quickly due to the absence of long-term agreements on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mix of the semiconductor packaging and test services that we sell;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expenditures in anticipation of future orders;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effective tax rates;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and cost of financing;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leverage and debt covenants;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transactions and disputes;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warranty and product liability claims and the impact of quality excursions and customer disputes and returns;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associated with legal claims, indemnification obligations, judgments and settlements;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instability, conflicts (such as the ongoing war between Russia and Ukraine, conflicts in the Middle East, tensions between China and Taiwan and recent U.S. military action in Venezuela) and government shutdowns, civil disturbances and international events;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environmental or natural disasters such as earthquakes, typhoons and volcanic eruptions;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pandemics or other widespread illnesses that may impact our labor force, operations, liquidity, supply chain and end-user demand for products which incorporate semiconductors;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of acquisitions and divestitures and difficulties integrating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qualified personnel to support our global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penetrate new end markets or expand our business in existing end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dependence on key customers or concentration of customers in certain end markets, such as mobile communications and automotive;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restructuring charges, asset write-offs and impairments.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the U.S. Bureau of Industry and Security has announced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compete against established competitors in the packaging and test business as well as internal capabilities of IDMs and face competition from foundries and contract manufacturers.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from foundries,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make substantial investments in equipment and facilities to support the demand of our customers, which may materially and adversely affect our business if the demand of our customers does not develop as we expect or is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began delivering advanced packages from the Vietnam Facility in the third quarter of 2024, and we began construction of our Arizona Facility in the second half of 2025. While manufacturing has begun at the Vietnam Facility and construction of our Arizona Facility is underway, there can be no assurance that the actual scope, costs or benefits of these projects will be consistent with our current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180"/>
        <w:jc w:val="both"/>
        <w:rPr/>
      </w:pPr>
      <w:r>
        <w:rPr>
          <w:rFonts w:ascii="Times New Roman;serif" w:hAnsi="Times New Roman;serif"/>
          <w:b/>
          <w:i/>
          <w:color w:val="000000"/>
          <w:sz w:val="20"/>
        </w:rPr>
        <w:t>We may face warranty claims, product return and liability risks, economic damage claims and negative publicity if our packages fail</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packages are incorporated into a number of end products. If our packages fail, our business may be exposed to warranty claims, product return and liability risks, economic damage claims and negative publicity.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Due to our high percentage of fixed costs, we may be unable to maintain satisfactory gross margins if we are unable to achieve relatively high-capacity utilization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lack of contractually committed customer demand may materially and adversely affect our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Historically, there has been downward pressure on the prices of our packaging and test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reducing our manufacturing costs, our business, liquidity, results of operations, financial condition and cash flows could be materially and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Packaging and test processes are complex, and our production yields and customer relationships may suffer from defects in the services we provide or if we do not successfully implement new technologies.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contaminants in the manufacturing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human error;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equipment malfunction;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changing processes to address environmental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raw materials;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defective plating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significant portion of our revenue is derived from customers in the automotive industry. A downturn or lower sales to customers in the automotive industry could materially affect our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loss of certain customers or reduced orders or pricing from existing customers may have a material adverse effect on our operations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2025. In addition, we have significant customer concentration within our end markets. The loss of a significant customer, a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difficulty funding liquidity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our current and future customers requires that we incur significant operating expenses and continue to make significant capital expenditures and other investments, and the amount of our capital expenditures for 2026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face challenges as we integrate diverse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expect to continue to experience, change in the scope and complexity of our operations resulting primarily from existing and future facility and operational consolidations, facility and operational expansions,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strategic acquisitions, joint ventures and other partnering arrangements. Some of the risks from these activities include those associated with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the scope, geographic diversity and complexity of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conforming an acquired company’s standards, practices, systems and controls with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increasing complexity from combining recent acquisitions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unexpected losses of key employees or customers of an acquired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difficulties in the assimilation of acquired operations, technologies or products;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diversion of management and other resources from other parts of our operations and adverse effects on existing business relationships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these activities, we may: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 costs associated with personnel reductions and voluntary retirement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record restructuring charges to cover costs associated with facility consolidations and related cost reduction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use a significant portion of our available cash;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substantial debt;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issue equity securities, which may dilute the ownership of current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or assume known or unknown contingent liabilities;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 large, immediate accounting write offs and face antitrust or other regulatory inquiries or 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pStyle w:val="TextBody"/>
        <w:bidi w:val="0"/>
        <w:spacing w:lineRule="auto" w:line="247" w:before="0" w:after="180"/>
        <w:jc w:val="both"/>
        <w:rPr/>
      </w:pPr>
      <w:r>
        <w:rPr>
          <w:rFonts w:ascii="Times New Roman;serif" w:hAnsi="Times New Roman;serif"/>
          <w:b/>
          <w:i/>
          <w:color w:val="000000"/>
          <w:sz w:val="20"/>
        </w:rPr>
        <w:t>Risks Related to Our International Sales and Operation</w:t>
      </w:r>
      <w:r>
        <w:rPr>
          <w:rFonts w:ascii="Times New Roman;serif" w:hAnsi="Times New Roman;serif"/>
          <w:b/>
          <w:color w:val="000000"/>
          <w:sz w:val="20"/>
        </w:rPr>
        <w:t>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Our factories and operations, and those of our customers and vendors, are located in various foreign jurisdictions, which exposes us to risks arising from international trade restrictions and regional conflict.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packaging and test services through our factories and other operations located in China, Japan, Korea, Malaysia, the Philippines, Portugal, Singapore, Taiwan and Vietnam. A significant portion of our property, plant and equipment is located outside of the United States, and many of our customers and the vendors in our supply chain are also located outside the United States.  The following are some of the risks we face in doing business internationally: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international trade disputes, geopolitical tensions, increasing protectionism and economic nationalism leading to increasing export restrictions, trade barriers, tariffs, and other changes in trade policy, or reactionary measures in response thereto, including retaliatory tariffs, legal challenges or currency manipulation;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within China and other countries that may favor domestic companies over non-domestic companies, including customer- or government-supported efforts to promote the development and growth of local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and safety concerns, including widespread outbreak of infectious diseases and governmental responses thereto;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consumer demand resulting from current or expected inflation or other variations in local economies;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rules, regulations and policies imposed by U.S. or foreign governments in areas such as data privacy, cybersecurity, antitrust and competition, tax, currency and banking, labor, environmental, and health and safety;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 of dividends and other payments by non-U.S. subsidiaries may be subject to prohibitions, limitations or taxes in local jurisdictions;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currency exchange rates, particularly the U.S. dollar to Japanese yen exchange rate for our operations in Japan;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political and social conditions, and the potential for civil unrest, terrorism or other hostilities (such as the ongoing war between Russia and Ukraine, conflicts in the Middle East, tensions between China and Taiwan and recent U.S. military action in Venezuela);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or delays in shipments caused by customs brokers or government agencies;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difficulties in attracting and retaining qualified personnel and managing foreign operations, including foreign labor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difficulty in enforcing contractual rights and protecting our intellectual property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adverse tax consequences resulting from tax laws in the United States and in other jurisdictions;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local business and cultural factors that differ from our normal standards and practices, including business practices that we are prohibited from engaging in by the U.S. Foreign Corrupt Practices Act and other anti-corruption laws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including retaliatory tariffs, legal challenges or currency manipulation,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Amkor’s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Over the course of 2025, the United States government announced multiple tariff changes for goods imported into the United States from numerous countries, as well as product-based sectoral tariffs. The U.S. government also announced various export control changes. Some countries countered with tariffs, export control changes or other actions, and the U.S. entered into broad trade negotiations with many countries. Many of the U.S. actions, as well as those of other countries, were subsequently paused or revised. These developments, or the perception that any of them could occur, may have a material adverse effect on global economic conditions and the stability of global financial markets, and may significantly reduce global trade. We cannot predict what further actions may ultimately be taken by the U.S. with respect to tariffs, export restrictions or other trade measures, what products or entities may be subject to such actions, or what actions may be taken by other countries in response to these U.S. actions. Any of these factors could depress economic activity, restrict our access to suppliers or customers and adversely affect the semiconductor supply chain. Imposed tariffs may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Cybersecurity, Data Privacy and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will suffer if we are not able to develop new proprietary technology, protect our proprietary technology and operate without infringing the proprietary rights of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discontinue the use of certain processes or cease to provide the services at issue, which could curtail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substantial damages;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non-infringing technologies, which may not be feasible;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acquire licenses to such technology, which may not be available on commercially reasonable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in connection with the continuing development and implementation of changes to, and maintenance and security of, our information technology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failures or vulnerabilities in the systems of third-parties (including those with access to our systems or data, such as customers or vendors), computer viruses, attacks by computer hackers, ransomware, phishing or other cybersecurity attacks, telecommunication failures, user errors, malfeasance or catastrophic events. Threat actors may utilize emerging technologies, such as AI and machine learning, to compromise our information technology systems. Such events have occurred in the past and may occur in the future. Cybersecurity breaches could result in unauthorized disclosure of confidential information, disruptions to our operations and/or impacts to a third party with which we have a relationship, such as a customer or vendor, which could result in reputational, competitive, operational or other business harms as well as financial costs and regulatory action.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delays in the design and implementation of the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may exceed our plans and expectations;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we are in the process of implementing a new enterprise resource planning (ERP) system. Large-scale technology implementations of this nature are inherently complex and involve significant investment in human and financial resources. Implementation of the new ERP system and related systems could result in significant potential risks, including failure of the systems to operate as designed, unexpected impacts on related systems or processes, potential loss or corruption of data, failures in security processes and internal controls, cost overruns, implementation delays or errors, disruption of operations and the potential inability to meet business and reporting requirements, any of which could materially and adversely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Covenants in the indentures and agreements governing our current and future indebtedness could restrict our operating flexibility.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substantial indebtedness could have a material adverse effect on our financial condition and prevent us from fulfilling our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substantial amount of debt, and the terms of the agreements governing our indebtedness allow us and our subsidiaries to incur more debt, subject to certain limitations. As of June 30, 2026, our total debt balance was $2,485.7 million, of which $150.8 million was classified as a current liability and $865.8 million was collateralized indebtedness. We may consider investments in joint ventures, increased capital expenditures, refinancings or acquisitions which may increase our indebtedness. If new debt is added to our consolidated debt level, the related risks that we face could increase.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substantial indebtedness could: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it more difficult for us to satisfy our obligations with respect to our indebtedness, including our obligations under our indentures to purchase notes tendered as a result of a change in control of Amkor;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fund future working capital, capital expenditures, research and development and other business opportunities, including joint ventures and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the volatility of the price of our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dilute the interests of our existing stockholders as a result of issuing shares of our common stock upon conversion of our 2031 Notes;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flexibility to react to changes in our business and the industry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place us at a competitive disadvantage to any of our competitors that have less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along with the financial and other covenants in our indebtedness, our ability to borrow additional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refinance our existing indebtedness, particularly during periods of adverse credit market conditions when refinancing indebtedness may not be available under interest rates and other terms acceptable to us or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our cost of borrowing.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interest rates increase, our debt service obligations under our variable rate indebtedness would increase, which could have a material adverse effect on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our credit facility, including the outstanding term loan, are at variable rates of interest and as a result expose us to interest rate risk. Interest rates increased throughout 2022 and 2023. While interest rates stabilized and have begun to decrease since 2024, if interest rates increase, our debt service obligations on the variable rate indebtedness would increase even though the amount borrowed remained the same, and our net income and cash flows, including cash available for servicing our indebtedness, will correspondingly decrease. We currently do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including bank failures, or incurrence of new or refinancing of existing indebtedness at higher interest rates could have a material and adverse effect on our access to and cost of capital for future financings,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are exposed to fluctuations in interest rates and changes in credit risk, which could have a material adverse impact on our earnings as it relates to the market value of our investment portfolio.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raise the funds necessary to repurchase the 2031 Notes for cash following a fundamental change or to pay any cash amounts due upon maturity or conversion of the 2031 Notes, and our other indebtedness limits our ability to repurchase the 2031 Notes or to pay any cash amounts due upon their maturity or conversion.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2031 Notes have the right, subject to certain conditions and limited exceptions, to require us to repurchase their 2031 Notes following a “fundamental change” (as defined in the indenture for the 2031 Notes) at a cash repurchase price generally equal to the principal amount of the 2031 Notes to be repurchased, plus accrued and unpaid interest, if any. Upon maturity of the 2031 Notes, we must pay their principal amount and accrued and unpaid interest in cash, unless they have been previously repurchased, redeemed or converted. In addition, all conversions of 2031 Notes will be settled partially or entirely in cash. We may not have enough available cash or be able to obtain financing at the time we are required to repurchase the 2031 Notes or pay the cash amounts due upon their maturity or conversion. In addition, applicable law, regulatory authorities and the agreements governing our other indebtedness may restrict our ability to repurchase the 2031 Notes or to pay the cash amounts due upon their maturity or conversion. Our failure to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2031 Notes or to pay the cash amounts due upon their maturity or conversion when required will constitute a default under the indenture governing the 2031 Notes. A default under the indenture governing the 2031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2031 Notes.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in the indenture governing the 2031 Notes could delay or prevent an otherwise beneficial takeover of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provisions in the 2031 Notes and the indenture governing the 2031 Notes could make a third-party attempt to acquire us more difficult or expensive. For example, if a takeover constitutes a fundamental change, then, subject to certain exceptions, noteholders will have the right to require us to repurchase their 2031 Notes for cash. In addition, if a takeover constitutes a “make-whole fundamental change” (as defined in the indenture for the 2031 Notes), then we may be required to temporarily increase the conversion rate. In either case, and in other cases, our obligations under the 2031 Notes and the indenture governing the 2031 Notes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relating to our 2031 Notes may affect the value of our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the right to elect to settle conversion of the 2031 Notes either entirely in cash or in combination of cash and shares of our common stock. Our election to convert the 2031 Notes into our common stock may further dilute the economic and voting rights of our existing stockholders and/or reduce the market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2031 Notes, we entered into Capped Calls with certain financial institutions (collectively, the “option counterparties”). The Capped Calls are generally expected to reduce the potential dilution to our common stock upon any conversion of the 2031 Notes and/or offset any cash payments we are required to make in excess of the principal amount of converted 2031 Notes, as the case may be, with such reduction and/or offset subject to a cap.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the option counterparties and/or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2031 Notes (and are likely to do so (x) during any observation period related to a conversion of the 2031 Notes or following any repurchase of the 2031 Notes by us in connection with any redemption or fundamental change, (y) following any repurchase of the 2031 Notes by us other than in connection with any redemption or fundamental change if we elect to unwind a corresponding portion of the Capped Calls in connection with such repurchase and (z) if we otherwise unwind all or a portion of the Capped Calls). This activity could cause or avoid an increase or a decrease in the market price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 counterparties are financial institutions, and we will be subject to the risk that any or all of them might default under the Capped Calls.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with an increase in the market price and in the volatility of our common stock. In addition, upon a default by an option counterparty, we may suffer adverse tax consequences and more dilution than we currently anticipate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respect to our common stock. We can provide no assurances as to the financial stability or viability of the option counterparties.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accounting method for the 2031 Notes could adversely affect our reported financial condition and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2031 Notes on our balance sheet and accruing interest expense for the 2031 Notes may adversely affect our reported loss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accounting standards, we expect that the 2031 Notes will be reflected as a liability on our balance sheets, with the initial carrying amount equal to the principal amount of the 2031 Notes, net of issuance costs. The issuance costs will be treated as a debt discount for accounting purposes, which will be amortized into interest expense over the term of the 2031 Notes. As a result of this amortization, the interest expense that we expect to recognize for the 2031 Notes for accounting purposes will be greater than the cash special interest or additional interest payments, if any, we will pay on the 2031 Notes, which will result in lower reported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if any of the conditions to the convertibility of the 2031 Notes is satisfied, then we may be required under applicable accounting standards to reclassify the liability carrying value of the 2031 Notes as a current, rather than a long-term, liability. This reclassification, and the requirement that the principal amount of the 2031 Notes upon conversion must be paid in cash could adversely affect our liquidity.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Susan Y. Kim and members of her family can effectively determine or substantially influence the outcome of all matters requiring stockholder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Susan Y. Kim, the Chairman of our Board of Directors, and members of the Kim family and affiliates owned approximately 122.1 million shares, or approximately 49.2%, of our outstanding common stock. The Kim family also has options to acquire approximately 0.6 million shares. If the options are exercised, the Kim family’s total ownership would be an aggregate of approximately 122.7 million shares, or approximately 49.4% of our outstanding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2013, the Kim family exchanged convertible notes issued by Amkor in 2009 for approximately 49.6 million shares of common stock (the “Convert Shares”). As of June 30, 2026, the Kim family owns approximately 29.6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decrease or suspend our quarterly dividend, and any decrease in or suspension of the dividend could cause our stock price to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Human Capital and Management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risks trying to attract, retain or replace qualified employees to support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Risks Related to Regulatory, Legal and Tax Challenges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report financial results or prevent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which has adversely affected our effective tax rate, expected tax payments and conditional reduced tax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OECD’s 2026 introduction of the Side-by-Side (“SbS”) framework may impact our future tax obligations and compliance requirements. Although the United States has been designated as a qualified SbS jurisdiction, enabling U.S.-parented companies to elect relief from certain provisions of the Pillar Two Model Rules beginning in 2026, many jurisdictions continue to require QDMTT and may adopt additional administrative rules that affect our operations. There remains significant uncertainty regarding the pace and consistency of global implementation. Our ability to accurately forecast tax obligations and the impact on our financial results may be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enacted in the United States, which includes significant provisions such as modifications to the international tax framework and the investment tax credit rate under the CHIPS Act, and restoration of tax treatment for certain business provisions. The legislation has multiple effective dates, with certain provisions effective in 2025 and others implemented through 2027. Changes in U.S. or foreign tax laws, including new or modified guidance with respect to existing tax laws, could have a material adverse impact on our liquidity, results of operations, financial condition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Environmental, health and safety liabilities and expenditures could have a material adverse effect on our business, results of operation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 or other chemicals, the existence of hazardous materials on our properties or the existence of hazardous substances in the products for which we perform our services. We could also be held liable for damages, including fines, penalties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pStyle w:val="TextBody"/>
        <w:bidi w:val="0"/>
        <w:spacing w:lineRule="auto" w:line="276" w:before="0" w:after="180"/>
        <w:jc w:val="both"/>
        <w:rPr>
          <w:rFonts w:ascii="Times New Roman;serif" w:hAnsi="Times New Roman;serif"/>
          <w:b/>
          <w:i/>
          <w:color w:val="000000"/>
          <w:sz w:val="20"/>
        </w:rPr>
      </w:pPr>
      <w:r>
        <w:rPr>
          <w:rFonts w:ascii="Times New Roman;serif" w:hAnsi="Times New Roman;serif"/>
          <w:b/>
          <w:i/>
          <w:color w:val="000000"/>
          <w:sz w:val="20"/>
        </w:rPr>
        <w:t>The awards and incentives from the agreement with the Commerce Department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the Commerce Department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the Commerce Department will provide or continue to provide such funding. The award arrangements provide the Commerce Department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and financial condition has been adversely affected, and could be adversely affected in the future, by natural disasters and other calamities, health conditions or pandemics, political instability, hostilities or other disruptions.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packaging and test services and other operations in China, Japan, Korea, Malaysia, the Philippines, Portugal, Singapore, Taiwan and Vietnam, and the Arizona Facility is a new factory under construction in the United States. Such operations are or could be subject to: natural disasters, such as earthquakes, tsunamis, typhoons, floods, droughts, extreme heat,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including electricity and water; political events or instability; sanctions imposed by the U.S. and other countries in connection with geopolitical tensions; changes in trade policies, including the imposition of tariffs, export controls or other trade barriers; acts of war or armed conflict (such as ongoing war between Russia and Ukraine, conflicts in the Middle East, tensions between China and Taiwan and recent U.S. military action in Venezuela); terrorist incidents and other hostilities in regions where we have facilities; and industrial accidents and other events,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disrupt or even shut down our operations. While our global manufacturing footprint may allow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some of the processes that we utilize in our operations place us at risk of fire and other damage. For example, highly flammable gases are used in the preparation of wafers holding semiconductor devices for flip chip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2.         </w:t>
      </w:r>
      <w:r>
        <w:rPr>
          <w:rFonts w:ascii="Times New Roman;serif" w:hAnsi="Times New Roman;serif"/>
          <w:b/>
          <w:i/>
          <w:color w:val="000000"/>
          <w:sz w:val="20"/>
        </w:rPr>
        <w:t xml:space="preserve">Unregistered Sales of Equity Securities and Use of Proceeds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Issuer Repurchase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three months ended June 30, 2026.</w:t>
      </w:r>
    </w:p>
    <w:tbl>
      <w:tblPr>
        <w:tblW w:w="10205" w:type="dxa"/>
        <w:jc w:val="center"/>
        <w:tblInd w:w="0" w:type="dxa"/>
        <w:tblLayout w:type="fixed"/>
        <w:tblCellMar>
          <w:top w:w="28" w:type="dxa"/>
          <w:left w:w="28" w:type="dxa"/>
          <w:bottom w:w="28" w:type="dxa"/>
          <w:right w:w="28" w:type="dxa"/>
        </w:tblCellMar>
      </w:tblPr>
      <w:tblGrid>
        <w:gridCol w:w="320"/>
        <w:gridCol w:w="281"/>
        <w:gridCol w:w="285"/>
        <w:gridCol w:w="109"/>
        <w:gridCol w:w="109"/>
        <w:gridCol w:w="109"/>
        <w:gridCol w:w="582"/>
        <w:gridCol w:w="473"/>
        <w:gridCol w:w="475"/>
        <w:gridCol w:w="109"/>
        <w:gridCol w:w="109"/>
        <w:gridCol w:w="109"/>
        <w:gridCol w:w="247"/>
        <w:gridCol w:w="721"/>
        <w:gridCol w:w="127"/>
        <w:gridCol w:w="109"/>
        <w:gridCol w:w="109"/>
        <w:gridCol w:w="109"/>
        <w:gridCol w:w="827"/>
        <w:gridCol w:w="827"/>
        <w:gridCol w:w="830"/>
        <w:gridCol w:w="109"/>
        <w:gridCol w:w="109"/>
        <w:gridCol w:w="109"/>
        <w:gridCol w:w="792"/>
        <w:gridCol w:w="1525"/>
        <w:gridCol w:w="58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 (b)</w:t>
            </w:r>
          </w:p>
        </w:tc>
      </w:tr>
      <w:tr>
        <w:trPr/>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10,335 </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(a)Represents shares of common stock surrendered to us to satisfy tax withholding obligations associated with the shares issued to employees in connection with share-based compensation.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(b)On April 23, 2026, our Board of Directors authorized the repurchase of up to $300.0 million of our common stock, exclusive of any fees, commissions or other expenses, under the Stock Repurchase Program. Pursuant to the Stock Repurchase Program, we made no common stock purchases for the three months ended June 30, 2026, and at June 30, 2026, $300.0 million was available for repurchase. Repurchases of our common stock under the Stock Repurchase Program are funded with available cash, and the Stock Repurchase Program may be suspended or discontinued at any time.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3.        </w:t>
      </w:r>
      <w:r>
        <w:rPr>
          <w:rFonts w:ascii="Times New Roman;serif" w:hAnsi="Times New Roman;serif"/>
          <w:b/>
          <w:i/>
          <w:color w:val="000000"/>
          <w:sz w:val="20"/>
        </w:rPr>
        <w:t>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8, 2026, Douglas A. Alexander, a director of Amkor, adopted a “Rule 10b5-1 trading arrangement” as such term is defined in paragraph (a) of Item 408 of Regulation S-K promulgated under the Securities Act, which is intended to satisfy the affirmative defense of Rule 10b5-1(c). Mr. Alexander’s Rule 10b5-1 trading arrangement will terminate on the earliest of: (a) May 7, 2027; (b) the first date on which all trades have been executed or all trading orders relating to such trades have expired; and (c) the date on which Mr. Alexander gives notice to terminate his Rule 10b5-1 trading arrangement. 20,000 shares of our common stock are to be sold under Mr. Alexander’s Rule 10b5-1 trading arrangement.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9, 2026, Mark N. Rogers, Amkor’s Executive Vice President, General Counsel and Corporate Secretary adopted a “Rule 10b5-1 trading arrangement” as such term is defined in paragraph (a) of Item 408 of Regulation S-K promulgated under the Securities Act, which is intended to satisfy the affirmative defense of Rule 10b5-1(c). Mr. Rogers’ Rule 10b5-1 trading arrangement will terminate on the earliest of: (a) May 28, 2027; (b) the first date on which all trades have been executed or all trading orders relating to such trades have expired; and (c) the date on which Mr. Rogers gives notice to terminate his Rule 10b5-1 trading arrangement. 45,000 shares of our common stock are to be sold under Mr. Rogers’ Rule 10b5-1 trading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2026, operations at our facility in Kumamoto, Japan were interrupted by earthquakes in the region. We have initiated emergency response procedures and are currently assessing the status of employee safety, facilities, manufacturing operations, and product conditions across the affected site.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32"/>
        <w:gridCol w:w="260"/>
        <w:gridCol w:w="262"/>
        <w:gridCol w:w="109"/>
        <w:gridCol w:w="109"/>
        <w:gridCol w:w="109"/>
        <w:gridCol w:w="1543"/>
        <w:gridCol w:w="1216"/>
        <w:gridCol w:w="1204"/>
        <w:gridCol w:w="109"/>
        <w:gridCol w:w="109"/>
        <w:gridCol w:w="109"/>
        <w:gridCol w:w="170"/>
        <w:gridCol w:w="170"/>
        <w:gridCol w:w="171"/>
        <w:gridCol w:w="109"/>
        <w:gridCol w:w="109"/>
        <w:gridCol w:w="109"/>
        <w:gridCol w:w="239"/>
        <w:gridCol w:w="239"/>
        <w:gridCol w:w="240"/>
        <w:gridCol w:w="109"/>
        <w:gridCol w:w="109"/>
        <w:gridCol w:w="109"/>
        <w:gridCol w:w="210"/>
        <w:gridCol w:w="210"/>
        <w:gridCol w:w="211"/>
        <w:gridCol w:w="109"/>
        <w:gridCol w:w="109"/>
        <w:gridCol w:w="109"/>
        <w:gridCol w:w="200"/>
        <w:gridCol w:w="200"/>
        <w:gridCol w:w="201"/>
        <w:gridCol w:w="109"/>
        <w:gridCol w:w="109"/>
        <w:gridCol w:w="109"/>
        <w:gridCol w:w="280"/>
        <w:gridCol w:w="280"/>
        <w:gridCol w:w="405"/>
      </w:tblGrid>
      <w:tr>
        <w:trPr/>
        <w:tc>
          <w:tcPr>
            <w:tcW w:w="3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Included Herewith</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Indenture, dated as of May 5, 2026, among Amkor Technology, Inc., the guarantors named therein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Form of certificate representing the 0.00% Convertible Senior Notes due 2031 (included as Exhibit A to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Form of Capped Call Transaction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6302026ex311.htm">
              <w:r>
                <w:rPr>
                  <w:rStyle w:val="InternetLink"/>
                  <w:rFonts w:ascii="Times New Roman;serif" w:hAnsi="Times New Roman;serif"/>
                  <w:b w:val="false"/>
                  <w:color w:val="0000FF"/>
                  <w:sz w:val="20"/>
                  <w:u w:val="single"/>
                </w:rPr>
                <w:t>Certification of Kevin K. Engel, Chief Executive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6302026ex312.htm">
              <w:r>
                <w:rPr>
                  <w:rStyle w:val="InternetLink"/>
                  <w:rFonts w:ascii="Times New Roman;serif" w:hAnsi="Times New Roman;serif"/>
                  <w:b w:val="false"/>
                  <w:color w:val="0000FF"/>
                  <w:sz w:val="20"/>
                  <w:u w:val="single"/>
                </w:rPr>
                <w:t>Certification of Megan Faust, Chief Financial Officer of Amkor Technology, Inc., pursuant to Rule 13a-14(a)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kr6302026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47" w:before="0" w:after="1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01877cf987649ea8da3325ace7e4c8e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AMKOR TECHNOLOGY, INC.</w:t>
      </w:r>
    </w:p>
    <w:tbl>
      <w:tblPr>
        <w:tblW w:w="389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20"/>
        <w:gridCol w:w="920"/>
        <w:gridCol w:w="1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40" w:after="283"/>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Kevin K. Engel,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51" w:type="dxa"/>
        <w:jc w:val="center"/>
        <w:tblInd w:w="0" w:type="dxa"/>
        <w:tblLayout w:type="fixed"/>
        <w:tblCellMar>
          <w:top w:w="28" w:type="dxa"/>
          <w:left w:w="28" w:type="dxa"/>
          <w:bottom w:w="28" w:type="dxa"/>
          <w:right w:w="28" w:type="dxa"/>
        </w:tblCellMar>
      </w:tblPr>
      <w:tblGrid>
        <w:gridCol w:w="124"/>
        <w:gridCol w:w="109"/>
        <w:gridCol w:w="109"/>
        <w:gridCol w:w="936"/>
        <w:gridCol w:w="936"/>
        <w:gridCol w:w="13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Kevin K. 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Kevin K. Engel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July 28,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Megan Faust, certify that: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Amkor Technology, Inc.;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492" w:type="dxa"/>
        <w:jc w:val="center"/>
        <w:tblInd w:w="0" w:type="dxa"/>
        <w:tblLayout w:type="fixed"/>
        <w:tblCellMar>
          <w:top w:w="28" w:type="dxa"/>
          <w:left w:w="28" w:type="dxa"/>
          <w:bottom w:w="28" w:type="dxa"/>
          <w:right w:w="28" w:type="dxa"/>
        </w:tblCellMar>
      </w:tblPr>
      <w:tblGrid>
        <w:gridCol w:w="124"/>
        <w:gridCol w:w="109"/>
        <w:gridCol w:w="109"/>
        <w:gridCol w:w="919"/>
        <w:gridCol w:w="919"/>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July 28,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56"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pPr>
      <w:r>
        <w:rPr>
          <w:rFonts w:ascii="Times New Roman;serif" w:hAnsi="Times New Roman;serif"/>
          <w:b/>
          <w:color w:val="000000"/>
          <w:sz w:val="20"/>
        </w:rPr>
        <w:t>PURSUANT TO 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June 30, 2026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020" w:type="dxa"/>
        <w:jc w:val="right"/>
        <w:tblInd w:w="0" w:type="dxa"/>
        <w:tblLayout w:type="fixed"/>
        <w:tblCellMar>
          <w:top w:w="28" w:type="dxa"/>
          <w:left w:w="28" w:type="dxa"/>
          <w:bottom w:w="28" w:type="dxa"/>
          <w:right w:w="28" w:type="dxa"/>
        </w:tblCellMar>
      </w:tblPr>
      <w:tblGrid>
        <w:gridCol w:w="294"/>
        <w:gridCol w:w="258"/>
        <w:gridCol w:w="258"/>
        <w:gridCol w:w="935"/>
        <w:gridCol w:w="935"/>
        <w:gridCol w:w="134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4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K. Engel</w:t>
            </w:r>
          </w:p>
        </w:tc>
      </w:tr>
      <w:tr>
        <w:trPr/>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K. Engel</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lineRule="auto" w:line="288" w:before="0" w:after="0"/>
        <w:jc w:val="left"/>
        <w:rPr>
          <w:color w:val="000000"/>
        </w:rPr>
      </w:pPr>
      <w:r>
        <w:rPr>
          <w:color w:val="000000"/>
        </w:rPr>
        <w:t> </w:t>
      </w:r>
    </w:p>
    <w:tbl>
      <w:tblPr>
        <w:tblW w:w="3846" w:type="dxa"/>
        <w:jc w:val="right"/>
        <w:tblInd w:w="0" w:type="dxa"/>
        <w:tblLayout w:type="fixed"/>
        <w:tblCellMar>
          <w:top w:w="28" w:type="dxa"/>
          <w:left w:w="28" w:type="dxa"/>
          <w:bottom w:w="28" w:type="dxa"/>
          <w:right w:w="28" w:type="dxa"/>
        </w:tblCellMar>
      </w:tblPr>
      <w:tblGrid>
        <w:gridCol w:w="252"/>
        <w:gridCol w:w="222"/>
        <w:gridCol w:w="222"/>
        <w:gridCol w:w="922"/>
        <w:gridCol w:w="922"/>
        <w:gridCol w:w="1306"/>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46"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r>
      <w:tr>
        <w:trPr/>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7127/000104712726000029/amkrmay2026ex41convertible.htm" TargetMode="External"/><Relationship Id="rId3" Type="http://schemas.openxmlformats.org/officeDocument/2006/relationships/hyperlink" Target="https://www.sec.gov/Archives/edgar/data/1047127/000104712726000029/amkrmay2026ex41convertible.htm" TargetMode="External"/><Relationship Id="rId4" Type="http://schemas.openxmlformats.org/officeDocument/2006/relationships/hyperlink" Target="https://www.sec.gov/Archives/edgar/data/1047127/000104712726000029/amkrmay2026ex101convertibl.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32104</Words>
  <Characters>179364</Characters>
  <CharactersWithSpaces>209983</CharactersWithSpaces>
  <Paragraphs>3334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