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1920" w:right="2360" w:hanging="888"/>
        <w:spacing w:after="0" w:line="234" w:lineRule="auto"/>
        <w:tabs>
          <w:tab w:leader="none" w:pos="19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89"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920" w:right="2340" w:hanging="888"/>
        <w:spacing w:after="0" w:line="235" w:lineRule="auto"/>
        <w:tabs>
          <w:tab w:leader="none" w:pos="19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200"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524"/>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44"/>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Arial" w:cs="Arial" w:eastAsia="Arial" w:hAnsi="Arial"/>
                <w:sz w:val="18"/>
                <w:szCs w:val="18"/>
                <w:b w:val="1"/>
                <w:bCs w:val="1"/>
                <w:color w:val="auto"/>
                <w:w w:val="91"/>
              </w:rPr>
              <w:t>23-1722724</w:t>
            </w:r>
          </w:p>
        </w:tc>
      </w:tr>
      <w:tr>
        <w:trPr>
          <w:trHeight w:val="140"/>
        </w:trPr>
        <w:tc>
          <w:tcPr>
            <w:tcW w:w="350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w w:val="96"/>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1"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3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60" w:type="dxa"/>
            <w:vAlign w:val="bottom"/>
          </w:tcPr>
          <w:p>
            <w:pPr>
              <w:jc w:val="center"/>
              <w:ind w:left="777"/>
              <w:spacing w:after="0"/>
              <w:rPr>
                <w:sz w:val="20"/>
                <w:szCs w:val="20"/>
                <w:color w:val="auto"/>
              </w:rPr>
            </w:pPr>
            <w:r>
              <w:rPr>
                <w:rFonts w:ascii="Arial" w:cs="Arial" w:eastAsia="Arial" w:hAnsi="Arial"/>
                <w:sz w:val="14"/>
                <w:szCs w:val="14"/>
                <w:i w:val="1"/>
                <w:iCs w:val="1"/>
                <w:color w:val="auto"/>
                <w:w w:val="96"/>
              </w:rPr>
              <w:t>Identification Number)</w:t>
            </w:r>
          </w:p>
        </w:tc>
      </w:tr>
      <w:tr>
        <w:trPr>
          <w:trHeight w:val="299"/>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2045 East Innovation Circle</w:t>
            </w:r>
          </w:p>
        </w:tc>
        <w:tc>
          <w:tcPr>
            <w:tcW w:w="446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Tempe, AZ 85284</w:t>
            </w:r>
          </w:p>
        </w:tc>
        <w:tc>
          <w:tcPr>
            <w:tcW w:w="4460" w:type="dxa"/>
            <w:vAlign w:val="bottom"/>
          </w:tcPr>
          <w:p>
            <w:pPr>
              <w:spacing w:after="0"/>
              <w:rPr>
                <w:sz w:val="18"/>
                <w:szCs w:val="18"/>
                <w:color w:val="auto"/>
              </w:rPr>
            </w:pP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r>
      <w:tr>
        <w:trPr>
          <w:trHeight w:val="323"/>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Arial" w:cs="Arial" w:eastAsia="Arial" w:hAnsi="Arial"/>
                <w:sz w:val="18"/>
                <w:szCs w:val="18"/>
                <w:b w:val="1"/>
                <w:bCs w:val="1"/>
                <w:color w:val="auto"/>
                <w:w w:val="90"/>
              </w:rPr>
              <w:t>(480) 821-5000</w:t>
            </w:r>
          </w:p>
        </w:tc>
        <w:tc>
          <w:tcPr>
            <w:tcW w:w="4460" w:type="dxa"/>
            <w:vAlign w:val="bottom"/>
          </w:tcPr>
          <w:p>
            <w:pPr>
              <w:spacing w:after="0"/>
              <w:rPr>
                <w:sz w:val="24"/>
                <w:szCs w:val="24"/>
                <w:color w:val="auto"/>
              </w:rPr>
            </w:pPr>
          </w:p>
        </w:tc>
      </w:tr>
      <w:tr>
        <w:trPr>
          <w:trHeight w:val="218"/>
        </w:trPr>
        <w:tc>
          <w:tcPr>
            <w:tcW w:w="3500" w:type="dxa"/>
            <w:vAlign w:val="bottom"/>
          </w:tcPr>
          <w:p>
            <w:pPr>
              <w:spacing w:after="0"/>
              <w:rPr>
                <w:sz w:val="18"/>
                <w:szCs w:val="18"/>
                <w:color w:val="auto"/>
              </w:rPr>
            </w:pPr>
          </w:p>
        </w:tc>
        <w:tc>
          <w:tcPr>
            <w:tcW w:w="7740" w:type="dxa"/>
            <w:vAlign w:val="bottom"/>
            <w:gridSpan w:val="2"/>
          </w:tcPr>
          <w:p>
            <w:pPr>
              <w:jc w:val="center"/>
              <w:ind w:right="3397"/>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16"/>
        </w:trPr>
        <w:tc>
          <w:tcPr>
            <w:tcW w:w="3500" w:type="dxa"/>
            <w:vAlign w:val="bottom"/>
          </w:tcPr>
          <w:p>
            <w:pPr>
              <w:spacing w:after="0"/>
              <w:rPr>
                <w:sz w:val="18"/>
                <w:szCs w:val="18"/>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90"/>
        </w:trPr>
        <w:tc>
          <w:tcPr>
            <w:tcW w:w="3500" w:type="dxa"/>
            <w:vAlign w:val="bottom"/>
            <w:tcBorders>
              <w:bottom w:val="single" w:sz="8" w:color="auto"/>
            </w:tcBorders>
          </w:tcPr>
          <w:p>
            <w:pPr>
              <w:jc w:val="center"/>
              <w:ind w:left="26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Arial" w:cs="Arial" w:eastAsia="Arial" w:hAnsi="Arial"/>
                <w:sz w:val="18"/>
                <w:szCs w:val="18"/>
                <w:b w:val="1"/>
                <w:bCs w:val="1"/>
                <w:color w:val="auto"/>
                <w:w w:val="91"/>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00" w:type="dxa"/>
            <w:vAlign w:val="bottom"/>
          </w:tcPr>
          <w:p>
            <w:pPr>
              <w:jc w:val="center"/>
              <w:ind w:left="24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98"/>
              <w:spacing w:after="0"/>
              <w:rPr>
                <w:sz w:val="20"/>
                <w:szCs w:val="20"/>
                <w:color w:val="auto"/>
              </w:rPr>
            </w:pPr>
            <w:r>
              <w:rPr>
                <w:rFonts w:ascii="Arial" w:cs="Arial" w:eastAsia="Arial" w:hAnsi="Arial"/>
                <w:sz w:val="18"/>
                <w:szCs w:val="18"/>
                <w:color w:val="auto"/>
              </w:rPr>
              <w:t>AMKR</w:t>
            </w:r>
          </w:p>
        </w:tc>
        <w:tc>
          <w:tcPr>
            <w:tcW w:w="4460" w:type="dxa"/>
            <w:vAlign w:val="bottom"/>
          </w:tcPr>
          <w:p>
            <w:pPr>
              <w:jc w:val="center"/>
              <w:ind w:right="637"/>
              <w:spacing w:after="0"/>
              <w:rPr>
                <w:sz w:val="20"/>
                <w:szCs w:val="20"/>
                <w:color w:val="auto"/>
              </w:rPr>
            </w:pPr>
            <w:r>
              <w:rPr>
                <w:rFonts w:ascii="Arial" w:cs="Arial" w:eastAsia="Arial" w:hAnsi="Arial"/>
                <w:sz w:val="18"/>
                <w:szCs w:val="18"/>
                <w:color w:val="auto"/>
                <w:w w:val="93"/>
              </w:rPr>
              <w:t>The NASDAQ Global Select Market</w:t>
            </w:r>
          </w:p>
        </w:tc>
      </w:tr>
    </w:tbl>
    <w:p>
      <w:pPr>
        <w:spacing w:after="0" w:line="7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6"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19"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980"/>
        <w:spacing w:after="0" w:line="30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October 22, 2021 was 244,525,131.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7480" w:type="dxa"/>
            <w:vAlign w:val="bottom"/>
          </w:tcPr>
          <w:p>
            <w:pPr>
              <w:ind w:left="240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w w:val="93"/>
              </w:rPr>
            </w:pPr>
            <w:hyperlink w:anchor="page4">
              <w:r>
                <w:rPr>
                  <w:rFonts w:ascii="Arial" w:cs="Arial" w:eastAsia="Arial" w:hAnsi="Arial"/>
                  <w:sz w:val="18"/>
                  <w:szCs w:val="18"/>
                  <w:color w:val="auto"/>
                  <w:w w:val="93"/>
                </w:rPr>
                <w:t xml:space="preserve">Consolidated Statements of Income - </w:t>
              </w:r>
            </w:hyperlink>
            <w:r>
              <w:rPr>
                <w:rFonts w:ascii="Arial" w:cs="Arial" w:eastAsia="Arial" w:hAnsi="Arial"/>
                <w:sz w:val="18"/>
                <w:szCs w:val="18"/>
                <w:color w:val="auto"/>
                <w:w w:val="93"/>
              </w:rPr>
              <w:t xml:space="preserve">Three and Nine Months Ended September 30, 2021 </w:t>
            </w:r>
            <w:hyperlink w:anchor="page4">
              <w:r>
                <w:rPr>
                  <w:rFonts w:ascii="Arial" w:cs="Arial" w:eastAsia="Arial" w:hAnsi="Arial"/>
                  <w:sz w:val="18"/>
                  <w:szCs w:val="18"/>
                  <w:color w:val="auto"/>
                  <w:w w:val="93"/>
                </w:rPr>
                <w:t xml:space="preserve">and </w:t>
              </w:r>
            </w:hyperlink>
            <w:r>
              <w:rPr>
                <w:rFonts w:ascii="Arial" w:cs="Arial" w:eastAsia="Arial" w:hAnsi="Arial"/>
                <w:sz w:val="18"/>
                <w:szCs w:val="18"/>
                <w:color w:val="auto"/>
                <w:w w:val="93"/>
              </w:rPr>
              <w:t>2020</w:t>
            </w:r>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Arial" w:cs="Arial" w:eastAsia="Arial" w:hAnsi="Arial"/>
                <w:sz w:val="18"/>
                <w:szCs w:val="18"/>
                <w:color w:val="auto"/>
                <w:w w:val="92"/>
              </w:rPr>
            </w:pPr>
            <w:hyperlink w:anchor="page4">
              <w:r>
                <w:rPr>
                  <w:rFonts w:ascii="Arial" w:cs="Arial" w:eastAsia="Arial" w:hAnsi="Arial"/>
                  <w:sz w:val="18"/>
                  <w:szCs w:val="18"/>
                  <w:color w:val="auto"/>
                  <w:w w:val="92"/>
                </w:rPr>
                <w:t xml:space="preserve">Consolidated Statements of Comprehensive Income - </w:t>
              </w:r>
            </w:hyperlink>
            <w:r>
              <w:rPr>
                <w:rFonts w:ascii="Arial" w:cs="Arial" w:eastAsia="Arial" w:hAnsi="Arial"/>
                <w:sz w:val="18"/>
                <w:szCs w:val="18"/>
                <w:color w:val="auto"/>
                <w:w w:val="92"/>
              </w:rPr>
              <w:t>Three and Nine Months Ended September 30,</w:t>
            </w:r>
          </w:p>
        </w:tc>
        <w:tc>
          <w:tcPr>
            <w:tcW w:w="48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80" w:type="dxa"/>
            <w:vAlign w:val="bottom"/>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 </w:t>
              </w:r>
            </w:hyperlink>
            <w:r>
              <w:rPr>
                <w:rFonts w:ascii="Arial" w:cs="Arial" w:eastAsia="Arial" w:hAnsi="Arial"/>
                <w:sz w:val="18"/>
                <w:szCs w:val="18"/>
                <w:color w:val="auto"/>
              </w:rPr>
              <w:t xml:space="preserve">September 30,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Arial" w:cs="Arial" w:eastAsia="Arial" w:hAnsi="Arial"/>
                <w:sz w:val="18"/>
                <w:szCs w:val="18"/>
                <w:color w:val="auto"/>
                <w:w w:val="90"/>
              </w:rPr>
            </w:pPr>
            <w:hyperlink w:anchor="page6">
              <w:r>
                <w:rPr>
                  <w:rFonts w:ascii="Arial" w:cs="Arial" w:eastAsia="Arial" w:hAnsi="Arial"/>
                  <w:sz w:val="18"/>
                  <w:szCs w:val="18"/>
                  <w:color w:val="auto"/>
                  <w:w w:val="90"/>
                </w:rPr>
                <w:t xml:space="preserve">Consolidated Statements of Stockholders’ Equity - </w:t>
              </w:r>
            </w:hyperlink>
            <w:r>
              <w:rPr>
                <w:rFonts w:ascii="Arial" w:cs="Arial" w:eastAsia="Arial" w:hAnsi="Arial"/>
                <w:sz w:val="18"/>
                <w:szCs w:val="18"/>
                <w:color w:val="auto"/>
                <w:w w:val="90"/>
              </w:rPr>
              <w:t>Three and Nine Months Ended September 30, 2021</w:t>
            </w:r>
          </w:p>
        </w:tc>
        <w:tc>
          <w:tcPr>
            <w:tcW w:w="4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80" w:type="dxa"/>
            <w:vAlign w:val="bottom"/>
          </w:tcPr>
          <w:p>
            <w:pPr>
              <w:ind w:left="26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7480" w:type="dxa"/>
            <w:vAlign w:val="bottom"/>
          </w:tcPr>
          <w:p>
            <w:pPr>
              <w:ind w:left="20"/>
              <w:spacing w:after="0" w:line="201" w:lineRule="exact"/>
              <w:rPr>
                <w:rFonts w:ascii="Arial" w:cs="Arial" w:eastAsia="Arial" w:hAnsi="Arial"/>
                <w:sz w:val="18"/>
                <w:szCs w:val="18"/>
                <w:color w:val="auto"/>
                <w:w w:val="93"/>
              </w:rPr>
            </w:pPr>
            <w:hyperlink w:anchor="page8">
              <w:r>
                <w:rPr>
                  <w:rFonts w:ascii="Arial" w:cs="Arial" w:eastAsia="Arial" w:hAnsi="Arial"/>
                  <w:sz w:val="18"/>
                  <w:szCs w:val="18"/>
                  <w:color w:val="auto"/>
                  <w:w w:val="93"/>
                </w:rPr>
                <w:t xml:space="preserve">Condensed Consolidated Statements of Cash Flows - </w:t>
              </w:r>
            </w:hyperlink>
            <w:r>
              <w:rPr>
                <w:rFonts w:ascii="Arial" w:cs="Arial" w:eastAsia="Arial" w:hAnsi="Arial"/>
                <w:sz w:val="18"/>
                <w:szCs w:val="18"/>
                <w:color w:val="auto"/>
                <w:w w:val="93"/>
              </w:rPr>
              <w:t xml:space="preserve">Nine Months Ended September 30, 2021 </w:t>
            </w:r>
            <w:hyperlink w:anchor="page8">
              <w:r>
                <w:rPr>
                  <w:rFonts w:ascii="Arial" w:cs="Arial" w:eastAsia="Arial" w:hAnsi="Arial"/>
                  <w:sz w:val="18"/>
                  <w:szCs w:val="18"/>
                  <w:color w:val="auto"/>
                  <w:w w:val="93"/>
                </w:rPr>
                <w:t>and</w:t>
              </w:r>
            </w:hyperlink>
          </w:p>
        </w:tc>
        <w:tc>
          <w:tcPr>
            <w:tcW w:w="480" w:type="dxa"/>
            <w:vAlign w:val="bottom"/>
            <w:vMerge w:val="restart"/>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Arial" w:cs="Arial" w:eastAsia="Arial" w:hAnsi="Arial"/>
                <w:sz w:val="18"/>
                <w:szCs w:val="18"/>
                <w:color w:val="auto"/>
              </w:rPr>
              <w:t>2020</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9">
              <w:r>
                <w:rPr>
                  <w:rFonts w:ascii="Arial" w:cs="Arial" w:eastAsia="Arial" w:hAnsi="Arial"/>
                  <w:sz w:val="18"/>
                  <w:szCs w:val="18"/>
                  <w:color w:val="auto"/>
                </w:rPr>
                <w:t>Notes to Consolidated Financial Statements</w:t>
              </w:r>
            </w:hyperlink>
          </w:p>
        </w:tc>
        <w:tc>
          <w:tcPr>
            <w:tcW w:w="4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4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4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1A.</w:t>
              </w:r>
            </w:hyperlink>
          </w:p>
        </w:tc>
        <w:tc>
          <w:tcPr>
            <w:tcW w:w="748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Risk Factors</w:t>
              </w:r>
            </w:hyperlink>
          </w:p>
        </w:tc>
        <w:tc>
          <w:tcPr>
            <w:tcW w:w="4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Unregistered Sales of Equity Securities and Use of Proceeds</w:t>
              </w:r>
            </w:hyperlink>
          </w:p>
        </w:tc>
        <w:tc>
          <w:tcPr>
            <w:tcW w:w="4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Defaults Upon Senior Securities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Mine Safety Disclosures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5.</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Other Information</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6.</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Exhibits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w w:val="88"/>
              </w:rPr>
            </w:pPr>
            <w:hyperlink w:anchor="page51">
              <w:r>
                <w:rPr>
                  <w:rFonts w:ascii="Arial" w:cs="Arial" w:eastAsia="Arial" w:hAnsi="Arial"/>
                  <w:sz w:val="18"/>
                  <w:szCs w:val="18"/>
                  <w:color w:val="auto"/>
                  <w:w w:val="88"/>
                </w:rPr>
                <w:t>Signatures</w:t>
              </w:r>
            </w:hyperlink>
          </w:p>
        </w:tc>
        <w:tc>
          <w:tcPr>
            <w:tcW w:w="7480" w:type="dxa"/>
            <w:vAlign w:val="bottom"/>
          </w:tcPr>
          <w:p>
            <w:pPr>
              <w:spacing w:after="0"/>
              <w:rPr>
                <w:sz w:val="23"/>
                <w:szCs w:val="23"/>
                <w:color w:val="auto"/>
              </w:rPr>
            </w:pPr>
          </w:p>
        </w:tc>
        <w:tc>
          <w:tcPr>
            <w:tcW w:w="4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Quarterly Report on Form 10-Q (this “Form 10-Q”) contains forward-looking statements within the meaning of the federal securities laws, including, but not limited to, statements regarding (1) the amount, timing and focus of our expected capital investments in 2021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novel coronavirus disease 2019 (“Covid-19”) pandemic on our operations, financial results and supply chain, (5) 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w:t>
      </w:r>
    </w:p>
    <w:p>
      <w:pPr>
        <w:spacing w:after="0" w:line="4" w:lineRule="exact"/>
        <w:rPr>
          <w:sz w:val="20"/>
          <w:szCs w:val="20"/>
          <w:color w:val="auto"/>
        </w:rPr>
      </w:pPr>
    </w:p>
    <w:p>
      <w:pPr>
        <w:jc w:val="both"/>
        <w:ind w:firstLine="8"/>
        <w:spacing w:after="0" w:line="235" w:lineRule="auto"/>
        <w:tabs>
          <w:tab w:leader="none" w:pos="356"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this market, (19) projects to install or integrate new information technology systems or upgrade our existing systems and (20)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ind w:left="400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such forward-looking statements as a result of various factors, including those set forth in Part II, Item 1A and other sections of this Form 10-Q, in our Annual Report on Form 10-K for the year ended December 31, 2020 (the “2020 Form 10-K”) and from time to time in our other reports filed with or furnished to the Securities and Exchange Commission (“SEC”). You should carefully consider the trends, risks and uncertainties described in this Form 10-Q, the 2020 Form 10-K, and other reports filed with or furnished to the SEC before making any investment decision with respect to our securities. If any of the following trends, risks or uncertainties actually occurs or continues, our business, financial condition or operating results could be materially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update such information,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gridSpan w:val="7"/>
          </w:tcPr>
          <w:p>
            <w:pPr>
              <w:jc w:val="center"/>
              <w:ind w:right="82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40" w:type="dxa"/>
            <w:vAlign w:val="bottom"/>
            <w:gridSpan w:val="7"/>
          </w:tcPr>
          <w:p>
            <w:pPr>
              <w:jc w:val="center"/>
              <w:ind w:right="840"/>
              <w:spacing w:after="0"/>
              <w:rPr>
                <w:sz w:val="20"/>
                <w:szCs w:val="20"/>
                <w:color w:val="auto"/>
              </w:rPr>
            </w:pPr>
            <w:r>
              <w:rPr>
                <w:rFonts w:ascii="Arial" w:cs="Arial" w:eastAsia="Arial" w:hAnsi="Arial"/>
                <w:sz w:val="18"/>
                <w:szCs w:val="18"/>
                <w:b w:val="1"/>
                <w:bCs w:val="1"/>
                <w:color w:val="auto"/>
              </w:rPr>
              <w:t>AMKOR TECHNOLOGY, INC.</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180" w:type="dxa"/>
            <w:vAlign w:val="bottom"/>
            <w:gridSpan w:val="8"/>
          </w:tcPr>
          <w:p>
            <w:pPr>
              <w:jc w:val="center"/>
              <w:ind w:left="2210"/>
              <w:spacing w:after="0"/>
              <w:rPr>
                <w:sz w:val="20"/>
                <w:szCs w:val="20"/>
                <w:color w:val="auto"/>
              </w:rPr>
            </w:pPr>
            <w:r>
              <w:rPr>
                <w:rFonts w:ascii="Arial" w:cs="Arial" w:eastAsia="Arial" w:hAnsi="Arial"/>
                <w:sz w:val="18"/>
                <w:szCs w:val="18"/>
                <w:b w:val="1"/>
                <w:bCs w:val="1"/>
                <w:color w:val="auto"/>
              </w:rPr>
              <w:t>CONSOLIDATED STATEMENTS OF INCOME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4"/>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24"/>
                <w:szCs w:val="24"/>
                <w:color w:val="auto"/>
              </w:rPr>
            </w:pPr>
          </w:p>
        </w:tc>
        <w:tc>
          <w:tcPr>
            <w:tcW w:w="29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7"/>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1,354,023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4,413,685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3,679,548</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1,356,168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1,112,938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3,550,499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3,057,235</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241,085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863,186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622,313</w:t>
            </w: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223,538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224,623</w:t>
            </w: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99,624</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113,616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352,162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324,247</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298,066</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12,896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38,333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49,461</w:t>
            </w: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expense, net</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51,028</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199,066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473,199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247,038</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33,504</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income</w:t>
            </w:r>
          </w:p>
        </w:tc>
        <w:tc>
          <w:tcPr>
            <w:tcW w:w="3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428,324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213,534</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Net income attributable to non-controlling interests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426,469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211,464</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Amkor per common share:</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Shares used in computing per common share amounts: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244,100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241,675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243,746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241,232</w:t>
            </w: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For the Three Months Ended September</w:t>
            </w:r>
          </w:p>
        </w:tc>
        <w:tc>
          <w:tcPr>
            <w:tcW w:w="2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For the Nine Months Ended September</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428,324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net unrealized gains (losses) on available-for-sale debt</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w w:val="99"/>
              </w:rPr>
              <w:t>Adjustments to unrealized components of defined benefit pension plans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217,728</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7"/>
        </w:trPr>
        <w:tc>
          <w:tcPr>
            <w:tcW w:w="7700" w:type="dxa"/>
            <w:vAlign w:val="bottom"/>
            <w:shd w:val="clear" w:color="auto" w:fill="CCEEFF"/>
          </w:tcPr>
          <w:p>
            <w:pPr>
              <w:ind w:left="530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698,002</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 (amortized cost of $244,627 and $133,744 in 2021 and 2020, respectively)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133,769</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7"/>
                <w:szCs w:val="17"/>
                <w:color w:val="auto"/>
              </w:rPr>
              <w:t>Accounts receivable, net of allowances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1,289,617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962,643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297,293</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40,218</w:t>
            </w: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2,132,932</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2,901,564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2,566,002</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 of use assets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147,236</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25,351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27,325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118,691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145,628</w:t>
            </w:r>
          </w:p>
        </w:tc>
        <w:tc>
          <w:tcPr>
            <w:tcW w:w="0" w:type="dxa"/>
            <w:vAlign w:val="bottom"/>
          </w:tcPr>
          <w:p>
            <w:pPr>
              <w:spacing w:after="0"/>
              <w:rPr>
                <w:sz w:val="1"/>
                <w:szCs w:val="1"/>
                <w:color w:val="auto"/>
              </w:rPr>
            </w:pPr>
          </w:p>
        </w:tc>
      </w:tr>
      <w:tr>
        <w:trPr>
          <w:trHeight w:val="235"/>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5,770,448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454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140,380</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149,007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accounts payable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636,434</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7"/>
                <w:szCs w:val="17"/>
                <w:color w:val="auto"/>
              </w:rPr>
              <w:t>Capital expenditures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393,660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181,339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389,068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349,207</w:t>
            </w:r>
          </w:p>
        </w:tc>
        <w:tc>
          <w:tcPr>
            <w:tcW w:w="0" w:type="dxa"/>
            <w:vAlign w:val="bottom"/>
          </w:tcPr>
          <w:p>
            <w:pPr>
              <w:spacing w:after="0"/>
              <w:rPr>
                <w:sz w:val="1"/>
                <w:szCs w:val="1"/>
                <w:color w:val="auto"/>
              </w:rPr>
            </w:pPr>
          </w:p>
        </w:tc>
      </w:tr>
      <w:tr>
        <w:trPr>
          <w:trHeight w:val="210"/>
        </w:trPr>
        <w:tc>
          <w:tcPr>
            <w:tcW w:w="770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1,738,985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1,315,987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1,005,339</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Pension and severance obligations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145,633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159,610</w:t>
            </w:r>
          </w:p>
        </w:tc>
        <w:tc>
          <w:tcPr>
            <w:tcW w:w="0" w:type="dxa"/>
            <w:vAlign w:val="bottom"/>
          </w:tcPr>
          <w:p>
            <w:pPr>
              <w:spacing w:after="0"/>
              <w:rPr>
                <w:sz w:val="1"/>
                <w:szCs w:val="1"/>
                <w:color w:val="auto"/>
              </w:rPr>
            </w:pP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84,420</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102,996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3,010,769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2,668,352</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80"/>
              <w:spacing w:after="0"/>
              <w:rPr>
                <w:sz w:val="20"/>
                <w:szCs w:val="20"/>
                <w:color w:val="auto"/>
              </w:rPr>
            </w:pPr>
            <w:r>
              <w:rPr>
                <w:rFonts w:ascii="Arial" w:cs="Arial" w:eastAsia="Arial" w:hAnsi="Arial"/>
                <w:sz w:val="17"/>
                <w:szCs w:val="17"/>
                <w:color w:val="auto"/>
              </w:rPr>
              <w:t>Preferred stock, $0.001 par value, 10,000 shares authorized, designated Series A, none issued</w:t>
            </w:r>
          </w:p>
        </w:tc>
        <w:tc>
          <w:tcPr>
            <w:tcW w:w="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480"/>
              <w:spacing w:after="0" w:line="162" w:lineRule="exact"/>
              <w:rPr>
                <w:sz w:val="20"/>
                <w:szCs w:val="20"/>
                <w:color w:val="auto"/>
              </w:rPr>
            </w:pPr>
            <w:r>
              <w:rPr>
                <w:rFonts w:ascii="Arial" w:cs="Arial" w:eastAsia="Arial" w:hAnsi="Arial"/>
                <w:sz w:val="17"/>
                <w:szCs w:val="17"/>
                <w:color w:val="auto"/>
                <w:w w:val="92"/>
              </w:rPr>
              <w:t>Common stock, $0.001 par value, 500,000 shares authorized; 290,341 and 288,923 shares issued; and</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244,190 and 242,829 shares outstanding in 2021 and 2020, 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1,973,207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1,953,378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562,502</w:t>
            </w:r>
          </w:p>
        </w:tc>
        <w:tc>
          <w:tcPr>
            <w:tcW w:w="0" w:type="dxa"/>
            <w:vAlign w:val="bottom"/>
          </w:tcPr>
          <w:p>
            <w:pPr>
              <w:spacing w:after="0"/>
              <w:rPr>
                <w:sz w:val="1"/>
                <w:szCs w:val="1"/>
                <w:color w:val="auto"/>
              </w:rPr>
            </w:pPr>
          </w:p>
        </w:tc>
      </w:tr>
      <w:tr>
        <w:trPr>
          <w:trHeight w:val="216"/>
        </w:trPr>
        <w:tc>
          <w:tcPr>
            <w:tcW w:w="7700" w:type="dxa"/>
            <w:vAlign w:val="bottom"/>
          </w:tcPr>
          <w:p>
            <w:pPr>
              <w:ind w:left="48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27,270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Treasury stock, at cost, 46,151 and 46,094 shares in 2021 and 2020,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(219,061)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(217,740)</w:t>
            </w:r>
          </w:p>
        </w:tc>
        <w:tc>
          <w:tcPr>
            <w:tcW w:w="0" w:type="dxa"/>
            <w:vAlign w:val="bottom"/>
          </w:tcPr>
          <w:p>
            <w:pPr>
              <w:spacing w:after="0"/>
              <w:rPr>
                <w:sz w:val="1"/>
                <w:szCs w:val="1"/>
                <w:color w:val="auto"/>
              </w:rPr>
            </w:pPr>
          </w:p>
        </w:tc>
      </w:tr>
      <w:tr>
        <w:trPr>
          <w:trHeight w:val="210"/>
        </w:trPr>
        <w:tc>
          <w:tcPr>
            <w:tcW w:w="7700" w:type="dxa"/>
            <w:vAlign w:val="bottom"/>
          </w:tcPr>
          <w:p>
            <w:pPr>
              <w:ind w:left="680"/>
              <w:spacing w:after="0"/>
              <w:rPr>
                <w:sz w:val="20"/>
                <w:szCs w:val="20"/>
                <w:color w:val="auto"/>
              </w:rPr>
            </w:pPr>
            <w:r>
              <w:rPr>
                <w:rFonts w:ascii="Arial" w:cs="Arial" w:eastAsia="Arial" w:hAnsi="Arial"/>
                <w:sz w:val="17"/>
                <w:szCs w:val="17"/>
                <w:color w:val="auto"/>
              </w:rPr>
              <w:t>Total Amkor stockholders’ equity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2,730,013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2,325,699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 in subsidiaries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2,759,679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2,353,959</w:t>
            </w:r>
          </w:p>
        </w:tc>
        <w:tc>
          <w:tcPr>
            <w:tcW w:w="0" w:type="dxa"/>
            <w:vAlign w:val="bottom"/>
          </w:tcPr>
          <w:p>
            <w:pPr>
              <w:spacing w:after="0"/>
              <w:rPr>
                <w:sz w:val="1"/>
                <w:szCs w:val="1"/>
                <w:color w:val="auto"/>
              </w:rPr>
            </w:pPr>
          </w:p>
        </w:tc>
      </w:tr>
      <w:tr>
        <w:trPr>
          <w:trHeight w:val="235"/>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5,770,448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Capital</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tcPr>
          <w:p>
            <w:pPr>
              <w:ind w:left="66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1"/>
              </w:rPr>
              <w:t>Balance at June 30, 2021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1,968,339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16,113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2,554,248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2,583,070</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180,854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180,854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181,847</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comprehensive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1,828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1,828</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8"/>
              </w:rPr>
              <w:t>Cash dividends declared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(9,780)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(9,780)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(9,780)</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w w:val="91"/>
              </w:rPr>
              <w:t>($0.04 per common share)</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6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290,341</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1,973,207</w:t>
            </w:r>
          </w:p>
        </w:tc>
        <w:tc>
          <w:tcPr>
            <w:tcW w:w="100" w:type="dxa"/>
            <w:vAlign w:val="bottom"/>
          </w:tcPr>
          <w:p>
            <w:pPr>
              <w:spacing w:after="0"/>
              <w:rPr>
                <w:sz w:val="8"/>
                <w:szCs w:val="8"/>
                <w:color w:val="auto"/>
              </w:rPr>
            </w:pPr>
          </w:p>
        </w:tc>
        <w:tc>
          <w:tcPr>
            <w:tcW w:w="2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959,641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15,936</w:t>
            </w:r>
          </w:p>
        </w:tc>
        <w:tc>
          <w:tcPr>
            <w:tcW w:w="10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2,730,013</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29,666</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2,759,679</w:t>
            </w:r>
          </w:p>
        </w:tc>
        <w:tc>
          <w:tcPr>
            <w:tcW w:w="0" w:type="dxa"/>
            <w:vAlign w:val="bottom"/>
          </w:tcPr>
          <w:p>
            <w:pPr>
              <w:spacing w:after="0"/>
              <w:rPr>
                <w:sz w:val="1"/>
                <w:szCs w:val="1"/>
                <w:color w:val="auto"/>
              </w:rPr>
            </w:pPr>
          </w:p>
        </w:tc>
      </w:tr>
      <w:tr>
        <w:trPr>
          <w:trHeight w:val="153"/>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b w:val="1"/>
                <w:bCs w:val="1"/>
                <w:color w:val="auto"/>
                <w:w w:val="91"/>
              </w:rPr>
              <w:t>Balance at December 31,</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288,923</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0"/>
                <w:szCs w:val="10"/>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1,953,378</w:t>
            </w:r>
          </w:p>
        </w:tc>
        <w:tc>
          <w:tcPr>
            <w:tcW w:w="100" w:type="dxa"/>
            <w:vAlign w:val="bottom"/>
          </w:tcPr>
          <w:p>
            <w:pPr>
              <w:spacing w:after="0"/>
              <w:rPr>
                <w:sz w:val="10"/>
                <w:szCs w:val="10"/>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562,502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27,270</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(46,094)</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(217,740)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2,325,699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28,260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2,353,959</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rPr>
              <w:t>2020</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426,469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426,469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428,324</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rPr>
              <w:t>Other comprehensive</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(11,334)</w:t>
            </w:r>
          </w:p>
        </w:tc>
        <w:tc>
          <w:tcPr>
            <w:tcW w:w="10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(11,334)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(11,334)</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7"/>
              </w:rPr>
              <w:t>through surrender of shares</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11,851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11,852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11,852</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7,978</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8"/>
              </w:rPr>
              <w:t>Cash dividends declared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(29,330)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(29,330)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(29,330)</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w w:val="91"/>
              </w:rPr>
              <w:t>($0.12 per common share)</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0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290,341</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1,973,207</w:t>
            </w:r>
          </w:p>
        </w:tc>
        <w:tc>
          <w:tcPr>
            <w:tcW w:w="100" w:type="dxa"/>
            <w:vAlign w:val="bottom"/>
          </w:tcPr>
          <w:p>
            <w:pPr>
              <w:spacing w:after="0"/>
              <w:rPr>
                <w:sz w:val="8"/>
                <w:szCs w:val="8"/>
                <w:color w:val="auto"/>
              </w:rPr>
            </w:pPr>
          </w:p>
        </w:tc>
        <w:tc>
          <w:tcPr>
            <w:tcW w:w="28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959,641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15,936</w:t>
            </w:r>
          </w:p>
        </w:tc>
        <w:tc>
          <w:tcPr>
            <w:tcW w:w="10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2,730,013</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29,666</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2,759,679</w:t>
            </w:r>
          </w:p>
        </w:tc>
        <w:tc>
          <w:tcPr>
            <w:tcW w:w="0" w:type="dxa"/>
            <w:vAlign w:val="bottom"/>
          </w:tcPr>
          <w:p>
            <w:pPr>
              <w:spacing w:after="0"/>
              <w:rPr>
                <w:sz w:val="1"/>
                <w:szCs w:val="1"/>
                <w:color w:val="auto"/>
              </w:rPr>
            </w:pPr>
          </w:p>
        </w:tc>
      </w:tr>
      <w:tr>
        <w:trPr>
          <w:trHeight w:val="153"/>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16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In Capital</w:t>
            </w:r>
          </w:p>
        </w:tc>
        <w:tc>
          <w:tcPr>
            <w:tcW w:w="1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Subsidiaries</w:t>
            </w: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tcPr>
          <w:p>
            <w:pPr>
              <w:ind w:left="66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2"/>
              </w:rPr>
              <w:t>Balance at June 30, 2020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1,934,047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353,390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19,272</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(46,083)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2,089,404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2,116,928</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92,151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92,897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88"/>
              </w:rPr>
              <w:t>through surrender of shares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5"/>
              </w:rPr>
              <w:t>Issuance of stock through</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0"/>
              </w:rPr>
              <w:t>share-based compensation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6,953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6,954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6,954</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89"/>
              </w:rPr>
              <w:t>Share-based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20" w:type="dxa"/>
            <w:vAlign w:val="bottom"/>
          </w:tcPr>
          <w:p>
            <w:pPr>
              <w:ind w:left="180"/>
              <w:spacing w:after="0" w:line="102" w:lineRule="exact"/>
              <w:rPr>
                <w:sz w:val="20"/>
                <w:szCs w:val="20"/>
                <w:color w:val="auto"/>
              </w:rPr>
            </w:pPr>
            <w:r>
              <w:rPr>
                <w:rFonts w:ascii="Arial" w:cs="Arial" w:eastAsia="Arial" w:hAnsi="Arial"/>
                <w:sz w:val="10"/>
                <w:szCs w:val="10"/>
                <w:b w:val="1"/>
                <w:bCs w:val="1"/>
                <w:color w:val="auto"/>
              </w:rPr>
              <w:t>Balance at September 30,</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288,043</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1,943,140</w:t>
            </w:r>
          </w:p>
        </w:tc>
        <w:tc>
          <w:tcPr>
            <w:tcW w:w="12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445,541</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23,309</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(46,088)</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(217,660)</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2,194,618</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28,119</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2,222,737</w:t>
            </w:r>
          </w:p>
        </w:tc>
        <w:tc>
          <w:tcPr>
            <w:tcW w:w="0" w:type="dxa"/>
            <w:vAlign w:val="bottom"/>
          </w:tcPr>
          <w:p>
            <w:pPr>
              <w:spacing w:after="0"/>
              <w:rPr>
                <w:sz w:val="1"/>
                <w:szCs w:val="1"/>
                <w:color w:val="auto"/>
              </w:rPr>
            </w:pPr>
          </w:p>
        </w:tc>
      </w:tr>
      <w:tr>
        <w:trPr>
          <w:trHeight w:val="153"/>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b w:val="1"/>
                <w:bCs w:val="1"/>
                <w:color w:val="auto"/>
                <w:w w:val="92"/>
              </w:rPr>
              <w:t>Balance at December 31,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286,877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1,927,739</w:t>
            </w:r>
          </w:p>
        </w:tc>
        <w:tc>
          <w:tcPr>
            <w:tcW w:w="12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234,077</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19,115</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(46,072)</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(217,479)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1,963,739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26,500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1,990,239</w:t>
            </w:r>
          </w:p>
        </w:tc>
        <w:tc>
          <w:tcPr>
            <w:tcW w:w="0" w:type="dxa"/>
            <w:vAlign w:val="bottom"/>
          </w:tcPr>
          <w:p>
            <w:pPr>
              <w:spacing w:after="0"/>
              <w:rPr>
                <w:sz w:val="1"/>
                <w:szCs w:val="1"/>
                <w:color w:val="auto"/>
              </w:rPr>
            </w:pPr>
          </w:p>
        </w:tc>
      </w:tr>
      <w:tr>
        <w:trPr>
          <w:trHeight w:val="170"/>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213,534</w:t>
            </w: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Other comprehensive</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4,194</w:t>
            </w:r>
          </w:p>
        </w:tc>
        <w:tc>
          <w:tcPr>
            <w:tcW w:w="12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4,194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4,194</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8"/>
              </w:rPr>
              <w:t>through surrender of shares</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95"/>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90"/>
              </w:rPr>
              <w:t>share-based compensation</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1,166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9,694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9,695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9,695</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5,707</w:t>
            </w: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Subsidiary dividends to</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69"/>
        </w:trPr>
        <w:tc>
          <w:tcPr>
            <w:tcW w:w="16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620" w:type="dxa"/>
            <w:vAlign w:val="bottom"/>
            <w:tcBorders>
              <w:top w:val="single" w:sz="8" w:color="CCEEFF"/>
            </w:tcBorders>
            <w:shd w:val="clear" w:color="auto" w:fill="CCEEFF"/>
          </w:tcPr>
          <w:p>
            <w:pPr>
              <w:ind w:left="180"/>
              <w:spacing w:after="0" w:line="108" w:lineRule="exact"/>
              <w:rPr>
                <w:sz w:val="20"/>
                <w:szCs w:val="20"/>
                <w:color w:val="auto"/>
              </w:rPr>
            </w:pPr>
            <w:r>
              <w:rPr>
                <w:rFonts w:ascii="Arial" w:cs="Arial" w:eastAsia="Arial" w:hAnsi="Arial"/>
                <w:sz w:val="12"/>
                <w:szCs w:val="12"/>
                <w:b w:val="1"/>
                <w:bCs w:val="1"/>
                <w:color w:val="auto"/>
                <w:w w:val="97"/>
              </w:rPr>
              <w:t>Balance at September 30,</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288,043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1,943,140</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445,541</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23,309</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(46,088)</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(217,660)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2,194,618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28,119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2,222,737</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428,324</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213,534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377,722</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20,368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(177,576)</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434,048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(491,425)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(275,531)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foreign exchange forward contracts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26,912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foreign exchange forward contracts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(348,822)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(475,696)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37,633</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165,774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86,216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(636,369)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(611,337)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312,000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86,769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(76,004)</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154,784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225,985</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(370,426)</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(153,162)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(327,755)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702,197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898,532</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570,777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328,354</w:t>
            </w:r>
          </w:p>
        </w:tc>
        <w:tc>
          <w:tcPr>
            <w:tcW w:w="0" w:type="dxa"/>
            <w:vAlign w:val="bottom"/>
          </w:tcPr>
          <w:p>
            <w:pPr>
              <w:spacing w:after="0"/>
              <w:rPr>
                <w:sz w:val="1"/>
                <w:szCs w:val="1"/>
                <w:color w:val="auto"/>
              </w:rPr>
            </w:pPr>
          </w:p>
        </w:tc>
      </w:tr>
      <w:tr>
        <w:trPr>
          <w:trHeight w:val="230"/>
        </w:trPr>
        <w:tc>
          <w:tcPr>
            <w:tcW w:w="7700" w:type="dxa"/>
            <w:vAlign w:val="bottom"/>
          </w:tcPr>
          <w:p>
            <w:pPr>
              <w:ind w:left="480"/>
              <w:spacing w:after="0"/>
              <w:rPr>
                <w:sz w:val="20"/>
                <w:szCs w:val="20"/>
                <w:color w:val="auto"/>
              </w:rPr>
            </w:pPr>
            <w:r>
              <w:rPr>
                <w:rFonts w:ascii="Arial" w:cs="Arial" w:eastAsia="Arial" w:hAnsi="Arial"/>
                <w:sz w:val="18"/>
                <w:szCs w:val="18"/>
                <w:color w:val="auto"/>
              </w:rPr>
              <w:t>Right of use assets acquired through finance lease liabilities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Right of use assets acquired through operating lease liabilities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Consolidated Financial Statements and related disclosures as of September 30, 2021, and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and 2020, contained in this Form 10-Q (the “Consolidated Financial Statements”) are unaudited, pursuant to the rules and regulations of the SEC. The December 31, 2020 Consolidated Balance Sheet data contained in this Form 10-Q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and should be read in conjunction with the financial statements included in the 2020 Form 10-K. The results of operations for the three and nine months ended September 30, 2021 are not necessarily indicative of the results to be expected for the full year ending December 31, 2021. Unless the context otherwise requires, all references to “Amkor,” “we,” “us” or “our” are to Amkor Technology, Inc. and its subsidiaries. Certain prior year amounts have been reclassified to conform to current year presentation.</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the impact of the Covid-19 pandemic and any worsening of the global business and economic environment.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balance of goodwill in the Consolidated Balance Sheets contained in this Form 10-Q reflects adjustments for foreign currency translation.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Receivables</w:t>
      </w:r>
      <w:r>
        <w:rPr>
          <w:rFonts w:ascii="Arial" w:cs="Arial" w:eastAsia="Arial" w:hAnsi="Arial"/>
          <w:sz w:val="16"/>
          <w:szCs w:val="16"/>
          <w:color w:val="auto"/>
        </w:rPr>
        <w:t>. Total unbilled receivables as of September 30, 2021 and December 31, 2020 were $264.5 million and $146.8 million, respectively.</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Contract liabilities were $109.6 million and $51.6 million as of September 30, 2021 and December 31, 2020, respectively.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and December 31, 2020, the short-term portions of the liabilities were $61.6 million and $30.3 million, respectively. Revenue recognized during the nine months ended September 30, 2021 and 2020 that was included in the contract liabilities balance at the beginning of the period was $24.0 million and $12.5 million, respectively.</w:t>
      </w:r>
    </w:p>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Net Sales by Product Group and End Market</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our net sales by product group. Beginning in 2021, we are reporting memory net sales in advanced products. Previously, memory net sales were reported in mainstream products. Prior year amounts were reclassified to conform to current year presentation.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6"/>
              </w:rPr>
              <w:t>For the Nine Months Ended September 30,</w:t>
            </w:r>
          </w:p>
        </w:tc>
      </w:tr>
      <w:tr>
        <w:trPr>
          <w:trHeight w:val="187"/>
        </w:trPr>
        <w:tc>
          <w:tcPr>
            <w:tcW w:w="47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1,235,753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3,136,076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2,632,222</w:t>
            </w: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 (2)</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1,047,326</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3,679,548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40" w:type="dxa"/>
            <w:vAlign w:val="bottom"/>
            <w:gridSpan w:val="10"/>
          </w:tcPr>
          <w:p>
            <w:pPr>
              <w:ind w:left="60"/>
              <w:spacing w:after="0"/>
              <w:rPr>
                <w:sz w:val="20"/>
                <w:szCs w:val="20"/>
                <w:color w:val="auto"/>
              </w:rPr>
            </w:pPr>
            <w:r>
              <w:rPr>
                <w:rFonts w:ascii="Arial" w:cs="Arial" w:eastAsia="Arial" w:hAnsi="Arial"/>
                <w:sz w:val="14"/>
                <w:szCs w:val="14"/>
                <w:b w:val="1"/>
                <w:bCs w:val="1"/>
                <w:color w:val="auto"/>
                <w:w w:val="99"/>
              </w:rPr>
              <w:t>For the Three Months Ended September</w:t>
            </w:r>
          </w:p>
        </w:tc>
        <w:tc>
          <w:tcPr>
            <w:tcW w:w="26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30,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 (handheld devices, smartphones, tablets)</w:t>
            </w:r>
          </w:p>
        </w:tc>
        <w:tc>
          <w:tcPr>
            <w:tcW w:w="10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2"/>
              </w:rPr>
              <w:t>43 %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Consumer (connected home, set-top boxes, televisions, visual imaging,</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8"/>
                <w:szCs w:val="18"/>
                <w:color w:val="auto"/>
                <w:w w:val="92"/>
              </w:rPr>
              <w:t>25 %</w:t>
            </w:r>
          </w:p>
        </w:tc>
        <w:tc>
          <w:tcPr>
            <w:tcW w:w="10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wearables)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Automotive, industrial and other (driver assist, infotainment, performance,</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2"/>
              </w:rPr>
              <w:t>17 %</w:t>
            </w:r>
          </w:p>
        </w:tc>
        <w:tc>
          <w:tcPr>
            <w:tcW w:w="10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safety)</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10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15 %</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tcPr>
          <w:p>
            <w:pPr>
              <w:spacing w:after="0"/>
              <w:rPr>
                <w:sz w:val="20"/>
                <w:szCs w:val="20"/>
                <w:color w:val="auto"/>
              </w:rPr>
            </w:pPr>
            <w:r>
              <w:rPr>
                <w:rFonts w:ascii="Arial" w:cs="Arial" w:eastAsia="Arial" w:hAnsi="Arial"/>
                <w:sz w:val="18"/>
                <w:szCs w:val="18"/>
                <w:color w:val="auto"/>
              </w:rPr>
              <w:t>Other income and expense consist of the following:</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40" w:type="dxa"/>
            <w:vAlign w:val="bottom"/>
          </w:tcPr>
          <w:p>
            <w:pPr>
              <w:spacing w:after="0"/>
              <w:rPr>
                <w:sz w:val="24"/>
                <w:szCs w:val="24"/>
                <w:color w:val="auto"/>
              </w:rPr>
            </w:pPr>
          </w:p>
        </w:tc>
        <w:tc>
          <w:tcPr>
            <w:tcW w:w="322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For the Three Months Ended September 30,</w:t>
            </w:r>
          </w:p>
        </w:tc>
        <w:tc>
          <w:tcPr>
            <w:tcW w:w="80" w:type="dxa"/>
            <w:vAlign w:val="bottom"/>
          </w:tcPr>
          <w:p>
            <w:pPr>
              <w:spacing w:after="0"/>
              <w:rPr>
                <w:sz w:val="24"/>
                <w:szCs w:val="24"/>
                <w:color w:val="auto"/>
              </w:rPr>
            </w:pPr>
          </w:p>
        </w:tc>
        <w:tc>
          <w:tcPr>
            <w:tcW w:w="3200" w:type="dxa"/>
            <w:vAlign w:val="bottom"/>
            <w:gridSpan w:val="7"/>
          </w:tcPr>
          <w:p>
            <w:pPr>
              <w:jc w:val="right"/>
              <w:ind w:right="193"/>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ind w:right="8"/>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2,415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of $44.9 million for the nine months ended September 30, 2021 reflects income taxes, foreign withholding taxes and minimum taxes.</w:t>
      </w:r>
    </w:p>
    <w:p>
      <w:pPr>
        <w:spacing w:after="0" w:line="1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Unrecognized tax benefits represent reserves for potential tax deficiencies or reductions in tax benefits that could result from federal, state or foreign tax audits. Gross unrecognized tax benefits decreased from $32.6 million at December 31, 2020 to $31.1 million as of September 30, 2021, primarily due to the lapse of statutes of limitations and settlement of examinations offset by increases related to income attribution.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tax returns that are open to examination in various jurisdictions for tax years 2011-2020. The open years contain matters that could be subject to differing interpretations of applicable tax laws and regulations related to the amount and/or timing of income, deductions and tax credits. There can be no assurance that the outcome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examinations will be favorable. In certain circumstances where we elect to appeal the results of an examination, we may be required to make tax assessment payments to proceed with the administrative appeal process.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gridSpan w:val="5"/>
          </w:tcPr>
          <w:p>
            <w:pPr>
              <w:jc w:val="center"/>
              <w:ind w:right="480"/>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shd w:val="clear" w:color="auto" w:fill="CCEEFF"/>
          </w:tcPr>
          <w:p>
            <w:pPr>
              <w:ind w:left="60"/>
              <w:spacing w:after="0" w:line="204" w:lineRule="exact"/>
              <w:rPr>
                <w:sz w:val="20"/>
                <w:szCs w:val="20"/>
                <w:color w:val="auto"/>
              </w:rPr>
            </w:pPr>
            <w:r>
              <w:rPr>
                <w:rFonts w:ascii="Arial" w:cs="Arial" w:eastAsia="Arial" w:hAnsi="Arial"/>
                <w:sz w:val="18"/>
                <w:szCs w:val="18"/>
                <w:color w:val="auto"/>
              </w:rPr>
              <w:t>Net income attributable to Amkor common stockholders</w:t>
            </w:r>
          </w:p>
        </w:tc>
        <w:tc>
          <w:tcPr>
            <w:tcW w:w="1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180,854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92,151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line="204"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426,469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211,464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Weighted-average number of common shares outstanding - basic</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241,232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awards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155"/>
        </w:trPr>
        <w:tc>
          <w:tcPr>
            <w:tcW w:w="4740" w:type="dxa"/>
            <w:vAlign w:val="bottom"/>
          </w:tcPr>
          <w:p>
            <w:pPr>
              <w:ind w:left="20"/>
              <w:spacing w:after="0" w:line="156" w:lineRule="exact"/>
              <w:rPr>
                <w:sz w:val="20"/>
                <w:szCs w:val="20"/>
                <w:color w:val="auto"/>
              </w:rPr>
            </w:pPr>
            <w:r>
              <w:rPr>
                <w:rFonts w:ascii="Arial" w:cs="Arial" w:eastAsia="Arial" w:hAnsi="Arial"/>
                <w:sz w:val="18"/>
                <w:szCs w:val="18"/>
                <w:color w:val="auto"/>
                <w:w w:val="98"/>
              </w:rPr>
              <w:t>Weighted-average number of common shares outstanding -</w:t>
            </w: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245,942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242,592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245,611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241,937</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attributable to Amkor per common share: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30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 Ended September 30,</w:t>
            </w:r>
          </w:p>
        </w:tc>
        <w:tc>
          <w:tcPr>
            <w:tcW w:w="32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47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00" w:type="dxa"/>
            <w:vAlign w:val="bottom"/>
            <w:gridSpan w:val="3"/>
          </w:tcPr>
          <w:p>
            <w:pPr>
              <w:jc w:val="right"/>
              <w:ind w:right="1402"/>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5"/>
                <w:szCs w:val="15"/>
                <w:color w:val="auto"/>
              </w:rPr>
            </w:pPr>
          </w:p>
        </w:tc>
      </w:tr>
      <w:tr>
        <w:trPr>
          <w:trHeight w:val="231"/>
        </w:trPr>
        <w:tc>
          <w:tcPr>
            <w:tcW w:w="5800" w:type="dxa"/>
            <w:vAlign w:val="bottom"/>
            <w:gridSpan w:val="2"/>
            <w:shd w:val="clear" w:color="auto" w:fill="CCEEFF"/>
          </w:tcPr>
          <w:p>
            <w:pPr>
              <w:jc w:val="right"/>
              <w:ind w:right="4268"/>
              <w:spacing w:after="0"/>
              <w:rPr>
                <w:sz w:val="20"/>
                <w:szCs w:val="20"/>
                <w:color w:val="auto"/>
              </w:rPr>
            </w:pPr>
            <w:r>
              <w:rPr>
                <w:rFonts w:ascii="Arial" w:cs="Arial" w:eastAsia="Arial" w:hAnsi="Arial"/>
                <w:sz w:val="18"/>
                <w:szCs w:val="18"/>
                <w:color w:val="auto"/>
                <w:w w:val="86"/>
              </w:rPr>
              <w:t>Share-based awards</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180</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90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60"/>
        <w:spacing w:after="0" w:line="235" w:lineRule="auto"/>
        <w:rPr>
          <w:sz w:val="20"/>
          <w:szCs w:val="20"/>
          <w:color w:val="auto"/>
        </w:rPr>
      </w:pPr>
      <w:r>
        <w:rPr>
          <w:rFonts w:ascii="Arial" w:cs="Arial" w:eastAsia="Arial" w:hAnsi="Arial"/>
          <w:sz w:val="18"/>
          <w:szCs w:val="18"/>
          <w:color w:val="auto"/>
        </w:rPr>
        <w:t>Accumulated other comprehensive income (loss) at December 31, 2020</w:t>
      </w:r>
    </w:p>
    <w:p>
      <w:pPr>
        <w:ind w:left="400"/>
        <w:spacing w:after="0"/>
        <w:rPr>
          <w:sz w:val="20"/>
          <w:szCs w:val="20"/>
          <w:color w:val="auto"/>
        </w:rPr>
      </w:pPr>
      <w:r>
        <w:rPr>
          <w:rFonts w:ascii="Arial" w:cs="Arial" w:eastAsia="Arial" w:hAnsi="Arial"/>
          <w:sz w:val="16"/>
          <w:szCs w:val="16"/>
          <w:color w:val="auto"/>
        </w:rPr>
        <w:t>Other comprehensive income (loss) before reclassifications</w:t>
      </w:r>
    </w:p>
    <w:p>
      <w:pPr>
        <w:spacing w:after="0" w:line="46" w:lineRule="exact"/>
        <w:rPr>
          <w:sz w:val="20"/>
          <w:szCs w:val="20"/>
          <w:color w:val="auto"/>
        </w:rPr>
      </w:pPr>
    </w:p>
    <w:p>
      <w:pPr>
        <w:ind w:left="400"/>
        <w:spacing w:after="0" w:line="234" w:lineRule="auto"/>
        <w:rPr>
          <w:sz w:val="20"/>
          <w:szCs w:val="20"/>
          <w:color w:val="auto"/>
        </w:rPr>
      </w:pPr>
      <w:r>
        <w:rPr>
          <w:rFonts w:ascii="Arial" w:cs="Arial" w:eastAsia="Arial" w:hAnsi="Arial"/>
          <w:sz w:val="18"/>
          <w:szCs w:val="18"/>
          <w:color w:val="auto"/>
        </w:rPr>
        <w:t>Amounts reclassified from accumulated other comprehensive income (loss)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260" w:right="40"/>
        <w:spacing w:after="0" w:line="234" w:lineRule="auto"/>
        <w:rPr>
          <w:sz w:val="20"/>
          <w:szCs w:val="20"/>
          <w:color w:val="auto"/>
        </w:rPr>
      </w:pPr>
      <w:r>
        <w:rPr>
          <w:rFonts w:ascii="Arial" w:cs="Arial" w:eastAsia="Arial" w:hAnsi="Arial"/>
          <w:sz w:val="18"/>
          <w:szCs w:val="18"/>
          <w:color w:val="auto"/>
        </w:rPr>
        <w:t>Accumulated other comprehensive income (loss) at September 30, 2021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1"/>
                <w:szCs w:val="11"/>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for-Sale Debt</w:t>
            </w: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35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-1087755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-685165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-273685</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60"/>
            <w:col w:w="6360"/>
          </w:cols>
          <w:pgMar w:left="320" w:top="121" w:right="3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 Gains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180" w:type="dxa"/>
            <w:vAlign w:val="bottom"/>
          </w:tcPr>
          <w:p>
            <w:pPr>
              <w:spacing w:after="0"/>
              <w:rPr>
                <w:sz w:val="11"/>
                <w:szCs w:val="11"/>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for-Sale Debt</w:t>
            </w: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Investments (1)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CEEFF"/>
          </w:tcPr>
          <w:p>
            <w:pPr>
              <w:ind w:left="260"/>
              <w:spacing w:after="0" w:line="177" w:lineRule="exact"/>
              <w:rPr>
                <w:sz w:val="20"/>
                <w:szCs w:val="20"/>
                <w:color w:val="auto"/>
              </w:rPr>
            </w:pPr>
            <w:r>
              <w:rPr>
                <w:rFonts w:ascii="Arial" w:cs="Arial" w:eastAsia="Arial" w:hAnsi="Arial"/>
                <w:sz w:val="18"/>
                <w:szCs w:val="18"/>
                <w:color w:val="auto"/>
                <w:w w:val="92"/>
              </w:rPr>
              <w:t>Accumulated other comprehensive income (loss) at December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31, 2019</w:t>
            </w:r>
          </w:p>
        </w:tc>
        <w:tc>
          <w:tcPr>
            <w:tcW w:w="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0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Amounts reclassified from accumulated other comprehensive</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w w:val="91"/>
              </w:rPr>
              <w:t>Accumulated other comprehensive income (loss) at September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27,902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30, 2020</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171"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of our available-for-sale debt investments as of September 30, 2021 are available to fund current operations and are recorded at fair value (Note 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165,931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165,930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143,262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23,153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23,112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156,251</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239,945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239,788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217,288</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405,876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405,718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42"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September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Amortized Cost</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Fair Value</w:t>
            </w:r>
          </w:p>
        </w:tc>
      </w:tr>
      <w:tr>
        <w:trPr>
          <w:trHeight w:val="187"/>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6"/>
                <w:szCs w:val="16"/>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320,948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320,877</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82,992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82,905</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10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405,718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the issuers may have the right to call or prepay obligations without call or prepayment penalties. We view our available-for-sale debt investments as available for current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amortized cost and the fair market value of our held-to-maturity government bond (Level 1) maturing within a year was $4.7 million. As of December 31, 2020,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nine months ended September 30, 2021, we sold receivables totaling $107.5 million and $319.4 million, net of discounts and fees of $0.2 million and $0.8 million, respectively. For the three and nine months ended September 30, 2020, we sold receivables totaling $103.9 million and $368.4 million, net of discounts and fees of $0.6 million and $2.2 million, respectively.</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1,625,355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6,224,058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5,736,797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Finance lease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40,856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Furniture, fixtures and other equipment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48,602</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8,568,111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7,924,859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(5,666,547)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(5,358,857)</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2,901,564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2,566,002</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6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145,826</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129,530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420,503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377,254</w:t>
            </w:r>
          </w:p>
        </w:tc>
        <w:tc>
          <w:tcPr>
            <w:tcW w:w="0" w:type="dxa"/>
            <w:vAlign w:val="bottom"/>
          </w:tcPr>
          <w:p>
            <w:pPr>
              <w:spacing w:after="0"/>
              <w:rPr>
                <w:sz w:val="1"/>
                <w:szCs w:val="1"/>
                <w:color w:val="auto"/>
              </w:rPr>
            </w:pPr>
          </w:p>
        </w:tc>
      </w:tr>
      <w:tr>
        <w:trPr>
          <w:trHeight w:val="702"/>
        </w:trPr>
        <w:tc>
          <w:tcPr>
            <w:tcW w:w="4740" w:type="dxa"/>
            <w:vAlign w:val="bottom"/>
          </w:tcPr>
          <w:p>
            <w:pPr>
              <w:spacing w:after="0"/>
              <w:rPr>
                <w:sz w:val="20"/>
                <w:szCs w:val="20"/>
                <w:color w:val="auto"/>
              </w:rPr>
            </w:pPr>
            <w:r>
              <w:rPr>
                <w:rFonts w:ascii="Arial" w:cs="Arial" w:eastAsia="Arial" w:hAnsi="Arial"/>
                <w:sz w:val="18"/>
                <w:szCs w:val="18"/>
                <w:b w:val="1"/>
                <w:bCs w:val="1"/>
                <w:color w:val="auto"/>
              </w:rPr>
              <w:t>10.  Accrued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Deferred revenue and customer advances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operating lease liabilities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Accrued severance plan obligations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64,967</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6.625% Senior notes, due September 2027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subsidiaries: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20"/>
              <w:spacing w:after="0"/>
              <w:rPr>
                <w:sz w:val="20"/>
                <w:szCs w:val="20"/>
                <w:color w:val="auto"/>
              </w:rPr>
            </w:pPr>
            <w:r>
              <w:rPr>
                <w:rFonts w:ascii="Arial" w:cs="Arial" w:eastAsia="Arial" w:hAnsi="Arial"/>
                <w:sz w:val="18"/>
                <w:szCs w:val="18"/>
                <w:color w:val="auto"/>
              </w:rPr>
              <w:t>Amkor Technology Korea, Inc.: (1)</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$30 million revolving credit facility, applicable bank rate plus 1.11% (2)</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Term loan, applicable bank rate plus 1.77%, due April 2023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51,541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fixed rate at 1.85%, due April 2024 (3)</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Term loan, applicable bank rate plus 1.98%, due December 2028</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Amkor Technology Japan,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Short-term term loans, variable rate (4)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0.86%, due June 2022</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29"/>
        </w:trPr>
        <w:tc>
          <w:tcPr>
            <w:tcW w:w="7640" w:type="dxa"/>
            <w:vAlign w:val="bottom"/>
          </w:tcPr>
          <w:p>
            <w:pPr>
              <w:ind w:left="480"/>
              <w:spacing w:after="0"/>
              <w:rPr>
                <w:sz w:val="20"/>
                <w:szCs w:val="20"/>
                <w:color w:val="auto"/>
              </w:rPr>
            </w:pPr>
            <w:r>
              <w:rPr>
                <w:rFonts w:ascii="Arial" w:cs="Arial" w:eastAsia="Arial" w:hAnsi="Arial"/>
                <w:sz w:val="18"/>
                <w:szCs w:val="18"/>
                <w:color w:val="auto"/>
              </w:rPr>
              <w:t>Term loan, fixed rate at 0.60%, due July 2022</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1.30%, due July 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138,499</w:t>
            </w: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Term loan, fixed rate at 1.35%, due December 2024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220,823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1.20%, due December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LIBOR plus 1.60%, due March 2022</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Term loan, LIBOR plus 1.40%, due March 2022</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loans, LIBOR plus 1.10%, due March 2024 (5)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$250.0 million senior secured revolving credit facility, LIBOR plus 1.25% - 1.75%, due July 2023</w:t>
            </w:r>
          </w:p>
        </w:tc>
        <w:tc>
          <w:tcPr>
            <w:tcW w:w="20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(Singapore) (6)</w:t>
            </w:r>
          </w:p>
        </w:tc>
        <w:tc>
          <w:tcPr>
            <w:tcW w:w="20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80"/>
              <w:spacing w:after="0"/>
              <w:rPr>
                <w:sz w:val="20"/>
                <w:szCs w:val="20"/>
                <w:color w:val="auto"/>
              </w:rPr>
            </w:pPr>
            <w:r>
              <w:rPr>
                <w:rFonts w:ascii="Arial" w:cs="Arial" w:eastAsia="Arial" w:hAnsi="Arial"/>
                <w:sz w:val="18"/>
                <w:szCs w:val="18"/>
                <w:color w:val="auto"/>
              </w:rPr>
              <w:t>Credit facility, TAIFX plus the applicable bank rate, due December 2024 (Taiwan) (7)</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1,032,728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1,164,302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884,236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1,005,339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2021, we entered into a term loan agreement with availability of $200.0 million. The loan will mature seven years from the date of the first drawdown. Principal is payable in semiannual installments after a three-year grace period from the date of the first drawdown. Interest is payable quarterly at a fixed rate of 2.12%.</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2020, we renewed our revolving credit facility agreement for a one-year term with availability of $30.0 million. Principal is payable at maturity or six months after draw of funds, whichever is sooner, and interest is payable monthly in arrears. As of September 30, 2021, $30.0 million was available to be drawn. In October 2021, this revolving credit facility was renewed for one year with availability of $30.0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left="660" w:hanging="328"/>
        <w:spacing w:after="0" w:line="272"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2021, we entered into a ₩80 billion term loan agreement with the option to borrow and re-borrow the funds up to six times per year through April 2024. Principal is payable at maturity, and interest is payable monthly, at a fixed rate of 1.85%. During the nine months ended September 30, 2021, we borrowed and repaid $104.8 million. As of September 30, 2021, ₩80.0 billion, or approximately $68 million, was available to be drawn.</w:t>
      </w:r>
    </w:p>
    <w:p>
      <w:pPr>
        <w:spacing w:after="0" w:line="120"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September 30, 2021 is at an annual base rate equal to the Tokyo Interbank Offered Rate plus 0.15% to 0.30% (weighted average of 0.30% as of September 30, 2021). As of September 30, 2021, $5.4 million was available to be drawn.</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We immediately borrowed $50.0 million to repay the term loans due March 2022. Interest is payable quarterly at an annual base rate equal to the London Interbank Offered Rate, as administered by the International Exchange Benchmark Administration (“LIBOR”), plus 1.10% (weighted average of 1.22% as of September 30, 2021).</w:t>
      </w:r>
    </w:p>
    <w:p>
      <w:pPr>
        <w:spacing w:after="0" w:line="133" w:lineRule="exact"/>
        <w:rPr>
          <w:rFonts w:ascii="Arial" w:cs="Arial" w:eastAsia="Arial" w:hAnsi="Arial"/>
          <w:sz w:val="18"/>
          <w:szCs w:val="18"/>
          <w:color w:val="auto"/>
        </w:rPr>
      </w:pPr>
    </w:p>
    <w:p>
      <w:pPr>
        <w:jc w:val="both"/>
        <w:ind w:left="660" w:hanging="328"/>
        <w:spacing w:after="0" w:line="279" w:lineRule="auto"/>
        <w:tabs>
          <w:tab w:leader="none" w:pos="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July 2018, our subsidiary, Amkor Technology Singapore Holding Pte. Ltd., entered into a $250.0 million senior secured revolving credit facility, which is guaranteed by Amkor Technology, Inc. (the “Singapore Revolver”). The availability for our future borrowings under the Singapore Revolver is based on the amount of eligible accounts receivable. Principal is payable at maturity. Interest is payable monthly at LIBOR plus 1.25% to 1.75%. As of September 30, 2021, $250.0 million was available for future borrowings under the Singapore Revolver.</w:t>
      </w:r>
    </w:p>
    <w:p>
      <w:pPr>
        <w:spacing w:after="0" w:line="117"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2019, our subsidiary, Amkor Technology Taiwan, Ltd., entered into a $56.0 million borrowing arrangement. This arrangement included a $20.0 million term loan and a $36.0 million revolving credit facility. As of September 30, 2021, $36.0 million was available for future borrowings under such credit facility.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Amkor Technology, Inc. and Amkor Technology Singapore Holding Pte. Ltd. guarantee certain debt of our subsidiaries.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agreements governing our indebtedness contain affirmative and negative covenants which restrict our ability to pay dividends and could restrict our operations. These restrictions are determined in part by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30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7"/>
        </w:trPr>
        <w:tc>
          <w:tcPr>
            <w:tcW w:w="47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3,774</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actuarial loss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4"/>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87"/>
        </w:trPr>
        <w:tc>
          <w:tcPr>
            <w:tcW w:w="47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gridSpan w:val="4"/>
          </w:tcPr>
          <w:p>
            <w:pPr>
              <w:jc w:val="right"/>
              <w:ind w:right="1082"/>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4,807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16,803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Korean Severance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2021, some employees accepted our offer to convert their Korean severance and defined benefit pension plan participation to a defined contribution plan. This will result in the conversion of approximately $20 million of obligations from our Korean severance plan to a defined contribution plan, which is expected to be funded during the fourth quarter of 2021.</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Derivatives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our foreign exchange forward contracts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September 30, 2021</w:t>
            </w: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December 31, 2020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Fair Value (Level</w:t>
            </w:r>
          </w:p>
        </w:tc>
        <w:tc>
          <w:tcPr>
            <w:tcW w:w="166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Balance Sheet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Notional Value</w:t>
            </w:r>
          </w:p>
        </w:tc>
        <w:tc>
          <w:tcPr>
            <w:tcW w:w="132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Fair Value (Level</w:t>
            </w:r>
          </w:p>
        </w:tc>
        <w:tc>
          <w:tcPr>
            <w:tcW w:w="1420" w:type="dxa"/>
            <w:vAlign w:val="bottom"/>
          </w:tcPr>
          <w:p>
            <w:pPr>
              <w:ind w:left="300"/>
              <w:spacing w:after="0" w:line="135" w:lineRule="exact"/>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Location</w:t>
            </w: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4"/>
          </w:tcPr>
          <w:p>
            <w:pPr>
              <w:ind w:left="10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Japanese Yen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316,356</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3"/>
              </w:rPr>
              <w:t>Accrued expenses  $</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77" w:lineRule="exact"/>
              <w:rPr>
                <w:sz w:val="20"/>
                <w:szCs w:val="20"/>
                <w:color w:val="auto"/>
              </w:rPr>
            </w:pPr>
            <w:r>
              <w:rPr>
                <w:rFonts w:ascii="Arial" w:cs="Arial" w:eastAsia="Arial" w:hAnsi="Arial"/>
                <w:sz w:val="18"/>
                <w:szCs w:val="18"/>
                <w:color w:val="auto"/>
              </w:rPr>
              <w:t>Other current</w:t>
            </w:r>
          </w:p>
        </w:tc>
        <w:tc>
          <w:tcPr>
            <w:tcW w:w="0" w:type="dxa"/>
            <w:vAlign w:val="bottom"/>
          </w:tcPr>
          <w:p>
            <w:pPr>
              <w:spacing w:after="0"/>
              <w:rPr>
                <w:sz w:val="1"/>
                <w:szCs w:val="1"/>
                <w:color w:val="auto"/>
              </w:rPr>
            </w:pPr>
          </w:p>
        </w:tc>
      </w:tr>
      <w:tr>
        <w:trPr>
          <w:trHeight w:val="229"/>
        </w:trPr>
        <w:tc>
          <w:tcPr>
            <w:tcW w:w="292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Korean Won</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207,033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5"/>
                <w:szCs w:val="15"/>
                <w:color w:val="auto"/>
              </w:rPr>
            </w:pPr>
          </w:p>
        </w:tc>
        <w:tc>
          <w:tcPr>
            <w:tcW w:w="16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Other current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Arial" w:cs="Arial" w:eastAsia="Arial" w:hAnsi="Arial"/>
                <w:sz w:val="18"/>
                <w:szCs w:val="18"/>
                <w:color w:val="auto"/>
              </w:rPr>
              <w:t>Other current</w:t>
            </w:r>
          </w:p>
        </w:tc>
        <w:tc>
          <w:tcPr>
            <w:tcW w:w="0" w:type="dxa"/>
            <w:vAlign w:val="bottom"/>
          </w:tcPr>
          <w:p>
            <w:pPr>
              <w:spacing w:after="0"/>
              <w:rPr>
                <w:sz w:val="1"/>
                <w:szCs w:val="1"/>
                <w:color w:val="auto"/>
              </w:rPr>
            </w:pPr>
          </w:p>
        </w:tc>
      </w:tr>
      <w:tr>
        <w:trPr>
          <w:trHeight w:val="229"/>
        </w:trPr>
        <w:tc>
          <w:tcPr>
            <w:tcW w:w="2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assets</w:t>
            </w: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Philippine Peso</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Accrued expenses</w:t>
            </w: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Arial" w:cs="Arial" w:eastAsia="Arial" w:hAnsi="Arial"/>
                <w:sz w:val="18"/>
                <w:szCs w:val="18"/>
                <w:color w:val="auto"/>
              </w:rPr>
              <w:t>Total forward contracts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535,503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nine months ended September 30, 2021, the derivatives resulted in a net loss of $11.2 million and $47.0 million, respectively, which were offset by the foreign currency gains associated with the underlying net liabilities. For</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three and nine months ended September 30, 2020, the derivatives resulted in a net gain of $12.9 million and $11.6 million, respectively, which were offset by the foreign currency losses associated with the underlying net liabilities.</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 We also review goodwill for impairment annually during the fourth quarter of each year.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2021</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519,803</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634,543</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have entered into additional lease agreements that have not yet commenced of approximately $50 million.</w:t>
      </w:r>
    </w:p>
    <w:p>
      <w:pPr>
        <w:spacing w:after="0" w:line="3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Restructuring and Other Exit Activities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ongoing efforts to improve our manufacturing operations and manage costs, we regularly evaluate our staffing levels and facility requirements compared to business needs. The table below summarizes our exit activities associated with these efforts. “Charges” represents the initial charge related to the exit activity. “Cash Payments” consists of the utilization of “Charges.” “Non-cash Amounts” consists of asset impairment and translation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2021, we recorded restructuring charges of $2.9 million associated with our Japan factory consolidation efforts. During the three and nine months ended September 30, 2020, we recorded restructuring charges of $5.7 million and $9.5 million, respectively, for the same consolidation efforts. We recorded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charges to selling, general and administrative expenses within the Consolidated Statements of Income. We completed these restructuring actions in the second quarter of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2020</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September 30, 2021</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September 30, 2020</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restructuring activities.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restructuring activities.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identify attractive opportunities to grow our customer base and expand the markets we serve through joint ventures, acquisitions and other strategic investments. We believe that taking advantage of these opportunities helps to diversify our revenue streams, improve our profits, broaden our portfolio of services and maintain our technological leadership.</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full potential effect of the ongoing Covid-19 pandemic is unknown, and there remains uncertainty related to the ultimate impact that the Covid-19 pandemic will have on the global economy, the semiconductor industry and our business, results of operations and financial condition. While our revenue increased significantly in the three months ended September 30, 2021 and we were able to successfully ramp new products, we are subject to industry-wide supply constraints, and these constraints had the effect of restraining growth in some of the end markets we serve. We expect these constraints to persist into 2022.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September 30, 2021, we had cash and cash equivalents and short-term investments of $545.6 million and $244.5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the “Risk Factors” section in Part II, Item 1A of this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sales increased $327.0 million, or 24.1%, to $1,681.0 million for the three months ended September 30, 2021, compared to $1,354.0 million for the three months ended September 30, 2020. The increase was generally attributable to higher sales in all end markets.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for the three months ended September 30, 2021 increased to 19.3%, compared to 17.8% for the three months ended September 30, 2020. The increase in gross margin was primarily due to the increase in net sales and improved factory utilization, partially offset by an increase in the mix of products sold with higher material content.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totaled $491.4 million for the nine months ended September 30, 2021, compared to $275.5 million for the nine months ended September 30, 2020. Our spending was primarily focused on investments in advanced packaging and test equipment.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$631.6 million for the nine months ended September 30, 2021, compared to $434.0 million for the nine months ended September 30, 2020. This increase was primarily due to higher net sales and higher operating profit, partially offset by changes in working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4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3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43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r>
      <w:tr>
        <w:trPr>
          <w:trHeight w:val="211"/>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640" w:type="dxa"/>
            <w:vAlign w:val="bottom"/>
          </w:tcPr>
          <w:p>
            <w:pPr>
              <w:jc w:val="right"/>
              <w:spacing w:after="0"/>
              <w:rPr>
                <w:sz w:val="20"/>
                <w:szCs w:val="20"/>
                <w:color w:val="auto"/>
              </w:rPr>
            </w:pPr>
            <w:r>
              <w:rPr>
                <w:rFonts w:ascii="Arial" w:cs="Arial" w:eastAsia="Arial" w:hAnsi="Arial"/>
                <w:sz w:val="16"/>
                <w:szCs w:val="16"/>
                <w:color w:val="auto"/>
              </w:rPr>
              <w:t>48.3 %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46.9 %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45.6 %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45.8 %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64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23.7 %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640" w:type="dxa"/>
            <w:vAlign w:val="bottom"/>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For the 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5"/>
          </w:tcPr>
          <w:p>
            <w:pPr>
              <w:jc w:val="right"/>
              <w:ind w:right="244"/>
              <w:spacing w:after="0"/>
              <w:rPr>
                <w:sz w:val="20"/>
                <w:szCs w:val="20"/>
                <w:color w:val="auto"/>
              </w:rPr>
            </w:pPr>
            <w:r>
              <w:rPr>
                <w:rFonts w:ascii="Arial" w:cs="Arial" w:eastAsia="Arial" w:hAnsi="Arial"/>
                <w:sz w:val="14"/>
                <w:szCs w:val="14"/>
                <w:b w:val="1"/>
                <w:bCs w:val="1"/>
                <w:color w:val="auto"/>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187"/>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1,681,000</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1,354,023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326,977</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24.1 %  $</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4,413,685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3,679,548</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734,137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bl>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increase in net sales for the three and nine months ended September 30, 2021 compared to the three and nine months ended September 30, 2020 was due to higher sales across all end markets. The increase in sales in the communications end market was driven primarily by the further adoption of 5G smartphones. The automotive and industrial end market recovered in the current year from weakened demand relating to the Covid-19 pandemic in the prior year. The consumer end market continues to see strong sales primarily due to demand for consumer wearable products. The computing end market has grown in all applications, primarily due to the shift in cloud computing needs and new product introductions within personal computing.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0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640" w:type="dxa"/>
            <w:vAlign w:val="bottom"/>
            <w:gridSpan w:val="5"/>
          </w:tcPr>
          <w:p>
            <w:pPr>
              <w:jc w:val="right"/>
              <w:ind w:right="562"/>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33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r>
      <w:tr>
        <w:trPr>
          <w:trHeight w:val="183"/>
        </w:trPr>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w w:val="91"/>
              </w:rPr>
              <w:t>(In thousands, except percentages)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324,832</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241,085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83,747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863,186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622,313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240,873</w:t>
            </w: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19.3 %</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2.7 %</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increased for the three and nine months ended September 30, 2021 compared to the three and nine months ended September 30, 2020, primarily due to the increase in net sales and improved factory utilization. The increase in the three months ended September 30, 2021 compared to the three months ended September 30, 2020 was partially offset by an increase in the mix of products sold with higher material content.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For the 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4"/>
                <w:szCs w:val="14"/>
                <w:b w:val="1"/>
                <w:bCs w:val="1"/>
                <w:color w:val="auto"/>
              </w:rPr>
              <w:t>For the 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Selling, general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72,581</w:t>
            </w:r>
          </w:p>
        </w:tc>
        <w:tc>
          <w:tcPr>
            <w:tcW w:w="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77,781</w:t>
            </w:r>
          </w:p>
        </w:tc>
        <w:tc>
          <w:tcPr>
            <w:tcW w:w="3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525"/>
              <w:spacing w:after="0"/>
              <w:rPr>
                <w:sz w:val="20"/>
                <w:szCs w:val="20"/>
                <w:color w:val="auto"/>
              </w:rPr>
            </w:pPr>
            <w:r>
              <w:rPr>
                <w:rFonts w:ascii="Arial" w:cs="Arial" w:eastAsia="Arial" w:hAnsi="Arial"/>
                <w:sz w:val="16"/>
                <w:szCs w:val="16"/>
                <w:color w:val="auto"/>
              </w:rPr>
              <w:t>(5,200)</w:t>
            </w:r>
          </w:p>
        </w:tc>
        <w:tc>
          <w:tcPr>
            <w:tcW w:w="10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(6.7)%  $</w:t>
            </w:r>
          </w:p>
        </w:tc>
        <w:tc>
          <w:tcPr>
            <w:tcW w:w="84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223,538</w:t>
            </w:r>
          </w:p>
        </w:tc>
        <w:tc>
          <w:tcPr>
            <w:tcW w:w="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224,623</w:t>
            </w:r>
          </w:p>
        </w:tc>
        <w:tc>
          <w:tcPr>
            <w:tcW w:w="4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504"/>
              <w:spacing w:after="0"/>
              <w:rPr>
                <w:sz w:val="20"/>
                <w:szCs w:val="20"/>
                <w:color w:val="auto"/>
              </w:rPr>
            </w:pPr>
            <w:r>
              <w:rPr>
                <w:rFonts w:ascii="Arial" w:cs="Arial" w:eastAsia="Arial" w:hAnsi="Arial"/>
                <w:sz w:val="16"/>
                <w:szCs w:val="16"/>
                <w:color w:val="auto"/>
              </w:rPr>
              <w:t>(1,085)</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for the three and nine months ended September 30, 2021 decreased compared to the three and nine months ended September 30, 2020, primarily due to costs incurred in the prior year for our factory consolidation efforts in Japan. The decrease in the nine months ended September 30, 2021 was partially offset by increased professional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rPr>
              <w:t>For the 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4"/>
                <w:szCs w:val="14"/>
                <w:b w:val="1"/>
                <w:bCs w:val="1"/>
                <w:color w:val="auto"/>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40,790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35,835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rPr>
              <w:t>4,955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13.8 %  $</w:t>
            </w:r>
          </w:p>
        </w:tc>
        <w:tc>
          <w:tcPr>
            <w:tcW w:w="8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128,624</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99,624</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29,000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nine months ended September 30, 2021 increased compared to the three and nine months ended September 30, 2020 due to new development projects in advanced technologies, primarily advanced System-in-Package (“SiP”) modules.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760" w:type="dxa"/>
            <w:vAlign w:val="bottom"/>
            <w:tcBorders>
              <w:bottom w:val="single" w:sz="8" w:color="auto"/>
            </w:tcBorders>
          </w:tcPr>
          <w:p>
            <w:pPr>
              <w:spacing w:after="0"/>
              <w:rPr>
                <w:sz w:val="16"/>
                <w:szCs w:val="16"/>
                <w:color w:val="auto"/>
              </w:rPr>
            </w:pPr>
          </w:p>
        </w:tc>
      </w:t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82"/>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80" w:type="dxa"/>
            <w:vAlign w:val="bottom"/>
            <w:gridSpan w:val="6"/>
          </w:tcPr>
          <w:p>
            <w:pPr>
              <w:ind w:left="260"/>
              <w:spacing w:after="0"/>
              <w:rPr>
                <w:sz w:val="20"/>
                <w:szCs w:val="20"/>
                <w:color w:val="auto"/>
              </w:rPr>
            </w:pPr>
            <w:r>
              <w:rPr>
                <w:rFonts w:ascii="Arial" w:cs="Arial" w:eastAsia="Arial" w:hAnsi="Arial"/>
                <w:sz w:val="14"/>
                <w:szCs w:val="14"/>
                <w:b w:val="1"/>
                <w:bCs w:val="1"/>
                <w:color w:val="auto"/>
                <w:w w:val="93"/>
              </w:rPr>
              <w:t>(In thousands, except percentages)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(11,128)</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760</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Foreign currency (gain)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(491)</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(919)</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48.8 %</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46.0 %</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(6,424)</w:t>
            </w:r>
          </w:p>
        </w:tc>
        <w:tc>
          <w:tcPr>
            <w:tcW w:w="4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(13,203)</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for the three and nine months ended September 30, 2021 compared to the three and nine months ended September 30, 2020, primarily due to the overall decrease in our outstanding debt.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decreased for the three and nine months ended September 30, 2021 compared to the three and nine months ended September 30, 2020, primarily due to lower interest rates in the overall market.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foreign currency (gain) loss, net for the three and nine months ended September 30, 2021 compared to the three and nine months ended September 30, 2020 were due to foreign currency exchange rate movements, mainly the Korean Won, and the associated impact on our net monetary exposure at our foreign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7"/>
        </w:trPr>
        <w:tc>
          <w:tcPr>
            <w:tcW w:w="37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Change</w:t>
            </w:r>
          </w:p>
        </w:tc>
      </w:tr>
      <w:tr>
        <w:trPr>
          <w:trHeight w:val="183"/>
        </w:trPr>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17,219</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15,753</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44,875</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33,504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11,371</w:t>
            </w: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and nine months ended September 30, 2021 compared to the three and nine months ended September 30, 2020, primarily due to the increase in income before tax.</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and 2020,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the “Risk Factors” section in Part II, Item 1A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we had cash and cash equivalents and short-term investments of $790.1 million. Included in our cash and short-term investments balances as of September 30, 2021, is $625.4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will not be subject to U.S. federal income tax, but the distributions may be subject to foreign withholding and state income taxes.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nine months ended September 30, 2021 and 2020, we sold accounts receivable totaling $319.4 million and $368.4 million, net of discounts and fees of $0.8 million and $2.2 million, respectively.</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borrowing base under the Singapore Revolver is limited to the amount of eligible accounts receivable. As of September 30, 2021, we had availability of $250.0 million and no outstanding standby letters of credit. As of September 30, 2021, our foreign subsidiaries had $316.0 million available for future borrowings under revolving credit facilities, including the Singapore Revolver, and $73.0 million available to be borrowed under term loan credit facilities for working capital purposes and capital expenditures.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we had $1.0 billion of debt. Our scheduled principal repayments on debt include $38.9 million due over the remainder of 2021, $134.4 million due in 2022, $160.3 million due in 2023, $119.9 million due in 2024, $25.9 million due in 2025 and $553.3 million due thereafter. We were in compliance with all debt covenants at September 30, 2021, and we expect to remain in compliance with these covenants for at least the next twelve months.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debt agreements have restrictions on dividend payments and the repurchase of stock and subordinated securities. These restrictions are determined in part by our covenant compliance and on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Amkor Technology, Inc. and Amkor Technology Singapore Holding Pte. Ltd. also guarantee certain debt of our subsidiaries.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September 30, 2021, the severance liability was $92.2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the board of directors of Amkor Technology, Inc. (our “Board of Directors”) approved the initiation of a regular quarterly cash dividend of $0.04 per share on our common stock. During the nine months ended September 30, 2021, we paid total quarterly cash dividends of $39.0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September 30, 2021, approximately $91.6 million was available to repurchase common stock pursuant to the Stock Repurchase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6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2021 capital expenditures to be approximately $775 million. During the nine months ended September 30, 2021, our capital expenditures totaled $491.4 million. Ultimately, the amount of our 2021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we are subject to risks associated with our capital expenditures, including those discussed in the “Risk Factors” section in Part II, Item 1A of this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nine months ended September 30, 2021 and 2020,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7"/>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183"/>
        </w:trPr>
        <w:tc>
          <w:tcPr>
            <w:tcW w:w="7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1"/>
              </w:rPr>
              <w:t>(In thousands)</w:t>
            </w:r>
          </w:p>
        </w:tc>
        <w:tc>
          <w:tcPr>
            <w:tcW w:w="1240" w:type="dxa"/>
            <w:vAlign w:val="bottom"/>
          </w:tcPr>
          <w:p>
            <w:pPr>
              <w:spacing w:after="0"/>
              <w:rPr>
                <w:sz w:val="15"/>
                <w:szCs w:val="15"/>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631,619</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9"/>
              </w:rPr>
              <w:t>434,048</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(636,369)</w:t>
            </w:r>
          </w:p>
        </w:tc>
        <w:tc>
          <w:tcPr>
            <w:tcW w:w="640" w:type="dxa"/>
            <w:vAlign w:val="bottom"/>
          </w:tcPr>
          <w:p>
            <w:pPr>
              <w:spacing w:after="0"/>
              <w:rPr>
                <w:sz w:val="19"/>
                <w:szCs w:val="19"/>
                <w:color w:val="auto"/>
              </w:rPr>
            </w:pPr>
          </w:p>
        </w:tc>
        <w:tc>
          <w:tcPr>
            <w:tcW w:w="1240" w:type="dxa"/>
            <w:vAlign w:val="bottom"/>
          </w:tcPr>
          <w:p>
            <w:pPr>
              <w:jc w:val="center"/>
              <w:ind w:left="415"/>
              <w:spacing w:after="0"/>
              <w:rPr>
                <w:sz w:val="20"/>
                <w:szCs w:val="20"/>
                <w:color w:val="auto"/>
              </w:rPr>
            </w:pPr>
            <w:r>
              <w:rPr>
                <w:rFonts w:ascii="Arial" w:cs="Arial" w:eastAsia="Arial" w:hAnsi="Arial"/>
                <w:sz w:val="18"/>
                <w:szCs w:val="18"/>
                <w:color w:val="auto"/>
                <w:w w:val="90"/>
              </w:rPr>
              <w:t>(611,337)</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(136,648)</w:t>
            </w:r>
          </w:p>
        </w:tc>
        <w:tc>
          <w:tcPr>
            <w:tcW w:w="6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3"/>
              </w:rPr>
              <w:t>(153,162)</w:t>
            </w: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Our cash flow provided by operating activities for the nine months ended September 30, 2021 increased by $197.6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nine months ended September 30, 2020, primarily due to higher net sales and higher operating profit, partially offset by changes in working capital.</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 used in investing activities for the nine months ended September 30, 2021 increased by $25.0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primarily due to increased purchases of property, plant, and equipment and increased net payments for forward contracts, partially offset by net changes in short-term investment activities. Payments for property, plant and equipment can fluctuate based on timing of purchase, receipt and acceptance of equipment.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nine months ended September 30, 2021 was primarily due to net debt repayments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Japan and the payment of our quarterly dividends. The net cash used in financing activities for the nine months ended September 30, 2020 was primarily due to net debt repayments in Japan, Korea and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183"/>
        </w:trPr>
        <w:tc>
          <w:tcPr>
            <w:tcW w:w="7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631,619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434,048</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(491,425)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(275,531)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161,227</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September 30, 2021 and the effect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Payments Due for 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2021 -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1,032,728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119,949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553,285</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228,414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41,938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143,560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56,001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7,808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16,790</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57,661</w:t>
            </w:r>
          </w:p>
        </w:tc>
        <w:tc>
          <w:tcPr>
            <w:tcW w:w="0" w:type="dxa"/>
            <w:vAlign w:val="bottom"/>
          </w:tcPr>
          <w:p>
            <w:pPr>
              <w:spacing w:after="0"/>
              <w:rPr>
                <w:sz w:val="1"/>
                <w:szCs w:val="1"/>
                <w:color w:val="auto"/>
              </w:rPr>
            </w:pPr>
          </w:p>
        </w:tc>
      </w:tr>
      <w:tr>
        <w:trPr>
          <w:trHeight w:val="211"/>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1,925,382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327,019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328,050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287,579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79,438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705,650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7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September 30, 2021, for variable rate debt.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September 30, 2021.</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 at September 30, 2021. In October 2021, some employees accepted our offer to convert their Korean severance plan to a defined contribution plan, which will reduce our liability under the severance plan and require us to fund the converted portion of the liability. The conversion is not reflected in the table above and we expect to fund the converted amount during the fourth quarter of 2021. We refer you to Note 12 to our Consolidated Financial Statements in Part 1,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September 30, 2021 include:</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$64.1 million of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$31.6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refer to Note 15 to our Consolidated Financial Statements in Part I, Item 1 of this Form 10-Q for a discussion of our contingencies related to litigation and other legal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critical accounting policies are disclosed in the 2020 Form 10-K. During the nine months ended September 30, 2021, there were no significant changes in our critical accounting policies as reported in the 2020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2021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nine months ended September 30, 2021 would have been approximately $11 million lower, due to the remeasurement of monetary assets and liabilities.</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have foreign currency exchange rate exposure on our results of operations. For the nine months ended September 30, 2021, approximately 85% of our net sales were denominated in U.S. dollars. Our remaining net sales were principally denominated in Japanese Yen. For the nine months ended September 30, 2021,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sensitivity analysis of our foreign currency exposure as of September 30, 2021 to assess the potential impact of fluctuations in exchange rates for all foreign denominated sales and operating expenses. Assuming that all foreign currencies appreciated 10% against the U.S. dollar, our operating income for the nine months ended September 30, 2021 would have been approximately $90 million lower.</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$11.3 million and a gain of $4.0 million for the nine months ended September 30, 2021 and 2020, respectively, and was recognized as an adjustment to equity through other comprehensive income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September 30,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2021 -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w w:val="82"/>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9"/>
              </w:rPr>
              <w:t>Fair Value</w:t>
            </w:r>
          </w:p>
        </w:tc>
      </w:tr>
      <w:tr>
        <w:trPr>
          <w:trHeight w:val="170"/>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32,078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128,515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110,992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75,949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25,874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926,693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968,596</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6,823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5,918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49,294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44,000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106,035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107,309</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134,433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160,286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119,949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25,874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1,032,728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1,075,905</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the fair value of our long-term debt, see Note 14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2021 and concluded those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2021. There have been no changes in our internal control over financial reporting that occurred during the three months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Form 10-Q and in Note 17 to the 2020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Form 10-Q, see the Table of Contents of this Form 10-Q. You should carefully consider the risks and uncertainties described below, together with all of the other information included in this Form 10-Q,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risks and uncertainties described below could affect our business, liquidity, results of operations, financial condition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 and vulnerability to industry downturns and declines in global economic and financial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and equipment;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(“IDMs”), and new competitors, including foundries;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our IDM and foundry customers to curtail outsourcing;</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achieving the relatively high capacity utilization rates necessary to realize satisfactory gross margins given our high percentage of fixed costs;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0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restrictive covenants in the indentures and agreements governing our current and future indebtedness;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significant severance plan obligations associated with our manufacturing operations in Korea;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7" w:lineRule="exact"/>
        <w:rPr>
          <w:rFonts w:ascii="Arial" w:cs="Arial" w:eastAsia="Arial" w:hAnsi="Arial"/>
          <w:sz w:val="18"/>
          <w:szCs w:val="18"/>
          <w:color w:val="auto"/>
        </w:rPr>
      </w:pPr>
    </w:p>
    <w:p>
      <w:pPr>
        <w:jc w:val="both"/>
        <w:ind w:left="660" w:hanging="328"/>
        <w:spacing w:after="0" w:line="22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other governments, such as tariffs, customs, duties, other restrictive trade barriers and national security, data privacy and cybersecurity, antitrust and competition, tax, currency and banking, labor and environmental, health and safety laws; and</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adversely affected.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the magnitude of any potential future impact of the Covid-19 pandemic on our business and operations remains uncertain, the continued spread, new variants or potential re-emergence of the Covid-19 pandemic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that could materially impact our business, liquidity, results of operations, financial condition and cash flows.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Materials and Equipment Suppliers - Our Business May Suffer if the Cost, Quality or Supply of Materials or Equipment Changes Adversely.</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and the Covid-19 pandemic has created extended lead times for some materials and equipment. To the extent the impact of the Covid-19 pandemic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it could adversely affect our business as some customers may move their business to other suppliers, and our reputation could also be adversely affected.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and industrial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demand resulting from variations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U.S. dollar to Japanese 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the Philippines and Malaysia. Other national, regional and local governments have implemented and may continue to implement similar restrictions to mitigate the spread of Covid-19, the emergence of new variants or the potential re-emergence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IDMs and Face Competition from New Competitors, Including Foundries.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adversely affected by such increased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by Our IDM and Foundry Customers to Curtail Outsourcing May Adversely Affect Our Business.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Historically, we have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High-Capacity Utilization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will be negatively impacted.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adversely impact our business, liquidity, results of operations, financial condition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and test business does not typically operate with any material backlog. Our quarterly net sales from packaging and test services are substantially dependent upon our customers’ demand in that quarter. Generally, none of our customers have committed to purchase any significant amount of packaging or test services or to provide us with binding forecasts of demand for packaging and test services for any future period, in any material amount.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obsolete. If we cannot achieve advances in packaging design or obtain access to advanced packaging designs developed by others, our business could suffer.</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may be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 additional development, repair or replacement costs or suffer other economic losses, and our credibility and the market’s acceptance of our packages could be harmed.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2020, our Board of Directors approved the initiation of a regular quarterly cash dividend of $0.04 per share on our common stock. Since that time, we have paid regular quarterly cash dividend of $0.04 per share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$92.2 million as of September 30, 2021.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From time to time, we may offer some or all of the covered employees the option to convert from the severance plan to the defined contribution plan, which could impact the timing of future payments, reducing our cash flow and negatively affecting our financial condition. As recently as October 2021, some employees accepted our offer to convert their Korean severance plan participation to a defined contribution plan.</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2021, Mr. James J. Kim, the Executive Chairman of our Board of Directors, Ms. Susan Y. Kim, the Executive Vice Chairman of our Board of Directors, and members of the Kim family and affiliates owned approximately 141.9 million shares, or approximately 58%, of our outstanding common stock. The Kim family also has options to acquire approximately 0.6 million shares. If the options are exercised, the Kim family’s total ownership would be an aggregate of approximately 142.5 million shares of our outstanding common stock or approximately 58% of our outstanding common stock.</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2013, the Kim family exchanged convertible notes issued by Amkor in 2009 for approximately 49.6 million shares of common stock (the “Convert Shares”). The Convert Shares are subject to a voting agreement.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Covid-19 Pandemic Has Impacted, and May Continue to Impact, the Supply Chain and Consumer Demand for Our Customers’ Products and Services, Which May Adversely Affect Our Business, Results of Operations, and Financial Condition.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may continue to be adversely impacted by the effects of the Covid-19 pandemic.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 While certain governments have started to relax Covid-19-related restrictions and many countries are offering Covid-19 vaccines to their residents, vaccination rates remain low in many areas and there remains uncertainty around the impact of new variants or resurgences of Covid-19, when remaining restrictions will be lifted, if additional restrictions may be initiated, the timing of distribution and administration of the vaccines globally and when or if normal economic activity and business operations will resume.</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substantial amount of debt, and the terms of the agreements governing our indebtedness allow us and our subsidiaries to incur more debt, subject to certain limitations. As of September 30, 2021, our total debt balance was $1.0 billion, of which $140.4 million was classified as a current liability and $396.0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The United Kingdom’s Financial Conduct Authority intends to phase out LIBOR by July 2023. Plans for alternative reference rates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 and other investment levels, other uses of our cash including any payments of dividends and purchases of stock under any stock repurchase program, any acquisitions or investments in joint ventures and our ability to either repay debt and other long-term obligations out of our operating cash flows or refinance debt at or prior to maturity with the proceeds of debt or equity financings.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2021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Material Adverse Effect on Our Operations and Financial Results.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65% of our net sales for the year ended December 31, 2020.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into our existing systems and processes. </w:t>
      </w:r>
      <w:r>
        <w:rPr>
          <w:rFonts w:ascii="Arial" w:cs="Arial" w:eastAsia="Arial" w:hAnsi="Arial"/>
          <w:sz w:val="17"/>
          <w:szCs w:val="17"/>
          <w:color w:val="090909"/>
        </w:rPr>
        <w:t>In addition, we completed our acquisition of Nanium, S.A. in May 2017 and</w:t>
      </w:r>
      <w:r>
        <w:rPr>
          <w:rFonts w:ascii="Arial" w:cs="Arial" w:eastAsia="Arial" w:hAnsi="Arial"/>
          <w:sz w:val="17"/>
          <w:szCs w:val="17"/>
          <w:color w:val="auto"/>
        </w:rPr>
        <w:t xml:space="preserve"> continue </w:t>
      </w:r>
      <w:r>
        <w:rPr>
          <w:rFonts w:ascii="Arial" w:cs="Arial" w:eastAsia="Arial" w:hAnsi="Arial"/>
          <w:sz w:val="17"/>
          <w:szCs w:val="17"/>
          <w:color w:val="090909"/>
        </w:rPr>
        <w:t>to integrate its information</w:t>
      </w:r>
      <w:r>
        <w:rPr>
          <w:rFonts w:ascii="Arial" w:cs="Arial" w:eastAsia="Arial" w:hAnsi="Arial"/>
          <w:sz w:val="17"/>
          <w:szCs w:val="17"/>
          <w:color w:val="auto"/>
        </w:rPr>
        <w:t xml:space="preserve"> technology </w:t>
      </w:r>
      <w:r>
        <w:rPr>
          <w:rFonts w:ascii="Arial" w:cs="Arial" w:eastAsia="Arial" w:hAnsi="Arial"/>
          <w:sz w:val="17"/>
          <w:szCs w:val="17"/>
          <w:color w:val="090909"/>
        </w:rPr>
        <w:t>systems into our</w:t>
      </w:r>
      <w:r>
        <w:rPr>
          <w:rFonts w:ascii="Arial" w:cs="Arial" w:eastAsia="Arial" w:hAnsi="Arial"/>
          <w:sz w:val="17"/>
          <w:szCs w:val="17"/>
          <w:color w:val="auto"/>
        </w:rPr>
        <w:t xml:space="preserve"> </w:t>
      </w:r>
      <w:r>
        <w:rPr>
          <w:rFonts w:ascii="Arial" w:cs="Arial" w:eastAsia="Arial" w:hAnsi="Arial"/>
          <w:sz w:val="17"/>
          <w:szCs w:val="17"/>
          <w:color w:val="090909"/>
        </w:rPr>
        <w:t xml:space="preserve">existing systems and processes. </w:t>
      </w:r>
      <w:r>
        <w:rPr>
          <w:rFonts w:ascii="Arial" w:cs="Arial" w:eastAsia="Arial" w:hAnsi="Arial"/>
          <w:sz w:val="17"/>
          <w:szCs w:val="17"/>
          <w:color w:val="000000"/>
        </w:rPr>
        <w:t>We face risks in connection with current and future projects to install or integrate new information technology systems or</w:t>
      </w:r>
      <w:r>
        <w:rPr>
          <w:rFonts w:ascii="Arial" w:cs="Arial" w:eastAsia="Arial" w:hAnsi="Arial"/>
          <w:sz w:val="17"/>
          <w:szCs w:val="17"/>
          <w:color w:val="090909"/>
        </w:rPr>
        <w:t xml:space="preserve"> </w:t>
      </w:r>
      <w:r>
        <w:rPr>
          <w:rFonts w:ascii="Arial" w:cs="Arial" w:eastAsia="Arial" w:hAnsi="Arial"/>
          <w:sz w:val="17"/>
          <w:szCs w:val="17"/>
          <w:color w:val="000000"/>
        </w:rPr>
        <w:t>upgrade our existing systems. These risks include:</w:t>
      </w:r>
    </w:p>
    <w:p>
      <w:pPr>
        <w:spacing w:after="0" w:line="1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a disruption, failure or breach of our information technology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U.S. or foreign tax laws, including new or modified guidance with respect to existing tax laws (particularly the Tax Cuts and Jobs Act of 2017, which made significant changes to the U.S. tax code with respect to which there remains uncertainty), could have a material adverse impact on our liquidity, results of operations, financial condition and cash flows.</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and Safety Laws and Industry and Customer Initiatives - Future Environmental, Health and Safety Laws and Industry and Customer Sustainability Initiatives Could Place Additional Burdens on Our Manufacturing Operations.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September 30, 2021.</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3"/>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2300" w:type="dxa"/>
            <w:vAlign w:val="bottom"/>
            <w:gridSpan w:val="3"/>
          </w:tcPr>
          <w:p>
            <w:pPr>
              <w:ind w:left="540"/>
              <w:spacing w:after="0"/>
              <w:rPr>
                <w:sz w:val="20"/>
                <w:szCs w:val="20"/>
                <w:color w:val="auto"/>
              </w:rPr>
            </w:pPr>
            <w:r>
              <w:rPr>
                <w:rFonts w:ascii="Arial" w:cs="Arial" w:eastAsia="Arial" w:hAnsi="Arial"/>
                <w:sz w:val="14"/>
                <w:szCs w:val="14"/>
                <w:b w:val="1"/>
                <w:bCs w:val="1"/>
                <w:color w:val="auto"/>
              </w:rPr>
              <w:t>Purchased (a)</w:t>
            </w: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 Share ($)</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24"/>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2300" w:type="dxa"/>
            <w:vAlign w:val="bottom"/>
            <w:gridSpan w:val="3"/>
          </w:tcPr>
          <w:p>
            <w:pPr>
              <w:ind w:left="17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2300" w:type="dxa"/>
            <w:vAlign w:val="bottom"/>
            <w:gridSpan w:val="3"/>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shares issued to employees in connection with share based compensation.</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August 30, 2011, we announced that our Board of Directors had authorized the repurchase of up to $150.0 million of our common stock, exclusive of any fees, commissions or other expenses, under the Stock Repurchase Program. On February 1, 2012, we announced that the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September 30, 2021, and at September 30, 2021, approximately $91.6 million was available for repurchase. Repurchases of our common stock under the Stock Repurchase Program are funded with available cash, and the Stock Repurchase Program may be suspended or discontinued at any time.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gridSpan w:val="13"/>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8"/>
              </w:rPr>
              <w:t>Incorporated by Reference</w:t>
            </w:r>
          </w:p>
        </w:tc>
        <w:tc>
          <w:tcPr>
            <w:tcW w:w="2040" w:type="dxa"/>
            <w:vAlign w:val="bottom"/>
          </w:tcPr>
          <w:p>
            <w:pPr>
              <w:jc w:val="center"/>
              <w:ind w:left="1014"/>
              <w:spacing w:after="0"/>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gridSpan w:val="2"/>
          </w:tcPr>
          <w:p>
            <w:pPr>
              <w:jc w:val="right"/>
              <w:ind w:right="310"/>
              <w:spacing w:after="0" w:line="118" w:lineRule="exact"/>
              <w:rPr>
                <w:sz w:val="20"/>
                <w:szCs w:val="20"/>
                <w:color w:val="auto"/>
              </w:rPr>
            </w:pPr>
            <w:r>
              <w:rPr>
                <w:rFonts w:ascii="Arial" w:cs="Arial" w:eastAsia="Arial" w:hAnsi="Arial"/>
                <w:sz w:val="13"/>
                <w:szCs w:val="13"/>
                <w:b w:val="1"/>
                <w:bCs w:val="1"/>
                <w:color w:val="auto"/>
              </w:rPr>
              <w:t>Exhibit</w:t>
            </w:r>
          </w:p>
        </w:tc>
        <w:tc>
          <w:tcPr>
            <w:tcW w:w="5060" w:type="dxa"/>
            <w:vAlign w:val="bottom"/>
            <w:gridSpan w:val="12"/>
            <w:vMerge w:val="restart"/>
          </w:tcPr>
          <w:p>
            <w:pPr>
              <w:ind w:left="192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Number</w:t>
            </w:r>
          </w:p>
        </w:tc>
        <w:tc>
          <w:tcPr>
            <w:tcW w:w="5060" w:type="dxa"/>
            <w:vAlign w:val="bottom"/>
            <w:tcBorders>
              <w:bottom w:val="single" w:sz="8" w:color="auto"/>
            </w:tcBorders>
            <w:gridSpan w:val="1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line="184" w:lineRule="exact"/>
              <w:rPr>
                <w:sz w:val="20"/>
                <w:szCs w:val="20"/>
                <w:color w:val="auto"/>
              </w:rPr>
            </w:pPr>
            <w:r>
              <w:rPr>
                <w:rFonts w:ascii="Arial" w:cs="Arial" w:eastAsia="Arial" w:hAnsi="Arial"/>
                <w:sz w:val="18"/>
                <w:szCs w:val="18"/>
                <w:color w:val="auto"/>
                <w:w w:val="91"/>
              </w:rPr>
              <w:t>10.1</w:t>
            </w:r>
          </w:p>
        </w:tc>
        <w:tc>
          <w:tcPr>
            <w:tcW w:w="5060" w:type="dxa"/>
            <w:vAlign w:val="bottom"/>
            <w:gridSpan w:val="12"/>
          </w:tcPr>
          <w:p>
            <w:pPr>
              <w:spacing w:after="0" w:line="184" w:lineRule="exact"/>
              <w:rPr>
                <w:rFonts w:ascii="Arial" w:cs="Arial" w:eastAsia="Arial" w:hAnsi="Arial"/>
                <w:sz w:val="18"/>
                <w:szCs w:val="18"/>
                <w:color w:val="0000FF"/>
                <w:w w:val="97"/>
              </w:rPr>
            </w:pPr>
            <w:hyperlink w:anchor="page53">
              <w:r>
                <w:rPr>
                  <w:rFonts w:ascii="Arial" w:cs="Arial" w:eastAsia="Arial" w:hAnsi="Arial"/>
                  <w:sz w:val="18"/>
                  <w:szCs w:val="18"/>
                  <w:color w:val="0000FF"/>
                  <w:w w:val="97"/>
                </w:rPr>
                <w:t>Separation and Release Agreement, dated September 27, 2021,</w:t>
              </w:r>
            </w:hyperlink>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4"/>
              <w:spacing w:after="0" w:line="184"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between Amkor Technology, Inc. and John C. Stone*</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31.1</w:t>
            </w:r>
          </w:p>
        </w:tc>
        <w:tc>
          <w:tcPr>
            <w:tcW w:w="5060" w:type="dxa"/>
            <w:vAlign w:val="bottom"/>
            <w:gridSpan w:val="12"/>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Guillaume Marie Jean Rutten, Chief Executive</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40" w:type="dxa"/>
            <w:vAlign w:val="bottom"/>
            <w:tcBorders>
              <w:top w:val="single" w:sz="8" w:color="0000FF"/>
            </w:tcBorders>
            <w:gridSpan w:val="5"/>
          </w:tcPr>
          <w:p>
            <w:pPr>
              <w:spacing w:after="0" w:line="156" w:lineRule="exact"/>
              <w:rPr>
                <w:rFonts w:ascii="Arial" w:cs="Arial" w:eastAsia="Arial" w:hAnsi="Arial"/>
                <w:sz w:val="18"/>
                <w:szCs w:val="18"/>
                <w:color w:val="0000FF"/>
                <w:w w:val="91"/>
              </w:rPr>
            </w:pPr>
            <w:hyperlink w:anchor="page63">
              <w:r>
                <w:rPr>
                  <w:rFonts w:ascii="Arial" w:cs="Arial" w:eastAsia="Arial" w:hAnsi="Arial"/>
                  <w:sz w:val="18"/>
                  <w:szCs w:val="18"/>
                  <w:color w:val="0000FF"/>
                  <w:w w:val="91"/>
                </w:rPr>
                <w:t>Officer of Amkor Technology, Inc., pursuant to Rule 13a-14(a)</w:t>
              </w:r>
            </w:hyperlink>
          </w:p>
        </w:tc>
        <w:tc>
          <w:tcPr>
            <w:tcW w:w="520" w:type="dxa"/>
            <w:vAlign w:val="bottom"/>
            <w:gridSpan w:val="7"/>
          </w:tcPr>
          <w:p>
            <w:pPr>
              <w:ind w:left="40"/>
              <w:spacing w:after="0" w:line="156" w:lineRule="exact"/>
              <w:rPr>
                <w:rFonts w:ascii="Arial" w:cs="Arial" w:eastAsia="Arial" w:hAnsi="Arial"/>
                <w:sz w:val="18"/>
                <w:szCs w:val="18"/>
                <w:color w:val="0000FF"/>
                <w:w w:val="99"/>
              </w:rPr>
            </w:pPr>
            <w:hyperlink w:anchor="page63">
              <w:r>
                <w:rPr>
                  <w:rFonts w:ascii="Arial" w:cs="Arial" w:eastAsia="Arial" w:hAnsi="Arial"/>
                  <w:sz w:val="18"/>
                  <w:szCs w:val="18"/>
                  <w:color w:val="0000FF"/>
                  <w:w w:val="99"/>
                </w:rPr>
                <w:t>under</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the Securities Exchange Act of 1934, as amended</w:t>
              </w:r>
            </w:hyperlink>
          </w:p>
        </w:tc>
        <w:tc>
          <w:tcPr>
            <w:tcW w:w="142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31.2</w:t>
            </w:r>
          </w:p>
        </w:tc>
        <w:tc>
          <w:tcPr>
            <w:tcW w:w="5060" w:type="dxa"/>
            <w:vAlign w:val="bottom"/>
            <w:gridSpan w:val="1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Megan Faust, Chief Financial Officer of Amkor</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7"/>
              </w:rPr>
            </w:pPr>
            <w:hyperlink w:anchor="page64">
              <w:r>
                <w:rPr>
                  <w:rFonts w:ascii="Arial" w:cs="Arial" w:eastAsia="Arial" w:hAnsi="Arial"/>
                  <w:sz w:val="18"/>
                  <w:szCs w:val="18"/>
                  <w:color w:val="0000FF"/>
                  <w:w w:val="87"/>
                </w:rPr>
                <w:t>Technology, Inc., pursuant to Rule 13a-14(a) under the Securities</w:t>
              </w:r>
            </w:hyperlink>
          </w:p>
        </w:tc>
        <w:tc>
          <w:tcPr>
            <w:tcW w:w="100" w:type="dxa"/>
            <w:vAlign w:val="bottom"/>
            <w:tcBorders>
              <w:bottom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560" w:type="dxa"/>
            <w:vAlign w:val="bottom"/>
            <w:tcBorders>
              <w:bottom w:val="single" w:sz="8" w:color="0000FF"/>
            </w:tcBorders>
          </w:tcPr>
          <w:p>
            <w:pPr>
              <w:spacing w:after="0" w:line="156"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Exchange Act of 1934, as amended</w:t>
              </w:r>
            </w:hyperlink>
          </w:p>
        </w:tc>
        <w:tc>
          <w:tcPr>
            <w:tcW w:w="2140" w:type="dxa"/>
            <w:vAlign w:val="bottom"/>
            <w:gridSpan w:val="7"/>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5060" w:type="dxa"/>
            <w:vAlign w:val="bottom"/>
            <w:gridSpan w:val="12"/>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Certification of Chief Executive Officer and Chief Financial Officer</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6"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pursuant to 18 U.S.C. Section 1350, as Adopted Pursuant to Section</w:t>
              </w:r>
            </w:hyperlink>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65">
              <w:r>
                <w:rPr>
                  <w:rFonts w:ascii="Arial" w:cs="Arial" w:eastAsia="Arial" w:hAnsi="Arial"/>
                  <w:sz w:val="18"/>
                  <w:szCs w:val="18"/>
                  <w:color w:val="0000FF"/>
                  <w:w w:val="92"/>
                </w:rPr>
                <w:t>906 of the Sarbanes-Oxley Act of 2002**</w:t>
              </w:r>
            </w:hyperlink>
          </w:p>
        </w:tc>
        <w:tc>
          <w:tcPr>
            <w:tcW w:w="188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101.INS</w:t>
            </w:r>
          </w:p>
        </w:tc>
        <w:tc>
          <w:tcPr>
            <w:tcW w:w="5060" w:type="dxa"/>
            <w:vAlign w:val="bottom"/>
            <w:gridSpan w:val="12"/>
          </w:tcPr>
          <w:p>
            <w:pPr>
              <w:spacing w:after="0" w:line="196" w:lineRule="exact"/>
              <w:rPr>
                <w:sz w:val="20"/>
                <w:szCs w:val="20"/>
                <w:color w:val="auto"/>
              </w:rPr>
            </w:pPr>
            <w:r>
              <w:rPr>
                <w:rFonts w:ascii="Arial" w:cs="Arial" w:eastAsia="Arial" w:hAnsi="Arial"/>
                <w:sz w:val="18"/>
                <w:szCs w:val="18"/>
                <w:color w:val="auto"/>
                <w:w w:val="95"/>
              </w:rPr>
              <w:t>Inline XBRL Instance Document - the instance document does not</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jc w:val="center"/>
              <w:ind w:left="1014"/>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gridSpan w:val="12"/>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6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101.SCH</w:t>
            </w:r>
          </w:p>
        </w:tc>
        <w:tc>
          <w:tcPr>
            <w:tcW w:w="50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101.CAL</w:t>
            </w:r>
          </w:p>
        </w:tc>
        <w:tc>
          <w:tcPr>
            <w:tcW w:w="5060" w:type="dxa"/>
            <w:vAlign w:val="bottom"/>
            <w:gridSpan w:val="12"/>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101.LAB</w:t>
            </w:r>
          </w:p>
        </w:tc>
        <w:tc>
          <w:tcPr>
            <w:tcW w:w="50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101.PRE</w:t>
            </w:r>
          </w:p>
        </w:tc>
        <w:tc>
          <w:tcPr>
            <w:tcW w:w="5060" w:type="dxa"/>
            <w:vAlign w:val="bottom"/>
            <w:gridSpan w:val="12"/>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101.DEF</w:t>
            </w:r>
          </w:p>
        </w:tc>
        <w:tc>
          <w:tcPr>
            <w:tcW w:w="506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104</w:t>
            </w:r>
          </w:p>
        </w:tc>
        <w:tc>
          <w:tcPr>
            <w:tcW w:w="5060" w:type="dxa"/>
            <w:vAlign w:val="bottom"/>
            <w:gridSpan w:val="12"/>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4"/>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compensatory plan, contract or arrangement.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Faust</w:t>
            </w:r>
          </w:p>
        </w:tc>
      </w:tr>
      <w:tr>
        <w:trPr>
          <w:trHeight w:val="222"/>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52" w:name="page53"/>
    <w:bookmarkEnd w:id="52"/>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AND RELEASE AGREEMENT</w:t>
      </w:r>
    </w:p>
    <w:p>
      <w:pPr>
        <w:spacing w:after="0" w:line="27" w:lineRule="exact"/>
        <w:rPr>
          <w:sz w:val="20"/>
          <w:szCs w:val="20"/>
          <w:color w:val="auto"/>
        </w:rPr>
      </w:pPr>
    </w:p>
    <w:p>
      <w:pPr>
        <w:jc w:val="both"/>
        <w:ind w:right="160" w:firstLine="648"/>
        <w:spacing w:after="0" w:line="292" w:lineRule="auto"/>
        <w:rPr>
          <w:sz w:val="20"/>
          <w:szCs w:val="20"/>
          <w:color w:val="auto"/>
        </w:rPr>
      </w:pPr>
      <w:r>
        <w:rPr>
          <w:rFonts w:ascii="Arial" w:cs="Arial" w:eastAsia="Arial" w:hAnsi="Arial"/>
          <w:sz w:val="19"/>
          <w:szCs w:val="19"/>
          <w:color w:val="auto"/>
        </w:rPr>
        <w:t>In connection with the cessation of my service with Amkor Technology, Inc. (“Company”) as an officer and employee, and in order to settle as fully as possible all known and unknown claims I, John C. Stone, might have against the Company and all related parties, the Company and I enter into this Separation and Release Agreement (“Agreement”). I acknowledge that my last day of employment is March 31, 2022 (the “Separation Date”), and (whether I sign this Agreement or not) I will be paid my accrued, unpaid salary, any accrued, unused paid time off, and any unreimbursed business expenses through such date.</w:t>
      </w:r>
    </w:p>
    <w:p>
      <w:pPr>
        <w:spacing w:after="0" w:line="145" w:lineRule="exact"/>
        <w:rPr>
          <w:sz w:val="20"/>
          <w:szCs w:val="20"/>
          <w:color w:val="auto"/>
        </w:rPr>
      </w:pPr>
    </w:p>
    <w:p>
      <w:pPr>
        <w:ind w:right="540" w:firstLine="656"/>
        <w:spacing w:after="0" w:line="269" w:lineRule="auto"/>
        <w:tabs>
          <w:tab w:leader="none" w:pos="1291"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Separation Payments and Benefits: </w:t>
      </w:r>
      <w:r>
        <w:rPr>
          <w:rFonts w:ascii="Arial" w:cs="Arial" w:eastAsia="Arial" w:hAnsi="Arial"/>
          <w:sz w:val="22"/>
          <w:szCs w:val="22"/>
          <w:color w:val="auto"/>
        </w:rPr>
        <w:t>The payments that constitute the entire monetary consideration for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as follows:</w:t>
      </w:r>
    </w:p>
    <w:p>
      <w:pPr>
        <w:spacing w:after="0" w:line="161" w:lineRule="exact"/>
        <w:rPr>
          <w:rFonts w:ascii="Arial" w:cs="Arial" w:eastAsia="Arial" w:hAnsi="Arial"/>
          <w:sz w:val="22"/>
          <w:szCs w:val="22"/>
          <w:b w:val="1"/>
          <w:bCs w:val="1"/>
          <w:color w:val="auto"/>
        </w:rPr>
      </w:pPr>
    </w:p>
    <w:p>
      <w:pPr>
        <w:ind w:right="20" w:firstLine="1434"/>
        <w:spacing w:after="0" w:line="248" w:lineRule="auto"/>
        <w:tabs>
          <w:tab w:leader="none" w:pos="1940"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Salary Continuation: </w:t>
      </w:r>
      <w:r>
        <w:rPr>
          <w:rFonts w:ascii="Arial" w:cs="Arial" w:eastAsia="Arial" w:hAnsi="Arial"/>
          <w:sz w:val="22"/>
          <w:szCs w:val="22"/>
          <w:color w:val="auto"/>
        </w:rPr>
        <w:t>Starting on the first payroll date following the Effective Date (as defined below),</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make separation payments by direct deposit to my designated account in accordance with the Company’s regular payroll practices of the bi-weekly amount of $21,923.08 (which annualizes to $570,000), less all relevant taxes and other withholdings, for a period of fifteen (15) months (such period, the “Payment Period”). In the event of my death prior to the end of the Payment Period, any unpaid amount of such payments will be accelerated and will be paid to my estate within 10 business days following the date of my death.</w:t>
      </w:r>
    </w:p>
    <w:p>
      <w:pPr>
        <w:spacing w:after="0" w:line="186" w:lineRule="exact"/>
        <w:rPr>
          <w:rFonts w:ascii="Arial" w:cs="Arial" w:eastAsia="Arial" w:hAnsi="Arial"/>
          <w:sz w:val="22"/>
          <w:szCs w:val="22"/>
          <w:b w:val="1"/>
          <w:bCs w:val="1"/>
          <w:color w:val="auto"/>
        </w:rPr>
      </w:pPr>
    </w:p>
    <w:p>
      <w:pPr>
        <w:ind w:right="140" w:firstLine="1434"/>
        <w:spacing w:after="0" w:line="295" w:lineRule="auto"/>
        <w:tabs>
          <w:tab w:leader="none" w:pos="1932" w:val="left"/>
        </w:tabs>
        <w:numPr>
          <w:ilvl w:val="1"/>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 Rata Bonus: </w:t>
      </w:r>
      <w:r>
        <w:rPr>
          <w:rFonts w:ascii="Arial" w:cs="Arial" w:eastAsia="Arial" w:hAnsi="Arial"/>
          <w:sz w:val="19"/>
          <w:szCs w:val="19"/>
          <w:color w:val="auto"/>
        </w:rPr>
        <w:t>The Company will make a lump sum payment of a prorated performance bonus amount</w:t>
      </w:r>
      <w:r>
        <w:rPr>
          <w:rFonts w:ascii="Arial" w:cs="Arial" w:eastAsia="Arial" w:hAnsi="Arial"/>
          <w:sz w:val="19"/>
          <w:szCs w:val="19"/>
          <w:b w:val="1"/>
          <w:bCs w:val="1"/>
          <w:color w:val="auto"/>
        </w:rPr>
        <w:t xml:space="preserve"> </w:t>
      </w:r>
      <w:r>
        <w:rPr>
          <w:rFonts w:ascii="Arial" w:cs="Arial" w:eastAsia="Arial" w:hAnsi="Arial"/>
          <w:sz w:val="19"/>
          <w:szCs w:val="19"/>
          <w:color w:val="auto"/>
        </w:rPr>
        <w:t>for calendar year 2022 to be determined based on the actual performance bonus, if any, that I would have been paid for 2022 absent the termination of my employment, which will be payable on the date on which the Company pays bonuses for 2022 generally. For this purpose, as an executive vice president of the Company the target bonus percentage is 75% of base pay, and the discretionary component will be deemed to be attainment at 100%. The Company will make this payment to me by direct deposit to my designated account, less all relevant taxes and other withholdings.</w:t>
      </w:r>
    </w:p>
    <w:p>
      <w:pPr>
        <w:spacing w:after="0" w:line="143" w:lineRule="exact"/>
        <w:rPr>
          <w:rFonts w:ascii="Arial" w:cs="Arial" w:eastAsia="Arial" w:hAnsi="Arial"/>
          <w:sz w:val="19"/>
          <w:szCs w:val="19"/>
          <w:b w:val="1"/>
          <w:bCs w:val="1"/>
          <w:color w:val="auto"/>
        </w:rPr>
      </w:pPr>
    </w:p>
    <w:p>
      <w:pPr>
        <w:jc w:val="both"/>
        <w:ind w:right="380" w:firstLine="1434"/>
        <w:spacing w:after="0" w:line="252" w:lineRule="auto"/>
        <w:tabs>
          <w:tab w:leader="none" w:pos="1938"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Outplacement Services: </w:t>
      </w:r>
      <w:r>
        <w:rPr>
          <w:rFonts w:ascii="Arial" w:cs="Arial" w:eastAsia="Arial" w:hAnsi="Arial"/>
          <w:sz w:val="22"/>
          <w:szCs w:val="22"/>
          <w:color w:val="auto"/>
        </w:rPr>
        <w:t>The Company will reimburse me for the actual cost of outplacement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used by me for a period of 6 months following the Separation Date. Such payment will be made promptly upon receipt by the Company of reasonable documentation (as determined in the Company’s sole discretion) evidencing the actual cost of such services.</w:t>
      </w:r>
    </w:p>
    <w:p>
      <w:pPr>
        <w:spacing w:after="0" w:line="179" w:lineRule="exact"/>
        <w:rPr>
          <w:rFonts w:ascii="Arial" w:cs="Arial" w:eastAsia="Arial" w:hAnsi="Arial"/>
          <w:sz w:val="22"/>
          <w:szCs w:val="22"/>
          <w:b w:val="1"/>
          <w:bCs w:val="1"/>
          <w:color w:val="auto"/>
        </w:rPr>
      </w:pPr>
    </w:p>
    <w:p>
      <w:pPr>
        <w:ind w:right="140" w:firstLine="1434"/>
        <w:spacing w:after="0" w:line="295" w:lineRule="auto"/>
        <w:tabs>
          <w:tab w:leader="none" w:pos="1940" w:val="left"/>
        </w:tabs>
        <w:numPr>
          <w:ilvl w:val="1"/>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COBRA Subsidy: </w:t>
      </w:r>
      <w:r>
        <w:rPr>
          <w:rFonts w:ascii="Arial" w:cs="Arial" w:eastAsia="Arial" w:hAnsi="Arial"/>
          <w:sz w:val="19"/>
          <w:szCs w:val="19"/>
          <w:color w:val="auto"/>
        </w:rPr>
        <w:t>In the bi-weekly salary continuation pursuant to Paragraph (a)(i), above,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will include an amount equal to the gross of sum of $2,250.00, less applicable taxes and withholdings, as a “COBRA Subsidy” intended to subsidize the premiums due for COBRA continuation coverage under the Company’s group health plan for a period of up to 15 months. The COBRA Subsidy will be provided to you regardless of whether you elect to enroll in COBRA continuation coverage. You understand that it is your responsibility to ensure that you and/or your eligible dependents timely elect to enroll in COBRA continuation coverage and that all premiums due are timely paid.</w:t>
      </w:r>
    </w:p>
    <w:p>
      <w:pPr>
        <w:sectPr>
          <w:pgSz w:w="11900" w:h="16838" w:orient="portrait"/>
          <w:cols w:equalWidth="0" w:num="1">
            <w:col w:w="11240"/>
          </w:cols>
          <w:pgMar w:left="320" w:top="1440" w:right="339" w:bottom="1440" w:gutter="0" w:footer="0" w:header="0"/>
        </w:sectPr>
      </w:pPr>
    </w:p>
    <w:bookmarkStart w:id="53" w:name="page54"/>
    <w:bookmarkEnd w:id="53"/>
    <w:p>
      <w:pPr>
        <w:ind w:left="-8" w:right="20" w:firstLine="1434"/>
        <w:spacing w:after="0" w:line="252" w:lineRule="auto"/>
        <w:tabs>
          <w:tab w:leader="none" w:pos="1926" w:val="left"/>
        </w:tabs>
        <w:numPr>
          <w:ilvl w:val="2"/>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Payments: </w:t>
      </w:r>
      <w:r>
        <w:rPr>
          <w:rFonts w:ascii="Arial" w:cs="Arial" w:eastAsia="Arial" w:hAnsi="Arial"/>
          <w:sz w:val="22"/>
          <w:szCs w:val="22"/>
          <w:color w:val="auto"/>
        </w:rPr>
        <w:t>I understand and agree that all of the payments referenced in this Paragraph (a) are payments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I am not otherwise entitled and will not be taken into account in determining my rights or benefits under any benefit program. The Company will deduct applicable federal and state tax withholding and other amounts from these amounts as it determines it is required to do.</w:t>
      </w:r>
    </w:p>
    <w:p>
      <w:pPr>
        <w:spacing w:after="0" w:line="179" w:lineRule="exact"/>
        <w:rPr>
          <w:rFonts w:ascii="Arial" w:cs="Arial" w:eastAsia="Arial" w:hAnsi="Arial"/>
          <w:sz w:val="22"/>
          <w:szCs w:val="22"/>
          <w:b w:val="1"/>
          <w:bCs w:val="1"/>
          <w:color w:val="auto"/>
        </w:rPr>
      </w:pPr>
    </w:p>
    <w:p>
      <w:pPr>
        <w:ind w:left="1932" w:hanging="506"/>
        <w:spacing w:after="0"/>
        <w:tabs>
          <w:tab w:leader="none" w:pos="1932" w:val="left"/>
        </w:tabs>
        <w:numPr>
          <w:ilvl w:val="2"/>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Sufficient Consideration: </w:t>
      </w:r>
      <w:r>
        <w:rPr>
          <w:rFonts w:ascii="Arial" w:cs="Arial" w:eastAsia="Arial" w:hAnsi="Arial"/>
          <w:sz w:val="19"/>
          <w:szCs w:val="19"/>
          <w:color w:val="auto"/>
        </w:rPr>
        <w:t>I acknowledge that the compensation and benefits described in this Paragraph</w:t>
      </w:r>
    </w:p>
    <w:p>
      <w:pPr>
        <w:spacing w:after="0" w:line="61" w:lineRule="exact"/>
        <w:rPr>
          <w:rFonts w:ascii="Arial" w:cs="Arial" w:eastAsia="Arial" w:hAnsi="Arial"/>
          <w:sz w:val="19"/>
          <w:szCs w:val="19"/>
          <w:b w:val="1"/>
          <w:bCs w:val="1"/>
          <w:color w:val="auto"/>
        </w:rPr>
      </w:pPr>
    </w:p>
    <w:p>
      <w:pPr>
        <w:ind w:left="-8" w:right="200" w:firstLine="8"/>
        <w:spacing w:after="0" w:line="244" w:lineRule="auto"/>
        <w:tabs>
          <w:tab w:leader="none" w:pos="28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are good, valuable, and sufficient consideration. I further acknowledge that this consideration exceeds that to which I would be entitled under the Company’s policies, procedures, benefit plans, and practices. I understand that if I fail to sign this Agreement within the time period permitted or if I revoke this Agreement, I shall not be entitled to receive any of the consideration described in this Paragraph (a).</w:t>
      </w:r>
    </w:p>
    <w:p>
      <w:pPr>
        <w:spacing w:after="0" w:line="189" w:lineRule="exact"/>
        <w:rPr>
          <w:rFonts w:ascii="Arial" w:cs="Arial" w:eastAsia="Arial" w:hAnsi="Arial"/>
          <w:sz w:val="22"/>
          <w:szCs w:val="22"/>
          <w:color w:val="auto"/>
        </w:rPr>
      </w:pPr>
    </w:p>
    <w:p>
      <w:pPr>
        <w:ind w:left="1292" w:hanging="644"/>
        <w:spacing w:after="0"/>
        <w:tabs>
          <w:tab w:leader="none" w:pos="1292"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Release:</w:t>
      </w:r>
    </w:p>
    <w:p>
      <w:pPr>
        <w:spacing w:after="0" w:line="225" w:lineRule="exact"/>
        <w:rPr>
          <w:rFonts w:ascii="Arial" w:cs="Arial" w:eastAsia="Arial" w:hAnsi="Arial"/>
          <w:sz w:val="22"/>
          <w:szCs w:val="22"/>
          <w:b w:val="1"/>
          <w:bCs w:val="1"/>
          <w:color w:val="auto"/>
        </w:rPr>
      </w:pPr>
    </w:p>
    <w:p>
      <w:pPr>
        <w:ind w:left="-8" w:firstLine="1434"/>
        <w:spacing w:after="0" w:line="284" w:lineRule="auto"/>
        <w:tabs>
          <w:tab w:leader="none" w:pos="1932" w:val="left"/>
        </w:tabs>
        <w:numPr>
          <w:ilvl w:val="2"/>
          <w:numId w:val="29"/>
        </w:numPr>
        <w:rPr>
          <w:rFonts w:ascii="Arial" w:cs="Arial" w:eastAsia="Arial" w:hAnsi="Arial"/>
          <w:sz w:val="19"/>
          <w:szCs w:val="19"/>
          <w:b w:val="1"/>
          <w:bCs w:val="1"/>
          <w:color w:val="auto"/>
        </w:rPr>
      </w:pPr>
      <w:r>
        <w:rPr>
          <w:rFonts w:ascii="Arial" w:cs="Arial" w:eastAsia="Arial" w:hAnsi="Arial"/>
          <w:sz w:val="19"/>
          <w:szCs w:val="19"/>
          <w:color w:val="auto"/>
        </w:rPr>
        <w:t>I, for myself, my heirs, and my legal representatives and assigns, release (i.e., give up) and forever discharge the Company and its subsidiaries, their current and former, direct and indirect owners, officers, directors, employees, agents, successors, predecessors, assigns and affiliates, as well as the Company’s employee benefit plans (and any administrators, insurers, or fiduciaries thereof), and all persons acting by, through, under, or in concert with any of them (collectively, the “Released Parties”), from all known and unknown claims, demands, actions, causes of action, rights, damages, costs, expenses, compensation, wages, vacation pay, sick or paid time off, or commissions, whether arising under common law or statute, whether local, state, or federal, including without limitation Title VII of the Civil Rights Act of 1964, 42 U.S.C. § 2000e, et seq.; Sections 1981 and 1983 of the Civil Rights Act of 1866; the Age Discrimination in Employment Act (ADEA), as amended, 29 U.S.C. § 621, et seq.; the Employee Retirement Income Security Act of 1974 (ERISA), as amended, 29 U.S.C. § 1001, et seq.; the Americans with Disabilities Act of 1990 (ADA), 42 U.S.C. § 12101, et seq.; the Family and Medical Leave Act (FMLA), 29 U.S.C. § 2601, et seq.; the Worker Adjustment &amp; Retraining Notification Act (WARN Act); and any similar state or local laws, such as the Arizona Civil Rights Act and the Arizona Equal Pay Law, that I now have, or which were or could have been made, on account of my service with the Company and each of its subsidiaries and affiliates, including my separation therefrom and any transaction or occurrence between me and the Released Parties at any time during such service and after separation up to the time I execute this Agreement. The Company and I agree that I have waived all claims against the Company except (i) in respect of any obligation of the Company arising under this Agreement, (ii) vested benefits under any of the Company’s employee benefit plans in which I participate, (iii) in respect of equity awards (including any options, RSUs, restricted stock, or any other form of equity) that I have been granted pursuant to the Company’s Second Amended and Restated 2007 Equity Incentive Plan (the “2007 Equity Plan”) and the Company’s 2021 Equity Incentive Plan (the “2021 Equity Plan”), (iv) all rights to indemnification, including rights pursuant to the Indemnification Agreement between me and the Company dated July 10, 2013, under the Company’s directors’ and officers’ insurance coverage for acts performed or omissions while I was an employee or officer of the Company, and (v) those claims that as a matter of law are not waivable by an employee against his or her employer. It is my intention that the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1422" w:right="359" w:bottom="1440" w:gutter="0" w:footer="0" w:header="0"/>
        </w:sectPr>
      </w:pPr>
    </w:p>
    <w:bookmarkStart w:id="54" w:name="page55"/>
    <w:bookmarkEnd w:id="54"/>
    <w:p>
      <w:pPr>
        <w:spacing w:after="0"/>
        <w:rPr>
          <w:sz w:val="20"/>
          <w:szCs w:val="20"/>
          <w:color w:val="auto"/>
        </w:rPr>
      </w:pPr>
      <w:r>
        <w:rPr>
          <w:rFonts w:ascii="Arial" w:cs="Arial" w:eastAsia="Arial" w:hAnsi="Arial"/>
          <w:sz w:val="21"/>
          <w:szCs w:val="21"/>
          <w:color w:val="auto"/>
        </w:rPr>
        <w:t>relating to the description of claims in this Paragraph shall be given the broadest possible interpretation permitted by law.</w:t>
      </w:r>
    </w:p>
    <w:p>
      <w:pPr>
        <w:spacing w:after="0" w:line="231" w:lineRule="exact"/>
        <w:rPr>
          <w:sz w:val="20"/>
          <w:szCs w:val="20"/>
          <w:color w:val="auto"/>
        </w:rPr>
      </w:pPr>
    </w:p>
    <w:p>
      <w:pPr>
        <w:ind w:right="40" w:firstLine="1434"/>
        <w:spacing w:after="0" w:line="265" w:lineRule="auto"/>
        <w:tabs>
          <w:tab w:leader="none" w:pos="1932" w:val="left"/>
        </w:tabs>
        <w:numPr>
          <w:ilvl w:val="1"/>
          <w:numId w:val="30"/>
        </w:numPr>
        <w:rPr>
          <w:rFonts w:ascii="Arial" w:cs="Arial" w:eastAsia="Arial" w:hAnsi="Arial"/>
          <w:sz w:val="21"/>
          <w:szCs w:val="21"/>
          <w:b w:val="1"/>
          <w:bCs w:val="1"/>
          <w:color w:val="auto"/>
        </w:rPr>
      </w:pPr>
      <w:r>
        <w:rPr>
          <w:rFonts w:ascii="Arial" w:cs="Arial" w:eastAsia="Arial" w:hAnsi="Arial"/>
          <w:sz w:val="21"/>
          <w:szCs w:val="21"/>
          <w:color w:val="auto"/>
        </w:rPr>
        <w:t>Except as specified in this Agreement or as otherwise provided by the terms of any applicable employee benefit plan, I represent and affirm that I have been paid and received from the Company all leave (paid or unpaid), compensation, wages, bonuses, commissions, incentive pay, and benefits to which I may be entitled, and that no other leave (paid or unpaid), compensation, wages, bonuses, commissions, incentive pay, or benefits are due to me.</w:t>
      </w:r>
    </w:p>
    <w:p>
      <w:pPr>
        <w:spacing w:after="0" w:line="169" w:lineRule="exact"/>
        <w:rPr>
          <w:rFonts w:ascii="Arial" w:cs="Arial" w:eastAsia="Arial" w:hAnsi="Arial"/>
          <w:sz w:val="21"/>
          <w:szCs w:val="21"/>
          <w:b w:val="1"/>
          <w:bCs w:val="1"/>
          <w:color w:val="auto"/>
        </w:rPr>
      </w:pPr>
    </w:p>
    <w:p>
      <w:pPr>
        <w:jc w:val="both"/>
        <w:ind w:firstLine="656"/>
        <w:spacing w:after="0" w:line="252" w:lineRule="auto"/>
        <w:tabs>
          <w:tab w:leader="none" w:pos="1293"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Applicable Law and Venue: </w:t>
      </w:r>
      <w:r>
        <w:rPr>
          <w:rFonts w:ascii="Arial" w:cs="Arial" w:eastAsia="Arial" w:hAnsi="Arial"/>
          <w:sz w:val="22"/>
          <w:szCs w:val="22"/>
          <w:color w:val="auto"/>
        </w:rPr>
        <w:t>This Agreement is governed by Federal law and the laws of Arizona, without regard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conflicts of law principles of any jurisdiction. I agree that any action to enforce or interpret this Agreement shall be brought exclusively in a court of competent jurisdiction in Maricopa County in the State of Arizona, and I hereby waive any challenge to venue or exercise of jurisdiction by such courts.</w:t>
      </w:r>
    </w:p>
    <w:p>
      <w:pPr>
        <w:spacing w:after="0" w:line="179" w:lineRule="exact"/>
        <w:rPr>
          <w:rFonts w:ascii="Arial" w:cs="Arial" w:eastAsia="Arial" w:hAnsi="Arial"/>
          <w:sz w:val="22"/>
          <w:szCs w:val="22"/>
          <w:b w:val="1"/>
          <w:bCs w:val="1"/>
          <w:color w:val="auto"/>
        </w:rPr>
      </w:pPr>
    </w:p>
    <w:p>
      <w:pPr>
        <w:ind w:right="60" w:firstLine="656"/>
        <w:spacing w:after="0" w:line="252" w:lineRule="auto"/>
        <w:tabs>
          <w:tab w:leader="none" w:pos="129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The “Effective Date” of this Agreement shall be the date on which the second revocation period</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Paragraph (g)(v) below expires, provided that I have not revoked this Agreement. Notwithstanding my revocation of this Agreement, my service as an officer and employee of the Company and its subsidiaries shall still be terminated on the Separation Date.</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Covenant Not to Sue; Challenge to Validity and Communication with Government Agency:</w:t>
      </w:r>
    </w:p>
    <w:p>
      <w:pPr>
        <w:spacing w:after="0" w:line="225" w:lineRule="exact"/>
        <w:rPr>
          <w:rFonts w:ascii="Arial" w:cs="Arial" w:eastAsia="Arial" w:hAnsi="Arial"/>
          <w:sz w:val="22"/>
          <w:szCs w:val="22"/>
          <w:b w:val="1"/>
          <w:bCs w:val="1"/>
          <w:color w:val="auto"/>
        </w:rPr>
      </w:pPr>
    </w:p>
    <w:p>
      <w:pPr>
        <w:ind w:right="40" w:firstLine="1434"/>
        <w:spacing w:after="0" w:line="265" w:lineRule="auto"/>
        <w:tabs>
          <w:tab w:leader="none" w:pos="1940" w:val="left"/>
        </w:tabs>
        <w:numPr>
          <w:ilvl w:val="1"/>
          <w:numId w:val="31"/>
        </w:numPr>
        <w:rPr>
          <w:rFonts w:ascii="Arial" w:cs="Arial" w:eastAsia="Arial" w:hAnsi="Arial"/>
          <w:sz w:val="21"/>
          <w:szCs w:val="21"/>
          <w:b w:val="1"/>
          <w:bCs w:val="1"/>
          <w:color w:val="auto"/>
        </w:rPr>
      </w:pPr>
      <w:r>
        <w:rPr>
          <w:rFonts w:ascii="Arial" w:cs="Arial" w:eastAsia="Arial" w:hAnsi="Arial"/>
          <w:sz w:val="21"/>
          <w:szCs w:val="21"/>
          <w:color w:val="auto"/>
        </w:rPr>
        <w:t>I promise that I will not file, cause to be filed, join, or accept any relief in any lawsuit (either individually, with others, or as part of a class) pleading, raising, or asserting any claims released by this Agreement. I agree that if I breach this promise, then I will reimburse each of the Released Parties for his, her, or its attorneys’ fees and costs (or the applicable proportions thereof) incurred in defending against any such released claims.</w:t>
      </w:r>
    </w:p>
    <w:p>
      <w:pPr>
        <w:spacing w:after="0" w:line="175" w:lineRule="exact"/>
        <w:rPr>
          <w:sz w:val="20"/>
          <w:szCs w:val="20"/>
          <w:color w:val="auto"/>
        </w:rPr>
      </w:pPr>
    </w:p>
    <w:p>
      <w:pPr>
        <w:ind w:firstLine="1434"/>
        <w:spacing w:after="0" w:line="288" w:lineRule="auto"/>
        <w:tabs>
          <w:tab w:leader="none" w:pos="1932" w:val="left"/>
        </w:tabs>
        <w:numPr>
          <w:ilvl w:val="0"/>
          <w:numId w:val="32"/>
        </w:numPr>
        <w:rPr>
          <w:rFonts w:ascii="Arial" w:cs="Arial" w:eastAsia="Arial" w:hAnsi="Arial"/>
          <w:sz w:val="19"/>
          <w:szCs w:val="19"/>
          <w:b w:val="1"/>
          <w:bCs w:val="1"/>
          <w:color w:val="auto"/>
        </w:rPr>
      </w:pPr>
      <w:r>
        <w:rPr>
          <w:rFonts w:ascii="Arial" w:cs="Arial" w:eastAsia="Arial" w:hAnsi="Arial"/>
          <w:sz w:val="19"/>
          <w:szCs w:val="19"/>
          <w:color w:val="auto"/>
        </w:rPr>
        <w:t>Nothing in this Agreement shall be construed to prohibit me from filing a charge with or participating in an investigation or proceeding conducted by the Equal Employment Opportunity Commission (EEOC), National Labor Relations Board (NLRB), Securities and Exchange Commission (SEC), or any federal, state, or local agency. I understand that I have waived and released any and all claims for money damages and equitable relief that I may recover from the Released Parties pursuant to the filing or prosecution of any administrative charge against the Released Parties by me, or any resulting civil proceeding or lawsuit brought on my behalf for the recovery of such relief, and which arises out of the matters that are and may be released or waived by this Agreement. I also understand, however, that this Agreement does not limit my ability to communicate with any government agencies or otherwise participate in any investigation or proceeding that may be conducted by any government agency, including providing documents or other information, without notice to the Company. This Agreement also does not limit my right to receive an award for information provided to any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5" w:name="page56"/>
    <w:bookmarkEnd w:id="55"/>
    <w:p>
      <w:pPr>
        <w:ind w:left="-20" w:right="40" w:firstLine="1434"/>
        <w:spacing w:after="0" w:line="294" w:lineRule="auto"/>
        <w:tabs>
          <w:tab w:leader="none" w:pos="1918" w:val="left"/>
        </w:tabs>
        <w:numPr>
          <w:ilvl w:val="1"/>
          <w:numId w:val="33"/>
        </w:numPr>
        <w:rPr>
          <w:rFonts w:ascii="Arial" w:cs="Arial" w:eastAsia="Arial" w:hAnsi="Arial"/>
          <w:sz w:val="19"/>
          <w:szCs w:val="19"/>
          <w:b w:val="1"/>
          <w:bCs w:val="1"/>
          <w:color w:val="auto"/>
        </w:rPr>
      </w:pPr>
      <w:r>
        <w:rPr>
          <w:rFonts w:ascii="Arial" w:cs="Arial" w:eastAsia="Arial" w:hAnsi="Arial"/>
          <w:sz w:val="19"/>
          <w:szCs w:val="19"/>
          <w:color w:val="auto"/>
        </w:rPr>
        <w:t>Nothing in this Agreement shall be interpreted or applied to affect or limit my otherwise lawful ability to challenge, under the Age Discrimination in Employment Act (ADEA) or Older Worker Benefit Protection Act (OWBPA), the knowing and voluntary nature of my release of any age claims in this Agreement before a court, the EEOC, or any other federal, state, or local agency, and I shall not be required to pay the attorneys’ fees or costs of any Released Party in connection with such challenge. Notwithstanding the foregoing, unless the release is set aside by a court of law, I understand that the release applies to and covers any claim that I may have under the ADEA and OWBPA.</w:t>
      </w:r>
    </w:p>
    <w:p>
      <w:pPr>
        <w:spacing w:after="0" w:line="149" w:lineRule="exact"/>
        <w:rPr>
          <w:rFonts w:ascii="Arial" w:cs="Arial" w:eastAsia="Arial" w:hAnsi="Arial"/>
          <w:sz w:val="19"/>
          <w:szCs w:val="19"/>
          <w:b w:val="1"/>
          <w:bCs w:val="1"/>
          <w:color w:val="auto"/>
        </w:rPr>
      </w:pPr>
    </w:p>
    <w:p>
      <w:pPr>
        <w:ind w:left="-20" w:right="200" w:firstLine="1434"/>
        <w:spacing w:after="0" w:line="250" w:lineRule="auto"/>
        <w:tabs>
          <w:tab w:leader="none" w:pos="1920" w:val="left"/>
        </w:tabs>
        <w:numPr>
          <w:ilvl w:val="1"/>
          <w:numId w:val="33"/>
        </w:numPr>
        <w:rPr>
          <w:rFonts w:ascii="Arial" w:cs="Arial" w:eastAsia="Arial" w:hAnsi="Arial"/>
          <w:sz w:val="22"/>
          <w:szCs w:val="22"/>
          <w:b w:val="1"/>
          <w:bCs w:val="1"/>
          <w:color w:val="auto"/>
        </w:rPr>
      </w:pPr>
      <w:r>
        <w:rPr>
          <w:rFonts w:ascii="Arial" w:cs="Arial" w:eastAsia="Arial" w:hAnsi="Arial"/>
          <w:sz w:val="22"/>
          <w:szCs w:val="22"/>
          <w:color w:val="auto"/>
        </w:rPr>
        <w:t>Except as set forth in this Agreement, I understand, acknowledge, and voluntarily agree that this Agreement is a total and complete release by me of any and all claims which I have against the Released Parties as of the date I sign this Agreement, both known or unknown, even though there may be facts or consequences of facts which are unknown to me.</w:t>
      </w:r>
    </w:p>
    <w:p>
      <w:pPr>
        <w:spacing w:after="0" w:line="181" w:lineRule="exact"/>
        <w:rPr>
          <w:rFonts w:ascii="Arial" w:cs="Arial" w:eastAsia="Arial" w:hAnsi="Arial"/>
          <w:sz w:val="22"/>
          <w:szCs w:val="22"/>
          <w:b w:val="1"/>
          <w:bCs w:val="1"/>
          <w:color w:val="auto"/>
        </w:rPr>
      </w:pPr>
    </w:p>
    <w:p>
      <w:pPr>
        <w:ind w:left="1280" w:hanging="644"/>
        <w:spacing w:after="0"/>
        <w:tabs>
          <w:tab w:leader="none" w:pos="12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Promises: </w:t>
      </w:r>
      <w:r>
        <w:rPr>
          <w:rFonts w:ascii="Arial" w:cs="Arial" w:eastAsia="Arial" w:hAnsi="Arial"/>
          <w:sz w:val="22"/>
          <w:szCs w:val="22"/>
          <w:color w:val="auto"/>
        </w:rPr>
        <w:t>The Company and I acknowledge and agree that:</w:t>
      </w:r>
    </w:p>
    <w:p>
      <w:pPr>
        <w:spacing w:after="0" w:line="219" w:lineRule="exact"/>
        <w:rPr>
          <w:rFonts w:ascii="Arial" w:cs="Arial" w:eastAsia="Arial" w:hAnsi="Arial"/>
          <w:sz w:val="22"/>
          <w:szCs w:val="22"/>
          <w:b w:val="1"/>
          <w:bCs w:val="1"/>
          <w:color w:val="auto"/>
        </w:rPr>
      </w:pPr>
    </w:p>
    <w:p>
      <w:pPr>
        <w:ind w:left="-20" w:firstLine="1434"/>
        <w:spacing w:after="0" w:line="256" w:lineRule="auto"/>
        <w:tabs>
          <w:tab w:leader="none" w:pos="1920"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Separation Date: </w:t>
      </w:r>
      <w:r>
        <w:rPr>
          <w:rFonts w:ascii="Arial" w:cs="Arial" w:eastAsia="Arial" w:hAnsi="Arial"/>
          <w:sz w:val="22"/>
          <w:szCs w:val="22"/>
          <w:color w:val="auto"/>
        </w:rPr>
        <w:t>On the Separation Date, my service as an officer and employee of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each subsidiary and affiliate of the Company will terminate, and I will cease to be employed by the Company and each subsidiary and affiliate of the Company in any capacity.</w:t>
      </w:r>
    </w:p>
    <w:p>
      <w:pPr>
        <w:spacing w:after="0" w:line="176" w:lineRule="exact"/>
        <w:rPr>
          <w:rFonts w:ascii="Arial" w:cs="Arial" w:eastAsia="Arial" w:hAnsi="Arial"/>
          <w:sz w:val="22"/>
          <w:szCs w:val="22"/>
          <w:b w:val="1"/>
          <w:bCs w:val="1"/>
          <w:color w:val="auto"/>
        </w:rPr>
      </w:pPr>
    </w:p>
    <w:p>
      <w:pPr>
        <w:ind w:left="-20" w:right="80" w:firstLine="1434"/>
        <w:spacing w:after="0" w:line="269" w:lineRule="auto"/>
        <w:tabs>
          <w:tab w:leader="none" w:pos="1912"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Vesting: </w:t>
      </w:r>
      <w:r>
        <w:rPr>
          <w:rFonts w:ascii="Arial" w:cs="Arial" w:eastAsia="Arial" w:hAnsi="Arial"/>
          <w:sz w:val="22"/>
          <w:szCs w:val="22"/>
          <w:color w:val="auto"/>
        </w:rPr>
        <w:t>The terms of my outstanding equity awards granted pursuant to the 2007 Equity Plan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2021 Equity Plan will remain in effect without modification.</w:t>
      </w:r>
    </w:p>
    <w:p>
      <w:pPr>
        <w:spacing w:after="0" w:line="161" w:lineRule="exact"/>
        <w:rPr>
          <w:rFonts w:ascii="Arial" w:cs="Arial" w:eastAsia="Arial" w:hAnsi="Arial"/>
          <w:sz w:val="22"/>
          <w:szCs w:val="22"/>
          <w:b w:val="1"/>
          <w:bCs w:val="1"/>
          <w:color w:val="auto"/>
        </w:rPr>
      </w:pPr>
    </w:p>
    <w:p>
      <w:pPr>
        <w:ind w:left="-20" w:firstLine="1434"/>
        <w:spacing w:after="0" w:line="256" w:lineRule="auto"/>
        <w:tabs>
          <w:tab w:leader="none" w:pos="1918"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Complete Agreement: </w:t>
      </w:r>
      <w:r>
        <w:rPr>
          <w:rFonts w:ascii="Arial" w:cs="Arial" w:eastAsia="Arial" w:hAnsi="Arial"/>
          <w:sz w:val="22"/>
          <w:szCs w:val="22"/>
          <w:color w:val="auto"/>
        </w:rPr>
        <w:t>This Agreement is the entire agreement relating to any claims or future rights that I</w:t>
      </w:r>
      <w:r>
        <w:rPr>
          <w:rFonts w:ascii="Arial" w:cs="Arial" w:eastAsia="Arial" w:hAnsi="Arial"/>
          <w:sz w:val="22"/>
          <w:szCs w:val="22"/>
          <w:b w:val="1"/>
          <w:bCs w:val="1"/>
          <w:color w:val="auto"/>
        </w:rPr>
        <w:t xml:space="preserve"> </w:t>
      </w:r>
      <w:r>
        <w:rPr>
          <w:rFonts w:ascii="Arial" w:cs="Arial" w:eastAsia="Arial" w:hAnsi="Arial"/>
          <w:sz w:val="22"/>
          <w:szCs w:val="22"/>
          <w:color w:val="auto"/>
        </w:rPr>
        <w:t>might have with respect to the Company and the Released Parties. Once in effect, this Agreement is a legally admissible and binding agreement.</w:t>
      </w:r>
    </w:p>
    <w:p>
      <w:pPr>
        <w:spacing w:after="0" w:line="176" w:lineRule="exact"/>
        <w:rPr>
          <w:rFonts w:ascii="Arial" w:cs="Arial" w:eastAsia="Arial" w:hAnsi="Arial"/>
          <w:sz w:val="22"/>
          <w:szCs w:val="22"/>
          <w:b w:val="1"/>
          <w:bCs w:val="1"/>
          <w:color w:val="auto"/>
        </w:rPr>
      </w:pPr>
    </w:p>
    <w:p>
      <w:pPr>
        <w:jc w:val="both"/>
        <w:ind w:left="-20" w:right="200" w:firstLine="1434"/>
        <w:spacing w:after="0" w:line="252" w:lineRule="auto"/>
        <w:tabs>
          <w:tab w:leader="none" w:pos="1920"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Successors and Assigns: </w:t>
      </w:r>
      <w:r>
        <w:rPr>
          <w:rFonts w:ascii="Arial" w:cs="Arial" w:eastAsia="Arial" w:hAnsi="Arial"/>
          <w:sz w:val="22"/>
          <w:szCs w:val="22"/>
          <w:color w:val="auto"/>
        </w:rPr>
        <w:t>This Agreement only may be amended by a written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Company and I both sign. The rights and obligations of the Company under this Agreement shall inure to the benefit of and shall be binding upon the successors and assigns of the Company. I shall not be entitled to assign any of my rights or obligations under this Agreement.</w:t>
      </w:r>
    </w:p>
    <w:p>
      <w:pPr>
        <w:spacing w:after="0" w:line="179" w:lineRule="exact"/>
        <w:rPr>
          <w:rFonts w:ascii="Arial" w:cs="Arial" w:eastAsia="Arial" w:hAnsi="Arial"/>
          <w:sz w:val="22"/>
          <w:szCs w:val="22"/>
          <w:b w:val="1"/>
          <w:bCs w:val="1"/>
          <w:color w:val="auto"/>
        </w:rPr>
      </w:pPr>
    </w:p>
    <w:p>
      <w:pPr>
        <w:ind w:left="-20" w:right="20" w:firstLine="1434"/>
        <w:spacing w:after="0" w:line="256" w:lineRule="auto"/>
        <w:tabs>
          <w:tab w:leader="none" w:pos="1914"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w:t>
      </w:r>
      <w:r>
        <w:rPr>
          <w:rFonts w:ascii="Arial" w:cs="Arial" w:eastAsia="Arial" w:hAnsi="Arial"/>
          <w:sz w:val="22"/>
          <w:szCs w:val="22"/>
          <w:color w:val="auto"/>
        </w:rPr>
        <w:t>When I decided to sign this Agreement, I was not relying on any representations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not in this Agreement. I have not suffered any job-related wrongs or injuries, such as any type of discrimination, for which I might still be entitled to compensation or relief now or in the future.</w:t>
      </w:r>
    </w:p>
    <w:p>
      <w:pPr>
        <w:spacing w:after="0" w:line="176" w:lineRule="exact"/>
        <w:rPr>
          <w:rFonts w:ascii="Arial" w:cs="Arial" w:eastAsia="Arial" w:hAnsi="Arial"/>
          <w:sz w:val="22"/>
          <w:szCs w:val="22"/>
          <w:b w:val="1"/>
          <w:bCs w:val="1"/>
          <w:color w:val="auto"/>
        </w:rPr>
      </w:pPr>
    </w:p>
    <w:p>
      <w:pPr>
        <w:ind w:left="-20" w:right="640" w:firstLine="1434"/>
        <w:spacing w:after="0" w:line="293" w:lineRule="auto"/>
        <w:tabs>
          <w:tab w:leader="none" w:pos="1920" w:val="left"/>
        </w:tabs>
        <w:numPr>
          <w:ilvl w:val="1"/>
          <w:numId w:val="3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Wrongdoing: </w:t>
      </w:r>
      <w:r>
        <w:rPr>
          <w:rFonts w:ascii="Arial" w:cs="Arial" w:eastAsia="Arial" w:hAnsi="Arial"/>
          <w:sz w:val="21"/>
          <w:szCs w:val="21"/>
          <w:color w:val="auto"/>
        </w:rPr>
        <w:t>This Agreement is not an admission of wrongdoing by the Company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Released Party; neither this Agreement nor any drafts shall be admissible evidence of wrongdoing.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40" w:top="1428" w:right="359" w:bottom="1440" w:gutter="0" w:footer="0" w:header="0"/>
        </w:sectPr>
      </w:pPr>
    </w:p>
    <w:bookmarkStart w:id="56" w:name="page57"/>
    <w:bookmarkEnd w:id="56"/>
    <w:p>
      <w:pPr>
        <w:ind w:left="-20" w:right="180" w:firstLine="1434"/>
        <w:spacing w:after="0" w:line="293" w:lineRule="auto"/>
        <w:tabs>
          <w:tab w:leader="none" w:pos="1912"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Unknown Claims: </w:t>
      </w:r>
      <w:r>
        <w:rPr>
          <w:rFonts w:ascii="Arial" w:cs="Arial" w:eastAsia="Arial" w:hAnsi="Arial"/>
          <w:sz w:val="21"/>
          <w:szCs w:val="21"/>
          <w:color w:val="auto"/>
        </w:rPr>
        <w:t>I am intentionally releasing claims that I do not know that I might have and that, with</w:t>
      </w:r>
      <w:r>
        <w:rPr>
          <w:rFonts w:ascii="Arial" w:cs="Arial" w:eastAsia="Arial" w:hAnsi="Arial"/>
          <w:sz w:val="21"/>
          <w:szCs w:val="21"/>
          <w:b w:val="1"/>
          <w:bCs w:val="1"/>
          <w:color w:val="auto"/>
        </w:rPr>
        <w:t xml:space="preserve"> </w:t>
      </w:r>
      <w:r>
        <w:rPr>
          <w:rFonts w:ascii="Arial" w:cs="Arial" w:eastAsia="Arial" w:hAnsi="Arial"/>
          <w:sz w:val="21"/>
          <w:szCs w:val="21"/>
          <w:color w:val="auto"/>
        </w:rPr>
        <w:t>hindsight, I might regret having released. I have not assigned or given away any of the claims I am releasing.</w:t>
      </w:r>
    </w:p>
    <w:p>
      <w:pPr>
        <w:spacing w:after="0" w:line="139" w:lineRule="exact"/>
        <w:rPr>
          <w:rFonts w:ascii="Arial" w:cs="Arial" w:eastAsia="Arial" w:hAnsi="Arial"/>
          <w:sz w:val="21"/>
          <w:szCs w:val="21"/>
          <w:b w:val="1"/>
          <w:bCs w:val="1"/>
          <w:color w:val="auto"/>
        </w:rPr>
      </w:pPr>
    </w:p>
    <w:p>
      <w:pPr>
        <w:jc w:val="both"/>
        <w:ind w:left="-20" w:right="180" w:firstLine="1434"/>
        <w:spacing w:after="0" w:line="252" w:lineRule="auto"/>
        <w:tabs>
          <w:tab w:leader="none" w:pos="191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of Void Provision: </w:t>
      </w:r>
      <w:r>
        <w:rPr>
          <w:rFonts w:ascii="Arial" w:cs="Arial" w:eastAsia="Arial" w:hAnsi="Arial"/>
          <w:sz w:val="22"/>
          <w:szCs w:val="22"/>
          <w:color w:val="auto"/>
        </w:rPr>
        <w:t>If the Company or I successfully assert that any provision in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void or otherwise unenforceable, the rest of the Agreement shall remain valid and enforceable to the maximum extent permitted by law, unless the non-asserting party elects to cancel this Agreement. If this Agreement is cancelled, I will repay the consideration I received for signing it.</w:t>
      </w:r>
    </w:p>
    <w:p>
      <w:pPr>
        <w:spacing w:after="0" w:line="179" w:lineRule="exact"/>
        <w:rPr>
          <w:rFonts w:ascii="Arial" w:cs="Arial" w:eastAsia="Arial" w:hAnsi="Arial"/>
          <w:sz w:val="22"/>
          <w:szCs w:val="22"/>
          <w:b w:val="1"/>
          <w:bCs w:val="1"/>
          <w:color w:val="auto"/>
        </w:rPr>
      </w:pPr>
    </w:p>
    <w:p>
      <w:pPr>
        <w:ind w:left="-20" w:firstLine="1434"/>
        <w:spacing w:after="0" w:line="264" w:lineRule="auto"/>
        <w:tabs>
          <w:tab w:leader="none" w:pos="192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Consideration of Agreement: </w:t>
      </w:r>
      <w:r>
        <w:rPr>
          <w:rFonts w:ascii="Arial" w:cs="Arial" w:eastAsia="Arial" w:hAnsi="Arial"/>
          <w:sz w:val="21"/>
          <w:szCs w:val="21"/>
          <w:color w:val="auto"/>
        </w:rPr>
        <w:t>If I initially did not think any representation I am making in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was true or if I initially was uncomfortable making it, I resolved all my doubts and concerns before signing this Agreement. I have carefully read this Agreement, I fully understand what it means, I am entering into it knowingly and voluntarily, and all my representations in it are true. The Company would not have agreed to pay me the consideration I am getting in exchange for this Agreement but for my representations and promises I am making by signing it.</w:t>
      </w:r>
    </w:p>
    <w:p>
      <w:pPr>
        <w:spacing w:after="0" w:line="170" w:lineRule="exact"/>
        <w:rPr>
          <w:rFonts w:ascii="Arial" w:cs="Arial" w:eastAsia="Arial" w:hAnsi="Arial"/>
          <w:sz w:val="21"/>
          <w:szCs w:val="21"/>
          <w:b w:val="1"/>
          <w:bCs w:val="1"/>
          <w:color w:val="auto"/>
        </w:rPr>
      </w:pPr>
    </w:p>
    <w:p>
      <w:pPr>
        <w:ind w:left="-20" w:right="20" w:firstLine="1434"/>
        <w:spacing w:after="0" w:line="287" w:lineRule="auto"/>
        <w:tabs>
          <w:tab w:leader="none" w:pos="1914"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Confidentiality: </w:t>
      </w:r>
      <w:r>
        <w:rPr>
          <w:rFonts w:ascii="Arial" w:cs="Arial" w:eastAsia="Arial" w:hAnsi="Arial"/>
          <w:sz w:val="19"/>
          <w:szCs w:val="19"/>
          <w:color w:val="auto"/>
        </w:rPr>
        <w:t>I agree that I will not disclose voluntarily or allow anyone else to disclose the existence,</w:t>
      </w:r>
      <w:r>
        <w:rPr>
          <w:rFonts w:ascii="Arial" w:cs="Arial" w:eastAsia="Arial" w:hAnsi="Arial"/>
          <w:sz w:val="19"/>
          <w:szCs w:val="19"/>
          <w:b w:val="1"/>
          <w:bCs w:val="1"/>
          <w:color w:val="auto"/>
        </w:rPr>
        <w:t xml:space="preserve"> </w:t>
      </w:r>
      <w:r>
        <w:rPr>
          <w:rFonts w:ascii="Arial" w:cs="Arial" w:eastAsia="Arial" w:hAnsi="Arial"/>
          <w:sz w:val="19"/>
          <w:szCs w:val="19"/>
          <w:color w:val="auto"/>
        </w:rPr>
        <w:t>reason for, or contents of this Agreement without the Company’s prior written consent, unless required to do so by law. Notwithstanding this provision, I am authorized to disclose this Agreement to my spouse, attorneys, and tax advisors on a “need to know” basis, on the condition that they agree to hold the terms of the Agreement, including the payment terms, in strictest confidence; provided that I may disclose any information that has been publicly disclosed by the Company. Any disclosure to any third party by my spouse, attorneys, or tax advisors will be treated as a breach by me of the non-disclosure provisions of this Paragraph. I am further authorized to make appropriate disclosures as required by law, provided that, unless prohibited by law, I agree to provide the Company with sufficient advance notice prior to disclosure such that the Company may oppose disclosure and to cooperate with the Company in any such efforts. Because it would be difficult or impossible to calculate the actual damages the Company would suffer if I violate my confidentiality obligations, which would be substantial, I agree to pay the Company $5,000 in damages for each violation. For the avoidance of doubt, nothing in this Agreement shall be construed to prohibit or prevent the Company from disclosing this Agreement or the circumstances relating thereto, including without limitation as required by securities law or stock exchange rule.</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ind w:left="-20" w:right="100" w:firstLine="1434"/>
        <w:spacing w:after="0" w:line="293" w:lineRule="auto"/>
        <w:tabs>
          <w:tab w:leader="none" w:pos="192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By the Separation Date, I will return to the Company all files, memoranda,</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records, copies of the foregoing, Company-provided credit cards, keys, building passes, security passes, access or identification cards, and any other Company property in my possession or control. To the extent I subsequently discover that any property or data identified above is still in my possession, custody or control, I agree to return all such property and data to the Company as soon as practicable, but in no event later than ten (10) days after making such discovery. By the Separation Date, I will clear all expense accounts, repay everything I owe to the Company or any Released Party, pay all amounts I owe on Company-provided credit cards or accounts (such as cell phone accounts), and cancel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1422" w:right="339" w:bottom="1440" w:gutter="0" w:footer="0" w:header="0"/>
        </w:sectPr>
      </w:pPr>
    </w:p>
    <w:bookmarkStart w:id="57" w:name="page58"/>
    <w:bookmarkEnd w:id="57"/>
    <w:p>
      <w:pPr>
        <w:ind w:right="720"/>
        <w:spacing w:after="0" w:line="263" w:lineRule="auto"/>
        <w:rPr>
          <w:sz w:val="20"/>
          <w:szCs w:val="20"/>
          <w:color w:val="auto"/>
        </w:rPr>
      </w:pPr>
      <w:r>
        <w:rPr>
          <w:rFonts w:ascii="Arial" w:cs="Arial" w:eastAsia="Arial" w:hAnsi="Arial"/>
          <w:sz w:val="22"/>
          <w:szCs w:val="22"/>
          <w:color w:val="auto"/>
        </w:rPr>
        <w:t>personally assume any such credit cards or accounts. On and after the Separation Date, I agree not to incur any expenses, obligations, or liabilities on behalf of the Company.</w:t>
      </w:r>
    </w:p>
    <w:p>
      <w:pPr>
        <w:spacing w:after="0" w:line="169" w:lineRule="exact"/>
        <w:rPr>
          <w:sz w:val="20"/>
          <w:szCs w:val="20"/>
          <w:color w:val="auto"/>
        </w:rPr>
      </w:pPr>
    </w:p>
    <w:p>
      <w:pPr>
        <w:ind w:right="20" w:firstLine="1434"/>
        <w:spacing w:after="0" w:line="247" w:lineRule="auto"/>
        <w:tabs>
          <w:tab w:leader="none" w:pos="193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Non-Competition: </w:t>
      </w:r>
      <w:r>
        <w:rPr>
          <w:rFonts w:ascii="Arial" w:cs="Arial" w:eastAsia="Arial" w:hAnsi="Arial"/>
          <w:sz w:val="22"/>
          <w:szCs w:val="22"/>
          <w:color w:val="auto"/>
        </w:rPr>
        <w:t>I agree that beginning on my Separation Date and for twelve (12) months thereafter</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“Restriction Period”), I will not, without the prior written consent of the Company, engage in or carry on, directly or indirectly, whether as an advisor, principal, agent, partner, officer, director, employee, stockholder, associate or consultant to any person, partnership, corporation or any other business entity, the business of outsourced semiconductor packaging and test services anywhere in the United States or any other country in which the Company conducts business; provided that ownership by me of Company securities or of less than a five percent equity interest in a publicly held company shall not be a breach of this Paragraph.</w:t>
      </w:r>
    </w:p>
    <w:p>
      <w:pPr>
        <w:spacing w:after="0" w:line="189" w:lineRule="exact"/>
        <w:rPr>
          <w:rFonts w:ascii="Arial" w:cs="Arial" w:eastAsia="Arial" w:hAnsi="Arial"/>
          <w:sz w:val="22"/>
          <w:szCs w:val="22"/>
          <w:b w:val="1"/>
          <w:bCs w:val="1"/>
          <w:color w:val="auto"/>
        </w:rPr>
      </w:pPr>
    </w:p>
    <w:p>
      <w:pPr>
        <w:ind w:firstLine="1434"/>
        <w:spacing w:after="0" w:line="260" w:lineRule="auto"/>
        <w:tabs>
          <w:tab w:leader="none" w:pos="1938"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Non-Solicitation: </w:t>
      </w:r>
      <w:r>
        <w:rPr>
          <w:rFonts w:ascii="Arial" w:cs="Arial" w:eastAsia="Arial" w:hAnsi="Arial"/>
          <w:sz w:val="21"/>
          <w:szCs w:val="21"/>
          <w:color w:val="auto"/>
        </w:rPr>
        <w:t>I agree that during the Restriction Period, I will not, without the express prior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consent of the Company, directly or indirectly, for myself or on behalf of any other person or entity, (i) solicit or encourage any customer, vendor, client or prospective customer, vendor or client (or anyone who was a customer, vendor or client during the Restriction Period) to cease any relationship with the Company or its affiliates or (ii) solicit or encourage any employee or consultant of the Company or its affiliates (or anyone who was an employee or consultant of the Company or its affiliates during the Restriction Period) to leave the employment of or cease to perform services for the Company or its affiliates; provided that this Paragraph shall not prohibit any general public advertisement or general solicitation for personnel not specifically directed at any employee or consultant of the Company or its affiliates.</w:t>
      </w:r>
    </w:p>
    <w:p>
      <w:pPr>
        <w:spacing w:after="0" w:line="175" w:lineRule="exact"/>
        <w:rPr>
          <w:rFonts w:ascii="Arial" w:cs="Arial" w:eastAsia="Arial" w:hAnsi="Arial"/>
          <w:sz w:val="21"/>
          <w:szCs w:val="21"/>
          <w:b w:val="1"/>
          <w:bCs w:val="1"/>
          <w:color w:val="auto"/>
        </w:rPr>
      </w:pPr>
    </w:p>
    <w:p>
      <w:pPr>
        <w:ind w:right="140" w:firstLine="1434"/>
        <w:spacing w:after="0" w:line="291" w:lineRule="auto"/>
        <w:tabs>
          <w:tab w:leader="none" w:pos="194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I agree that at all times following my Separation Date, I will not make any public</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that is in any way disparaging, derogatory or defamatory regarding the Company, its affiliates, any of the Released Parties or their respective officers, directors, employees, consultants, reputations, products, operations, procedures, policies or services, which are reasonably likely to (i) damage materially the reputation of the Company or its affiliates or any of the Released Parties or (ii) interfere materially with the contracts or business relationships of the Company or its affiliates or any of the Released Parties. “Public statements” mean any statement, whether written or oral, made in any public forum, including in any social media or website. However, nothing in this subparagraph shall prohibit me from testifying truthfully in any forum or contacting, cooperating with or providing information to any government agency or commission.</w:t>
      </w:r>
    </w:p>
    <w:p>
      <w:pPr>
        <w:spacing w:after="0" w:line="148" w:lineRule="exact"/>
        <w:rPr>
          <w:rFonts w:ascii="Arial" w:cs="Arial" w:eastAsia="Arial" w:hAnsi="Arial"/>
          <w:sz w:val="19"/>
          <w:szCs w:val="19"/>
          <w:b w:val="1"/>
          <w:bCs w:val="1"/>
          <w:color w:val="auto"/>
        </w:rPr>
      </w:pPr>
    </w:p>
    <w:p>
      <w:pPr>
        <w:ind w:right="40" w:firstLine="1434"/>
        <w:spacing w:after="0" w:line="262" w:lineRule="auto"/>
        <w:tabs>
          <w:tab w:leader="none" w:pos="1934"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Cooperation: </w:t>
      </w:r>
      <w:r>
        <w:rPr>
          <w:rFonts w:ascii="Arial" w:cs="Arial" w:eastAsia="Arial" w:hAnsi="Arial"/>
          <w:sz w:val="21"/>
          <w:szCs w:val="21"/>
          <w:color w:val="auto"/>
        </w:rPr>
        <w:t>I agree that following my Separation Date, I will provide reasonable assistance to and</w:t>
      </w:r>
      <w:r>
        <w:rPr>
          <w:rFonts w:ascii="Arial" w:cs="Arial" w:eastAsia="Arial" w:hAnsi="Arial"/>
          <w:sz w:val="21"/>
          <w:szCs w:val="21"/>
          <w:b w:val="1"/>
          <w:bCs w:val="1"/>
          <w:color w:val="auto"/>
        </w:rPr>
        <w:t xml:space="preserve"> </w:t>
      </w:r>
      <w:r>
        <w:rPr>
          <w:rFonts w:ascii="Arial" w:cs="Arial" w:eastAsia="Arial" w:hAnsi="Arial"/>
          <w:sz w:val="21"/>
          <w:szCs w:val="21"/>
          <w:color w:val="auto"/>
        </w:rPr>
        <w:t>cooperate with the Company and its affiliates as to any claims, controversies, disputes, or complaints of which I have knowledge or that may relate to me or my employment or other relationships with the Company or its affiliates. Such cooperation includes but is not limited to providing the Company and its affiliates with all information known to me related to the foregoing, meeting with counsel, and appearing and giving testimony in any forum. The Company will reimburse me for any reasonable out-of-pocket expenses incurred by me in providing assistance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58" w:name="page59"/>
    <w:bookmarkEnd w:id="58"/>
    <w:p>
      <w:pPr>
        <w:ind w:firstLine="1434"/>
        <w:spacing w:after="0" w:line="285" w:lineRule="auto"/>
        <w:tabs>
          <w:tab w:leader="none" w:pos="1940" w:val="left"/>
        </w:tabs>
        <w:numPr>
          <w:ilvl w:val="1"/>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I acknowledge that I and the Company intend that this Agreement be interpreted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so that any amount or benefit paid hereunder shall be exempt from or compliant with Section 409A of the Internal Revenue Code of 1986, as amended, and the regulations thereunder (“Section 409A”). If the period between the date I receive this Agreement and the expiration of the revocation period described in Section (g)(v) below begins in one taxable year and ends in another taxable year, payment shall not be made until the beginning of the second taxable year. Notwithstanding the foregoing, neither the Company nor its affiliates nor any of their respective directors, officers, employees and advisors shall be held liable for any taxes, interest or other amounts owed by me as a result of Section 409A. Notwithstanding anything herein to the contrary</w:t>
      </w:r>
    </w:p>
    <w:p>
      <w:pPr>
        <w:spacing w:after="0" w:line="3" w:lineRule="exact"/>
        <w:rPr>
          <w:rFonts w:ascii="Arial" w:cs="Arial" w:eastAsia="Arial" w:hAnsi="Arial"/>
          <w:sz w:val="19"/>
          <w:szCs w:val="19"/>
          <w:b w:val="1"/>
          <w:bCs w:val="1"/>
          <w:color w:val="auto"/>
        </w:rPr>
      </w:pPr>
    </w:p>
    <w:p>
      <w:pPr>
        <w:ind w:right="60" w:firstLine="8"/>
        <w:spacing w:after="0" w:line="249" w:lineRule="auto"/>
        <w:tabs>
          <w:tab w:leader="none" w:pos="258"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“deferred compensation” (as defined in Section 409A) payable hereunder as a result of my termination of employment shall not be paid unless and until I have undergone a “separation from service” (as defined in Section 409A) and (ii) if I am a “specified employee” within the meaning of Section 409A, and a payment or benefit provided for in this Agreement would be subject to additional tax under Section 409A if such payment or benefit is paid within six months after my separation from service, then such payment or benefit shall not be paid (or commence) during the six-month period immediately following my separation from service except as provided in the immediately following sentence. In such event, any payments or benefits that would otherwise have been made or provided during such six-month period and which would have incurred such additional tax under Section 409A shall instead be paid to me in a lump-sum cash payment on the earlier of (i) the first regular payroll date of the seventh month following my separation from service or (ii) the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business day following my death. If any right to payment hereunder is deemed a right to an installment payment, such right shall be treated as a right to a series of separate payments and, accordingly, each installment payment shall at all times be considered a separate and distinct payment for purposes of Section 409A.</w:t>
      </w:r>
    </w:p>
    <w:p>
      <w:pPr>
        <w:spacing w:after="0" w:line="192" w:lineRule="exact"/>
        <w:rPr>
          <w:sz w:val="20"/>
          <w:szCs w:val="20"/>
          <w:color w:val="auto"/>
        </w:rPr>
      </w:pPr>
    </w:p>
    <w:p>
      <w:pPr>
        <w:jc w:val="both"/>
        <w:ind w:right="40" w:firstLine="1426"/>
        <w:spacing w:after="0" w:line="252" w:lineRule="auto"/>
        <w:rPr>
          <w:sz w:val="20"/>
          <w:szCs w:val="20"/>
          <w:color w:val="auto"/>
        </w:rPr>
      </w:pPr>
      <w:r>
        <w:rPr>
          <w:rFonts w:ascii="Arial" w:cs="Arial" w:eastAsia="Arial" w:hAnsi="Arial"/>
          <w:sz w:val="22"/>
          <w:szCs w:val="22"/>
          <w:b w:val="1"/>
          <w:bCs w:val="1"/>
          <w:color w:val="auto"/>
        </w:rPr>
        <w:t xml:space="preserve">(xvii)Re-employment: </w:t>
      </w:r>
      <w:r>
        <w:rPr>
          <w:rFonts w:ascii="Arial" w:cs="Arial" w:eastAsia="Arial" w:hAnsi="Arial"/>
          <w:sz w:val="22"/>
          <w:szCs w:val="22"/>
          <w:color w:val="auto"/>
        </w:rPr>
        <w:t>I agree that the Company and its subsidiaries and affiliates are under no obligation to re-employ or engage me in the future in any capacity and that the denial of such re-employment or engagement shall be considered legitimate, proper, and non-discriminatory, as well as an exercise of the Company’s, its subsidiaries, or its affiliates’ rights under this Agreement.</w:t>
      </w:r>
    </w:p>
    <w:p>
      <w:pPr>
        <w:spacing w:after="0" w:line="180" w:lineRule="exact"/>
        <w:rPr>
          <w:sz w:val="20"/>
          <w:szCs w:val="20"/>
          <w:color w:val="auto"/>
        </w:rPr>
      </w:pPr>
    </w:p>
    <w:p>
      <w:pPr>
        <w:ind w:right="320" w:firstLine="1434"/>
        <w:spacing w:after="0" w:line="269" w:lineRule="auto"/>
        <w:tabs>
          <w:tab w:leader="none" w:pos="2586"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I understand that the headings appearing in this Agreement are for convenience only</w:t>
      </w:r>
      <w:r>
        <w:rPr>
          <w:rFonts w:ascii="Arial" w:cs="Arial" w:eastAsia="Arial" w:hAnsi="Arial"/>
          <w:sz w:val="22"/>
          <w:szCs w:val="22"/>
          <w:b w:val="1"/>
          <w:bCs w:val="1"/>
          <w:color w:val="auto"/>
        </w:rPr>
        <w:t xml:space="preserve"> </w:t>
      </w:r>
      <w:r>
        <w:rPr>
          <w:rFonts w:ascii="Arial" w:cs="Arial" w:eastAsia="Arial" w:hAnsi="Arial"/>
          <w:sz w:val="22"/>
          <w:szCs w:val="22"/>
          <w:color w:val="auto"/>
        </w:rPr>
        <w:t>and are not to be considered in interpreting this Agreement.</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Acceptance of Agreement:</w:t>
      </w:r>
    </w:p>
    <w:p>
      <w:pPr>
        <w:spacing w:after="0" w:line="225" w:lineRule="exact"/>
        <w:rPr>
          <w:rFonts w:ascii="Arial" w:cs="Arial" w:eastAsia="Arial" w:hAnsi="Arial"/>
          <w:sz w:val="22"/>
          <w:szCs w:val="22"/>
          <w:b w:val="1"/>
          <w:bCs w:val="1"/>
          <w:color w:val="auto"/>
        </w:rPr>
      </w:pPr>
    </w:p>
    <w:p>
      <w:pPr>
        <w:ind w:right="60" w:firstLine="1434"/>
        <w:spacing w:after="0" w:line="253" w:lineRule="auto"/>
        <w:tabs>
          <w:tab w:leader="none" w:pos="1940"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I HAVE CAREFULLY READ AND FULLY UNDERSTAND AND VOLUNTARILY AGREE TO ALL THE TERMS OF THIS AGREEMENT. IN EXCHANGE FOR MY AGREEMENT TO THE TERMS OF THIS AGREEMENT, I WILL RECEIVE BENEFITS TO WHICH I WOULD OTHERWISE NOT BE ENTITLED.</w:t>
      </w:r>
    </w:p>
    <w:p>
      <w:pPr>
        <w:spacing w:after="0" w:line="185" w:lineRule="exact"/>
        <w:rPr>
          <w:rFonts w:ascii="Arial" w:cs="Arial" w:eastAsia="Arial" w:hAnsi="Arial"/>
          <w:sz w:val="22"/>
          <w:szCs w:val="22"/>
          <w:b w:val="1"/>
          <w:bCs w:val="1"/>
          <w:color w:val="auto"/>
        </w:rPr>
      </w:pPr>
    </w:p>
    <w:p>
      <w:pPr>
        <w:ind w:right="20" w:firstLine="1434"/>
        <w:spacing w:after="0" w:line="253" w:lineRule="auto"/>
        <w:tabs>
          <w:tab w:leader="none" w:pos="1932"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THIS IS AN IMPORTANT LEGAL DOCUMENT AND I HAVE BEEN ADVISED TO CONSULT WITH AN ATTORNEY BEFORE SIGNING IT. I UNDERSTAND THAT I COULD TAKE UP TO TWENTY-ONE (21) DAYS TO CONSIDER THIS AGREEMENT BEFORE DECIDING WHETHER TO SIGN IT AND BY SIGNING IT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22" w:right="379" w:bottom="1440" w:gutter="0" w:footer="0" w:header="0"/>
        </w:sectPr>
      </w:pPr>
    </w:p>
    <w:bookmarkStart w:id="59" w:name="page60"/>
    <w:bookmarkEnd w:id="59"/>
    <w:p>
      <w:pPr>
        <w:ind w:right="660"/>
        <w:spacing w:after="0" w:line="253" w:lineRule="auto"/>
        <w:rPr>
          <w:sz w:val="20"/>
          <w:szCs w:val="20"/>
          <w:color w:val="auto"/>
        </w:rPr>
      </w:pPr>
      <w:r>
        <w:rPr>
          <w:rFonts w:ascii="Arial" w:cs="Arial" w:eastAsia="Arial" w:hAnsi="Arial"/>
          <w:sz w:val="22"/>
          <w:szCs w:val="22"/>
          <w:color w:val="auto"/>
        </w:rPr>
        <w:t>UNDERSTAND THAT I WILL BE WAIVING ALL KNOWN AND UNKNOWN CLAIMS. I ACKNOWLEDGE THAT CHANGES MADE TO THIS AGREEMENT, WHETHER MATERIAL OR IMMATERIAL, DO NOT RESTART THE AFOREMENTIONED TWENTY-ONE (21) DAY PERIOD.</w:t>
      </w:r>
    </w:p>
    <w:p>
      <w:pPr>
        <w:spacing w:after="0" w:line="185" w:lineRule="exact"/>
        <w:rPr>
          <w:sz w:val="20"/>
          <w:szCs w:val="20"/>
          <w:color w:val="auto"/>
        </w:rPr>
      </w:pPr>
    </w:p>
    <w:p>
      <w:pPr>
        <w:ind w:right="320" w:firstLine="1434"/>
        <w:spacing w:after="0" w:line="248" w:lineRule="auto"/>
        <w:tabs>
          <w:tab w:leader="none" w:pos="1938"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I ALSO UNDERSTAND THAT I MAY CHOOSE TO VOLUNTARILY SIGN THIS AGREEMENT WITHOUT TAKING THE FULL 21-DAY PERIOD. THE EXPIRATION OF THAT PERIOD IS THE DEADLINE FOR ME TO DELIVER A SIGNED COPY OF THIS AGREEMENT BY E-MAILING A PDF COPY TO LIZZETTE.ZUBEY@AMKOR.COM. IF I FAIL TO DO SO, I UNDERSTAND THAT I WILL NOT RECEIVE THE SEPARATION PAYMENTS OR BENEFITS DESCRIBED IN IT.</w:t>
      </w:r>
    </w:p>
    <w:p>
      <w:pPr>
        <w:spacing w:after="0" w:line="191" w:lineRule="exact"/>
        <w:rPr>
          <w:rFonts w:ascii="Arial" w:cs="Arial" w:eastAsia="Arial" w:hAnsi="Arial"/>
          <w:sz w:val="22"/>
          <w:szCs w:val="22"/>
          <w:b w:val="1"/>
          <w:bCs w:val="1"/>
          <w:color w:val="auto"/>
        </w:rPr>
      </w:pPr>
    </w:p>
    <w:p>
      <w:pPr>
        <w:ind w:right="340" w:firstLine="1434"/>
        <w:spacing w:after="0" w:line="263" w:lineRule="auto"/>
        <w:tabs>
          <w:tab w:leader="none" w:pos="194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THE CONSIDERATION PERIOD DESCRIBED IN PARAGRAPH (g)(ii) STARTED WHEN I FIRST WAS GIVEN THIS AGREEMENT.</w:t>
      </w:r>
    </w:p>
    <w:p>
      <w:pPr>
        <w:spacing w:after="0" w:line="174" w:lineRule="exact"/>
        <w:rPr>
          <w:rFonts w:ascii="Arial" w:cs="Arial" w:eastAsia="Arial" w:hAnsi="Arial"/>
          <w:sz w:val="22"/>
          <w:szCs w:val="22"/>
          <w:b w:val="1"/>
          <w:bCs w:val="1"/>
          <w:color w:val="auto"/>
        </w:rPr>
      </w:pPr>
    </w:p>
    <w:p>
      <w:pPr>
        <w:ind w:firstLine="1434"/>
        <w:spacing w:after="0" w:line="245" w:lineRule="auto"/>
        <w:tabs>
          <w:tab w:leader="none" w:pos="1934"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I MAY REVOKE THIS AGREEMENT IF I REGRET HAVING SIGNED IT. TO DO SO, I MUST DELIVER A WRITTEN NOTICE OF REVOCATION TO LIZZETTE ZUBEY AT 2045 EAST INNOVATION CIRCLE, TEMPE, ARIZONA 85284, BEFORE SEVEN (7) DAYS EXPIRE FROM THE TIME I SIGNED IT. IN ADDITION, AS A FURTHER CONDITION OF RECEIVING THE RETIREMENT PAYMENTS OR BENEFITS DESCRIBED IN THIS AGREEMENT, I AGREE TO SIGN THIS AGREEMENT FOR A SECOND TIME AS OF MY SEPARATION DATE SO THAT THE RELEASE CONTAINED IN THIS AGREEMENT WILL RUN THROUGH THE DATE OF MY SECOND SIGNATURE. I WILL HAVE A PERIOD OF SEVEN (7) DAYS TO REVOKE MY SECOND SIGNATURE. IF I REVOKE EITHER OF MY SIGNATURES, THIS AGREEMENT WILL NOT GO INTO EFFECT AND I WILL NOT RECEIVE THE SEPARATION PAYMENTS OR BENEFITS DESCRIBED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60" w:name="page61"/>
    <w:bookmarkEnd w:id="60"/>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on the dates set forth below.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/s/ John C. Stone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John C. Stone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2021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AMKOR TECHNOLOGY,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By: /s/ Mark N. Rogers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Mark N. Rogers</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Executive Vice President and General Counsel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39"/>
          </w:cols>
          <w:pgMar w:left="320" w:top="1440" w:right="1440" w:bottom="1440" w:gutter="0" w:footer="0" w:header="0"/>
        </w:sectPr>
      </w:pPr>
    </w:p>
    <w:bookmarkStart w:id="61" w:name="page62"/>
    <w:bookmarkEnd w:id="61"/>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TO BE SIGNED FOR A SECOND TIME AS OF MY SEPARATION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5486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-17780</wp:posOffset>
            </wp:positionV>
            <wp:extent cx="6858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John C. Stone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AMKOR TECHNOLOGY,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2" w:name="page63"/>
    <w:bookmarkEnd w:id="62"/>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7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October 29, 2021</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October 29, 2021</w:t>
      </w:r>
    </w:p>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2021, as filed with the Securities and Exchange Commission on the date hereof (the “Report”), I, Guillaume Marie Jean Rutten, President and Chief Executive Officer of the Company, certify, pursuant to 18 U.S.C. Section 1350, as adopted pursuant to Section 906 of the Sarbanes-Oxley Act of 2002, that:</w:t>
      </w:r>
    </w:p>
    <w:p>
      <w:pPr>
        <w:spacing w:after="0" w:line="42" w:lineRule="exact"/>
        <w:rPr>
          <w:sz w:val="20"/>
          <w:szCs w:val="20"/>
          <w:color w:val="auto"/>
        </w:rPr>
      </w:pPr>
    </w:p>
    <w:p>
      <w:pPr>
        <w:ind w:left="920" w:hanging="264"/>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660" w:hanging="4"/>
        <w:spacing w:after="0" w:line="277" w:lineRule="auto"/>
        <w:tabs>
          <w:tab w:leader="none" w:pos="9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October 29,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2021, as filed with the Securities and Exchange Commission on the date hereof (the “Report”), I, Megan Faust, Executive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660" w:hanging="4"/>
        <w:spacing w:after="0" w:line="277" w:lineRule="auto"/>
        <w:tabs>
          <w:tab w:leader="none" w:pos="9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October 29, 2021</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6"/>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lvl w:ilvl="1">
      <w:lvlJc w:val="left"/>
      <w:lvlText w:val="(%2)"/>
      <w:numFmt w:val="lowerRoman"/>
      <w:start w:val="1"/>
    </w:lvl>
  </w:abstractNum>
  <w:abstractNum w:abstractNumId="27">
    <w:nsid w:val="380482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28">
    <w:nsid w:val="77465F0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9">
    <w:nsid w:val="7724C67E"/>
    <w:multiLevelType w:val="hybridMultilevel"/>
    <w:lvl w:ilvl="0">
      <w:lvlJc w:val="left"/>
      <w:lvlText w:val="%1"/>
      <w:numFmt w:val="lowerLetter"/>
      <w:start w:val="1"/>
    </w:lvl>
    <w:lvl w:ilvl="1">
      <w:lvlJc w:val="left"/>
      <w:lvlText w:val="(%2)"/>
      <w:numFmt w:val="lowerLetter"/>
      <w:start w:val="35"/>
    </w:lvl>
  </w:abstractNum>
  <w:abstractNum w:abstractNumId="30">
    <w:nsid w:val="5C482A97"/>
    <w:multiLevelType w:val="hybridMultilevel"/>
    <w:lvl w:ilvl="0">
      <w:lvlJc w:val="left"/>
      <w:lvlText w:val="(%1)"/>
      <w:numFmt w:val="lowerLetter"/>
      <w:start w:val="3"/>
    </w:lvl>
    <w:lvl w:ilvl="1">
      <w:lvlJc w:val="left"/>
      <w:lvlText w:val="(%2)"/>
      <w:numFmt w:val="lowerLetter"/>
      <w:start w:val="9"/>
    </w:lvl>
  </w:abstractNum>
  <w:abstractNum w:abstractNumId="31">
    <w:nsid w:val="2463B9EA"/>
    <w:multiLevelType w:val="hybridMultilevel"/>
    <w:lvl w:ilvl="0">
      <w:lvlJc w:val="left"/>
      <w:lvlText w:val="(%1)"/>
      <w:numFmt w:val="lowerRoman"/>
      <w:start w:val="2"/>
    </w:lvl>
  </w:abstractNum>
  <w:abstractNum w:abstractNumId="32">
    <w:nsid w:val="5E884ADC"/>
    <w:multiLevelType w:val="hybridMultilevel"/>
    <w:lvl w:ilvl="0">
      <w:lvlJc w:val="left"/>
      <w:lvlText w:val="%1"/>
      <w:numFmt w:val="lowerLetter"/>
      <w:start w:val="1"/>
    </w:lvl>
    <w:lvl w:ilvl="1">
      <w:lvlJc w:val="left"/>
      <w:lvlText w:val="(%2)"/>
      <w:numFmt w:val="lowerRoman"/>
      <w:start w:val="3"/>
    </w:lvl>
  </w:abstractNum>
  <w:abstractNum w:abstractNumId="33">
    <w:nsid w:val="51EAD36B"/>
    <w:multiLevelType w:val="hybridMultilevel"/>
    <w:lvl w:ilvl="0">
      <w:lvlJc w:val="left"/>
      <w:lvlText w:val="(%1)"/>
      <w:numFmt w:val="lowerLetter"/>
      <w:start w:val="6"/>
    </w:lvl>
    <w:lvl w:ilvl="1">
      <w:lvlJc w:val="left"/>
      <w:lvlText w:val="(%2)"/>
      <w:numFmt w:val="lowerRoman"/>
      <w:start w:val="1"/>
    </w:lvl>
  </w:abstractNum>
  <w:abstractNum w:abstractNumId="34">
    <w:nsid w:val="2D517796"/>
    <w:multiLevelType w:val="hybridMultilevel"/>
    <w:lvl w:ilvl="0">
      <w:lvlJc w:val="left"/>
      <w:lvlText w:val="(%1)"/>
      <w:numFmt w:val="lowerRoman"/>
      <w:start w:val="7"/>
    </w:lvl>
  </w:abstractNum>
  <w:abstractNum w:abstractNumId="35">
    <w:nsid w:val="580BD78F"/>
    <w:multiLevelType w:val="hybridMultilevel"/>
    <w:lvl w:ilvl="0">
      <w:lvlJc w:val="left"/>
      <w:lvlText w:val="(%1)"/>
      <w:numFmt w:val="lowerRoman"/>
      <w:start w:val="12"/>
    </w:lvl>
  </w:abstractNum>
  <w:abstractNum w:abstractNumId="36">
    <w:nsid w:val="153EA438"/>
    <w:multiLevelType w:val="hybridMultilevel"/>
    <w:lvl w:ilvl="0">
      <w:lvlJc w:val="left"/>
      <w:lvlText w:val="%1"/>
      <w:numFmt w:val="lowerRoman"/>
      <w:start w:val="1"/>
    </w:lvl>
    <w:lvl w:ilvl="1">
      <w:lvlJc w:val="left"/>
      <w:lvlText w:val="(%2)"/>
      <w:numFmt w:val="lowerRoman"/>
      <w:start w:val="16"/>
    </w:lvl>
  </w:abstractNum>
  <w:abstractNum w:abstractNumId="37">
    <w:nsid w:val="3855585C"/>
    <w:multiLevelType w:val="hybridMultilevel"/>
    <w:lvl w:ilvl="0">
      <w:lvlJc w:val="left"/>
      <w:lvlText w:val="(%1)"/>
      <w:numFmt w:val="lowerRoman"/>
      <w:start w:val="1"/>
    </w:lvl>
    <w:lvl w:ilvl="1">
      <w:lvlJc w:val="left"/>
      <w:lvlText w:val="%2"/>
      <w:numFmt w:val="lowerRoman"/>
      <w:start w:val="1"/>
    </w:lvl>
  </w:abstractNum>
  <w:abstractNum w:abstractNumId="38">
    <w:nsid w:val="70A64E2A"/>
    <w:multiLevelType w:val="hybridMultilevel"/>
    <w:lvl w:ilvl="0">
      <w:lvlJc w:val="left"/>
      <w:lvlText w:val="%1"/>
      <w:numFmt w:val="lowerLetter"/>
      <w:start w:val="1"/>
    </w:lvl>
    <w:lvl w:ilvl="1">
      <w:lvlJc w:val="left"/>
      <w:lvlText w:val="(%2)"/>
      <w:numFmt w:val="lowerRoman"/>
      <w:start w:val="18"/>
    </w:lvl>
  </w:abstractNum>
  <w:abstractNum w:abstractNumId="39">
    <w:nsid w:val="6A2342EC"/>
    <w:multiLevelType w:val="hybridMultilevel"/>
    <w:lvl w:ilvl="0">
      <w:lvlJc w:val="left"/>
      <w:lvlText w:val="(%1)"/>
      <w:numFmt w:val="lowerLetter"/>
      <w:start w:val="7"/>
    </w:lvl>
    <w:lvl w:ilvl="1">
      <w:lvlJc w:val="left"/>
      <w:lvlText w:val="(%2)"/>
      <w:numFmt w:val="lowerRoman"/>
      <w:start w:val="1"/>
    </w:lvl>
  </w:abstractNum>
  <w:abstractNum w:abstractNumId="40">
    <w:nsid w:val="2A487CB0"/>
    <w:multiLevelType w:val="hybridMultilevel"/>
    <w:lvl w:ilvl="0">
      <w:lvlJc w:val="left"/>
      <w:lvlText w:val="(%1)"/>
      <w:numFmt w:val="lowerRoman"/>
      <w:start w:val="3"/>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2021-10-29T15:56:01Z</dcterms:created>
  <dcterms:modified xsi:type="dcterms:W3CDTF">2021-10-29T15:56:01Z</dcterms:modified>
</cp:coreProperties>
</file>