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903605</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20"/>
                <w:szCs w:val="20"/>
                <w:color w:val="auto"/>
              </w:rPr>
            </w:pPr>
          </w:p>
        </w:tc>
        <w:tc>
          <w:tcPr>
            <w:tcW w:w="328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237"/>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40" w:type="dxa"/>
            <w:vAlign w:val="bottom"/>
          </w:tcPr>
          <w:p>
            <w:pPr>
              <w:spacing w:after="0"/>
              <w:rPr>
                <w:sz w:val="20"/>
                <w:szCs w:val="20"/>
                <w:color w:val="auto"/>
              </w:rPr>
            </w:pPr>
          </w:p>
        </w:tc>
        <w:tc>
          <w:tcPr>
            <w:tcW w:w="41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40"/>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TEMPE, AZ 85284</w:t>
            </w:r>
          </w:p>
        </w:tc>
        <w:tc>
          <w:tcPr>
            <w:tcW w:w="3020" w:type="dxa"/>
            <w:vAlign w:val="bottom"/>
          </w:tcPr>
          <w:p>
            <w:pPr>
              <w:spacing w:after="0"/>
              <w:rPr>
                <w:sz w:val="19"/>
                <w:szCs w:val="19"/>
                <w:color w:val="auto"/>
              </w:rPr>
            </w:pPr>
          </w:p>
        </w:tc>
      </w:tr>
      <w:tr>
        <w:trPr>
          <w:trHeight w:val="234"/>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020" w:type="dxa"/>
            <w:vAlign w:val="bottom"/>
          </w:tcPr>
          <w:p>
            <w:pPr>
              <w:spacing w:after="0"/>
              <w:rPr>
                <w:sz w:val="20"/>
                <w:szCs w:val="20"/>
                <w:color w:val="auto"/>
              </w:rPr>
            </w:pPr>
          </w:p>
        </w:tc>
      </w:tr>
      <w:tr>
        <w:trPr>
          <w:trHeight w:val="441"/>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bl>
    <w:p>
      <w:pPr>
        <w:spacing w:after="0" w:line="27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35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8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9"/>
              </w:rPr>
              <w:t>AMKR</w:t>
            </w:r>
          </w:p>
        </w:tc>
        <w:tc>
          <w:tcPr>
            <w:tcW w:w="4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25"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14" w:lineRule="exact"/>
        <w:rPr>
          <w:sz w:val="24"/>
          <w:szCs w:val="24"/>
          <w:color w:val="auto"/>
        </w:rPr>
      </w:pPr>
    </w:p>
    <w:p>
      <w:pPr>
        <w:ind w:right="16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Indenture and Notes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2026, Amkor Technology, Inc. (the “Company”) issued $1,150,000,000 aggregate principal amount of its 0.00% Convertible Senior Notes due 2031 (the “Notes”). The Notes were issued pursuant to, and are governed by, an indenture (the “Indenture”), dated as of May 5, 2026, among the Company, the Guarantors (as defined below) named therein and U.S. Bank Trust Company, National Association, as trustee (the “Trustee”). Pursuant to the purchase agreement among the Company, the Guarantors and the representatives of the initial purchasers of the Notes, the Company granted the initial purchasers an option to purchase, for settlement within a period of 13 days from, and including, the date the Notes are first issued, up to an additional $150,000,000 aggregate principal amount of Notes. The Notes issued on May 5, 2026 include $150,000,000 aggregate principal amount of Notes issued pursuant to the full exercise by the initial purchasers of such option.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are fully and unconditionally guaranteed, on a senior, unsecured basis, by each subsidiary of the Company that currently or in the future guarantees its 5.875% senior notes due 2033 (the “Guarantors”).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and the guarantee of each Guarantor will be senior, unsecured obligations of the Company and such Guarantor, respectively, and will be (i) equal in right of payment with the existing and future senior, unsecured indebtedness of the Company and such Guarantor, respectively; (ii) senior in right of payment to the existing and future indebtedness of the Company and such Guarantor, respectively, that is expressly subordinated to the Notes and such guarantee, respectively; (iii) effectively subordinated to the existing and future secured indebtedness of the Company and such Guarantor, respectively, to the extent of the value of the collateral securing that indebtedness; and (iv) structurally subordinated to all existing and future indebtedness and other liabilities, including trade payables, and (to the extent the Company or such Guarantor, as applicable, is not a holder thereof) preferred equity, if any, of the non-guarantor subsidiaries of the Company and such Guarantor, respectively.</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Notes will not bear regular interest, and the principal amount of the Notes will not accrete. However, special interest and additional interest may accrue on the Notes at a rate per annum not exceeding 0.50% upon the occurrence of certain events relating to the failure to file certain SEC reports or to remove certain restrictive legends from the Notes. The Notes will mature on July 15, 2031, unless earlier repurchased, redeemed or converted. Before April 15, 2031, noteholders will have the right to convert their Notes only upon the occurrence of certain events. From and after April 15, 2031,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The kind and amount of consideration due upon conversion will be determined based on the conversion value of the Notes, measured proportionately for each trading day in an “Observation Period” (as defined in the Indenture) consisting of 20 trading days, and settled following the completion of that Observation Period. The consideration due in respect of each trading day in the Observation Period will consist of cash, up to at least the proportional amount of the principal amount being converted, and any excess of the proportional conversion value for that trading day that will not be settled in cash will be settled in shares of the Company’s common stock. The initial conversion rate is 9.4013 shares of the Company’s common stock per $1,000 principal amount of Notes, which represents an initial conversion price of approximately $106.37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described below), at the Company’s option at any time, and from time to time, on or after May 15, 2029 and on or before the 20th scheduled trading day immediately before the maturity date, but only if (i) the Notes are “Freely Tradable” (as defined in the Indenture) as of the date the Company sends the related redemption notice and all accrued and unpaid additional interest, if any, has been paid in full, as of the first interest payment date occurring on or before the date the Company sends such notice; and (ii) the last reported sale price per share of the Company’s common stock exceeds 130% of the conversion price on (1) each of at least 20 trading days, whether or not consecutive, during the 30 consecutive trading days ending on, and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day immediately before the date the Company sends such redemption notice; and (2) the trading day immediately before the date the Company sends such redemption notice. However, the Company may not redeem less than all of the outstanding Notes unless at least $150.0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special interest and additional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special interest and additional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Notes will have customary provisions relating to the occurrence of “Events of Default” (as defined in the Indenture), which include the following: (i) certain payment defaults on the Notes (which, in the case of a default in the payment of special interest or additional interest on the Notes, will be subject to a 30-day cure period); (ii) the Company’s failure to send certain notices under the Indenture within specified periods of time; (iii) a default in the Company’s obligation to convert a Note upon the exercise of the conversion right with respect thereto, if such default is not cured within five days after its occurrence; (iv) the failure by the Company or any Guarantor to comply with certain covenants in the Indenture relating to the ability of the Company or such Guarantor to consolidate with or merge with or into, or sell, lease or otherwise transfer, in one transaction or a series of transactions, all or substantially all of the assets of the Company or such Guarantor, as applicable, and its subsidiaries, taken as a whole, to another person; (v) a default by the Company or any Guarantor in its other obligations or agreements under the Indenture or the Notes if such default is not cured or waived within 60 days after notice is given in accordance with the Indenture; (vi) certain defaults by the Company, any Guarantor or any of their respective significant subsidiaries with respect to indebtedness for borrowed money of at least $100,000,000; (vii) the rendering of certain judgments against the Company or any of its significant subsidiaries for the payment of at least $100,000,000, where such judgments are not discharged or stayed within 60 days after date on which the right to appeal has expired or on which all rights to appeal have been extinguished; (viii) certain events of bankruptcy, insolvency and reorganization involving the Company, any Guarantor or any of their respective significant subsidiaries; and (ix) any guarantee of the Notes is held in any judicial proceeding to be unenforceable or invalid or otherwise ceases to be in full force and effect (except as permitted by the Indenture) or any Guarantor denies or disaffirms its obligations under its guarantee of the Notes.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or any Guarantor (and not solely with respect to a significant subsidiary of the Company or any Guarantor)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360 days at a specified rate per annum not exceeding 0.50% on the principal amount of the Notes.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Indenture and the Notes is a summary and is not complete. A copy of the Indenture and the form of the certificate representing the Notes are filed as exhibits 4.1 and 4.2, respectively, to this Current Report on Form 8-K, and the above summary is qualified by reference to the terms of the Indenture and the Notes set forth in such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Capped Call Transactions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30, 2026, in connection with the pricing of the offering of Notes, the Company entered into privately negotiated capped call transactions (the “Base Capped Call Transactions”) with one or more of the initial purchasers or their affiliates and/or one or more other financial institutions (the “Option Counterparties”). In addition, on May 1, 2026,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substantially similar to those applicable to the Notes, the aggregate number of shares of the Company’s common stock that initially underlie the Notes, and are expected generally to reduce potential dilution to the Company’s common stock upon any conversion of the Notes and/or offset any potential cash payments the Company is required to make in excess of the principal amount of converted Notes, as the case may be, upon conversion of the Notes. If, however, the market price per share of the Company’s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 The cap price of the Capped Call Transactions is initially $139.50 per share (subject to adjustment under the terms of the Capped Call Transactions), which represents a premium of 100.0% over the last reported sale price of the Company’s common stock on April 30, 2026. The cost of the Capped Call Transactions was approximately $56.4 million.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separate transactions, each between the Company and the applicable Option Counterparty, and are not part of the terms of the Notes and will not affect any noteholder’s rights under the Notes or the Indenture. Noteholders of the Notes will not have any rights with respect to the Capped Call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description of the Capped Call Transactions is a summary and is not complete. A copy of the form of confirmation for the Capped Call Transactions is filed as exhibit 10.1 to this Current Report on Form 8-K, and the above summary is qualified by reference to the terms of the form of confirmation set forth in such exhibit.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under the caption “Indenture and Notes” is incorporated by reference into this Item 2.03.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Notes were issued to the initial purchasers in reliance upon Section 4(a)(2) of the Securities Act of 1933, as amended (the “Securities Act”), in transactions not involving any public offering. The Notes were resold by the initial purchasers to persons whom the initial purchasers reasonably believe are “qualified institutional buyers,” as defined in, and in accordance with, Rule 144A under the Securities Act. Any shares of the Company’s common stock that may be issued upon conversion of the Notes will be issued in reliance upon Section 3(a)(9) of the Securities Act as involving an exchange by the Company exclusively with its security holders. Initially, a maximum of 16,487,435 shares of the Company’s common stock may be issued upon conversion of the Notes, based on the initial maximum conversion rate of 14.3369 shares of common stock per $1,000 principal amount of Notes, which is subject to customary anti-dilution adjustment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1078865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p>
      <w:pPr>
        <w:ind w:left="260"/>
        <w:spacing w:after="0"/>
        <w:tabs>
          <w:tab w:leader="none" w:pos="57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ind w:left="1080" w:hanging="710"/>
        <w:spacing w:after="0" w:line="237"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4.1</w:t>
      </w:r>
      <w:r>
        <w:rPr>
          <w:sz w:val="20"/>
          <w:szCs w:val="20"/>
          <w:color w:val="auto"/>
        </w:rPr>
        <w:tab/>
      </w:r>
      <w:r>
        <w:rPr>
          <w:rFonts w:ascii="Times New Roman" w:cs="Times New Roman" w:eastAsia="Times New Roman" w:hAnsi="Times New Roman"/>
          <w:sz w:val="18"/>
          <w:szCs w:val="18"/>
          <w:u w:val="single" w:color="auto"/>
          <w:color w:val="0000FF"/>
        </w:rPr>
        <w:t>Indenture, dated as of May 5, 2026, among Amkor Technology, Inc., the guarantors named therein and U.S. Bank Trust Company, National Association, as trustee.</w:t>
      </w:r>
    </w:p>
    <w:p>
      <w:pPr>
        <w:spacing w:after="0" w:line="10"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4.2</w:t>
      </w:r>
      <w:r>
        <w:rPr>
          <w:sz w:val="20"/>
          <w:szCs w:val="20"/>
          <w:color w:val="auto"/>
        </w:rPr>
        <w:tab/>
      </w:r>
      <w:r>
        <w:rPr>
          <w:rFonts w:ascii="Times New Roman" w:cs="Times New Roman" w:eastAsia="Times New Roman" w:hAnsi="Times New Roman"/>
          <w:sz w:val="17"/>
          <w:szCs w:val="17"/>
          <w:u w:val="single" w:color="auto"/>
          <w:color w:val="0000FF"/>
        </w:rPr>
        <w:t>Form of certificate representing the 0.00% Convertible Senior Notes due 2031 (included as Exhibit A to Exhibit 4.1).</w:t>
      </w:r>
    </w:p>
    <w:p>
      <w:pPr>
        <w:spacing w:after="0" w:line="27"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u w:val="single" w:color="auto"/>
          <w:color w:val="0000FF"/>
        </w:rPr>
        <w:t>Form of Capped Call Transaction.</w:t>
      </w:r>
    </w:p>
    <w:p>
      <w:pPr>
        <w:spacing w:after="0" w:line="2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1" w:right="4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7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ind w:left="412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N.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14605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Mark N. Rogers</w:t>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w:t>
      </w:r>
    </w:p>
    <w:p>
      <w:pPr>
        <w:ind w:left="46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ectPr>
          <w:pgSz w:w="11900" w:h="16838" w:orient="portrait"/>
          <w:cols w:equalWidth="0" w:num="1">
            <w:col w:w="11240"/>
          </w:cols>
          <w:pgMar w:left="320" w:top="125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GUARANTOR PARTIES HERETO</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 BANK TRUST COMPANY, NATIONAL ASSOCIATION</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Trustee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INDENTURE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5, 2026</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0.00% Convertible Senior Notes due 2031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1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6"/>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40" w:type="dxa"/>
            <w:vAlign w:val="bottom"/>
          </w:tcPr>
          <w:p>
            <w:pPr>
              <w:ind w:left="29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440" w:type="dxa"/>
            <w:vAlign w:val="bottom"/>
          </w:tcPr>
          <w:p>
            <w:pPr>
              <w:spacing w:after="0"/>
              <w:rPr>
                <w:sz w:val="24"/>
                <w:szCs w:val="24"/>
                <w:color w:val="auto"/>
              </w:rPr>
            </w:pPr>
          </w:p>
        </w:tc>
      </w:tr>
      <w:tr>
        <w:trPr>
          <w:trHeight w:val="447"/>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47"/>
        </w:trPr>
        <w:tc>
          <w:tcPr>
            <w:tcW w:w="10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  DEFINITIONS; RULES OF CONSTRUCTION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1.01.</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1.02.</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1.03.  Rules of Construction.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2.</w:t>
            </w:r>
          </w:p>
        </w:tc>
        <w:tc>
          <w:tcPr>
            <w:tcW w:w="9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THE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2.01.  Form, Dating and Denominations.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2.02.  Execution, Authentication and Delivery.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2.03.  Initial Notes and Additional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2.04.  Method of Payment.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16"/>
        </w:trPr>
        <w:tc>
          <w:tcPr>
            <w:tcW w:w="10780" w:type="dxa"/>
            <w:vAlign w:val="bottom"/>
            <w:gridSpan w:val="3"/>
          </w:tcPr>
          <w:p>
            <w:pPr>
              <w:ind w:left="340"/>
              <w:spacing w:after="0" w:line="217" w:lineRule="exact"/>
              <w:rPr>
                <w:sz w:val="20"/>
                <w:szCs w:val="20"/>
                <w:color w:val="auto"/>
              </w:rPr>
            </w:pPr>
            <w:r>
              <w:rPr>
                <w:rFonts w:ascii="Times New Roman" w:cs="Times New Roman" w:eastAsia="Times New Roman" w:hAnsi="Times New Roman"/>
                <w:sz w:val="22"/>
                <w:szCs w:val="22"/>
                <w:color w:val="auto"/>
              </w:rPr>
              <w:t>Section 2.05.  No Regular Interest; Accrual and Payment of Special Interest and Additional Interest; Defaulted</w:t>
            </w:r>
          </w:p>
        </w:tc>
        <w:tc>
          <w:tcPr>
            <w:tcW w:w="4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19</w:t>
            </w:r>
          </w:p>
        </w:tc>
      </w:tr>
      <w:tr>
        <w:trPr>
          <w:trHeight w:val="270"/>
        </w:trPr>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Amounts; When Payment Date is Not a Business Day.</w:t>
            </w:r>
          </w:p>
        </w:tc>
        <w:tc>
          <w:tcPr>
            <w:tcW w:w="440" w:type="dxa"/>
            <w:vAlign w:val="bottom"/>
          </w:tcPr>
          <w:p>
            <w:pPr>
              <w:spacing w:after="0"/>
              <w:rPr>
                <w:sz w:val="23"/>
                <w:szCs w:val="23"/>
                <w:color w:val="auto"/>
              </w:rPr>
            </w:pP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2.06.  Registrar, Paying Agent and Conversion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2.07.  Paying Agent and Conversion Agent to Hold Property in Trust.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2.08.</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Holder Lists.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2.09.</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Legends.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2.10.  Transfers and Exchanges; Certain Transfer Restrictions.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16"/>
        </w:trPr>
        <w:tc>
          <w:tcPr>
            <w:tcW w:w="10780" w:type="dxa"/>
            <w:vAlign w:val="bottom"/>
            <w:gridSpan w:val="3"/>
          </w:tcPr>
          <w:p>
            <w:pPr>
              <w:ind w:left="340"/>
              <w:spacing w:after="0" w:line="217" w:lineRule="exact"/>
              <w:rPr>
                <w:sz w:val="20"/>
                <w:szCs w:val="20"/>
                <w:color w:val="auto"/>
              </w:rPr>
            </w:pPr>
            <w:r>
              <w:rPr>
                <w:rFonts w:ascii="Times New Roman" w:cs="Times New Roman" w:eastAsia="Times New Roman" w:hAnsi="Times New Roman"/>
                <w:sz w:val="22"/>
                <w:szCs w:val="22"/>
                <w:color w:val="auto"/>
              </w:rPr>
              <w:t>Section 2.11.  Exchange and Cancellation of Notes to Be Converted or to Be Repurchased Pursuant to a</w:t>
            </w:r>
          </w:p>
        </w:tc>
        <w:tc>
          <w:tcPr>
            <w:tcW w:w="4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28</w:t>
            </w:r>
          </w:p>
        </w:tc>
      </w:tr>
      <w:tr>
        <w:trPr>
          <w:trHeight w:val="270"/>
        </w:trPr>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Repurchase Upon Fundamental Change or Redemption.</w:t>
            </w:r>
          </w:p>
        </w:tc>
        <w:tc>
          <w:tcPr>
            <w:tcW w:w="440" w:type="dxa"/>
            <w:vAlign w:val="bottom"/>
          </w:tcPr>
          <w:p>
            <w:pPr>
              <w:spacing w:after="0"/>
              <w:rPr>
                <w:sz w:val="23"/>
                <w:szCs w:val="23"/>
                <w:color w:val="auto"/>
              </w:rPr>
            </w:pP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2.12.  Removal of Transfer Restrictions.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2.13.</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Replacement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2.14.  Registered Holders; Certain Rights with Respect to Global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2.15.</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Cancellation.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2.16.  Notes Held by the Company or its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2.17.</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Temporary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2.18.</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Outstanding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2.19.  Repurchases by the Company.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2.20.  CUSIP and ISIN Numbers.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3.</w:t>
            </w:r>
          </w:p>
        </w:tc>
        <w:tc>
          <w:tcPr>
            <w:tcW w:w="98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3.01.  Payment on Notes.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3.02.  Exchange Act Reports.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3.03.  Rule 144A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3.04.</w:t>
            </w:r>
          </w:p>
        </w:tc>
        <w:tc>
          <w:tcPr>
            <w:tcW w:w="9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Additional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3.05.  Compliance and Default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3.06.  Stay, Extension and Usury Laws.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7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3.07.  Acquisition of Notes by the Company and its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4.  REPURCHASE AND REDEMPTION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82"/>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4.01.</w:t>
            </w:r>
          </w:p>
        </w:tc>
        <w:tc>
          <w:tcPr>
            <w:tcW w:w="9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Sinking Fund.</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pacing w:after="0" w:line="200" w:lineRule="exact"/>
        <w:rPr>
          <w:sz w:val="20"/>
          <w:szCs w:val="20"/>
          <w:color w:val="auto"/>
        </w:rPr>
      </w:pPr>
    </w:p>
    <w:p>
      <w:pPr>
        <w:sectPr>
          <w:pgSz w:w="11900" w:h="16838" w:orient="portrait"/>
          <w:cols w:equalWidth="0" w:num="1">
            <w:col w:w="11220"/>
          </w:cols>
          <w:pgMar w:left="34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418" w:right="339" w:bottom="1440" w:gutter="0" w:footer="0" w:header="0"/>
          <w:type w:val="continuous"/>
        </w:sectPr>
      </w:pPr>
    </w:p>
    <w:bookmarkStart w:id="8" w:name="page9"/>
    <w:bookmarkEnd w:id="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4.02.  Right of Holders to Require the Company to Repurchase Notes Upon a Fundamental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4.03.  Right of the Company to Redeem the Notes.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0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5.  THE CONVERSION OF NOTES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5.01.  Right to Convert.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5.02.</w:t>
            </w:r>
          </w:p>
        </w:tc>
        <w:tc>
          <w:tcPr>
            <w:tcW w:w="8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Conversion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5.03.  Settlement Upon Conversion.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5.04.  Reserve and Status of Common Stock Issued Upon Conversion.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5.05.  Adjustments to the Conversion Rate.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5.06.</w:t>
            </w:r>
          </w:p>
        </w:tc>
        <w:tc>
          <w:tcPr>
            <w:tcW w:w="8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Voluntary Adjustments.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5.07.  Adjustments to the Conversion Rate in Connection with a Make-Whole Fundamental Change.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5.08.  Exchange in Lieu of Conversion.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5.09.  Effect of Common Stock Change Event.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6.</w:t>
            </w:r>
          </w:p>
        </w:tc>
        <w:tc>
          <w:tcPr>
            <w:tcW w:w="95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SUCCESSORS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6.01.  When the Company May Merge, Etc.</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6.02.  Successor Entity Substituted.</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7.  DEFAULTS AND REMEDIES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7.01.  Events of Default.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7.02.</w:t>
            </w:r>
          </w:p>
        </w:tc>
        <w:tc>
          <w:tcPr>
            <w:tcW w:w="8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Acceleration.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7.03.  Sole Remedy for a Failure to Report.</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7.04.</w:t>
            </w:r>
          </w:p>
        </w:tc>
        <w:tc>
          <w:tcPr>
            <w:tcW w:w="8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Remedies.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7.05.  Waiver of Past Defaults.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7.06.  Cure of Defaults; Ability to Cure or Waive Before Event of Default Occurs.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7.07.  Control by Majority.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7.08.  Limitation on Suits.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16"/>
        </w:trPr>
        <w:tc>
          <w:tcPr>
            <w:tcW w:w="10500" w:type="dxa"/>
            <w:vAlign w:val="bottom"/>
            <w:gridSpan w:val="3"/>
          </w:tcPr>
          <w:p>
            <w:pPr>
              <w:ind w:left="340"/>
              <w:spacing w:after="0" w:line="217" w:lineRule="exact"/>
              <w:rPr>
                <w:sz w:val="20"/>
                <w:szCs w:val="20"/>
                <w:color w:val="auto"/>
              </w:rPr>
            </w:pPr>
            <w:r>
              <w:rPr>
                <w:rFonts w:ascii="Times New Roman" w:cs="Times New Roman" w:eastAsia="Times New Roman" w:hAnsi="Times New Roman"/>
                <w:sz w:val="22"/>
                <w:szCs w:val="22"/>
                <w:color w:val="auto"/>
              </w:rPr>
              <w:t>Section 7.09.  Absolute Right of Holders to Institute Suit for the Enforcement of the Right to Receive Payment</w:t>
            </w:r>
          </w:p>
        </w:tc>
        <w:tc>
          <w:tcPr>
            <w:tcW w:w="7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76</w:t>
            </w:r>
          </w:p>
        </w:tc>
      </w:tr>
      <w:tr>
        <w:trPr>
          <w:trHeight w:val="270"/>
        </w:trPr>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9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and Conversion Consideration.</w:t>
            </w:r>
          </w:p>
        </w:tc>
        <w:tc>
          <w:tcPr>
            <w:tcW w:w="700" w:type="dxa"/>
            <w:vAlign w:val="bottom"/>
          </w:tcPr>
          <w:p>
            <w:pPr>
              <w:spacing w:after="0"/>
              <w:rPr>
                <w:sz w:val="23"/>
                <w:szCs w:val="23"/>
                <w:color w:val="auto"/>
              </w:rPr>
            </w:pP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7.10.  Collection Suit by Trustee.</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7.11.  Trustee May File Proofs of Claim.</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7.12.</w:t>
            </w:r>
          </w:p>
        </w:tc>
        <w:tc>
          <w:tcPr>
            <w:tcW w:w="8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Priorities.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7.13.  Undertaking for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0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8.  AMENDMENTS, SUPPLEMENTS AND WAIVERS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8.01.  Without the Consent of 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8.02.  With the Consent of Holders.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8.03.  Notice of Amendments, Supplements and Waivers.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8.04.  Revocation, Effect and Solicitation of Consents; Special Record Dates; Etc.</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8.05.  Notations and Exchanges.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05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8.06.  Trustee to Execute Supplemental Indentures.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9.</w:t>
            </w:r>
          </w:p>
        </w:tc>
        <w:tc>
          <w:tcPr>
            <w:tcW w:w="95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GUARANTEES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9.01.</w:t>
            </w:r>
          </w:p>
        </w:tc>
        <w:tc>
          <w:tcPr>
            <w:tcW w:w="8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Guarantees.</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82"/>
        </w:trPr>
        <w:tc>
          <w:tcPr>
            <w:tcW w:w="15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9.02.</w:t>
            </w:r>
          </w:p>
        </w:tc>
        <w:tc>
          <w:tcPr>
            <w:tcW w:w="89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Limitation on Guarantor Liability.</w:t>
            </w:r>
          </w:p>
        </w:tc>
        <w:tc>
          <w:tcPr>
            <w:tcW w:w="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9" w:name="page10"/>
    <w:bookmarkEnd w:id="9"/>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9.03.  Execution and Delivery of Guarantee.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9.04.  When the Guarantors May Merge, Etc.</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Section 9.05.</w:t>
            </w:r>
          </w:p>
        </w:tc>
        <w:tc>
          <w:tcPr>
            <w:tcW w:w="8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Future Guarantors.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9.06.  Application of Certain Provisions to the Guarantors.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9.07.  Automatic Release of Guarantees.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10.  SATISFACTION AND DISCHARGE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10.01.  Termination of Company’s Obligations.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10.02.  Repayment to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10.03.</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Reinstatement.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Article 11.</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11.01.  Duties of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11.02.  Rights of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11.03.  Individual Rights of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11.04.</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Trustee’s Disclaimer.</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11.05.  Notice of Defaults.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11.06.  Compensation and Indemnity.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11.07.  Replacement of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11.08.  Successor Trustee by Merger, Etc.</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11.09.</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Eligibility; Disqualification.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Article 12.</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MISCELLANEOUS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12.01.</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12.02.  Delivery of Officer’s Certificate and Opinion of Counsel as to Conditions Precedent.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12.03.  Statements Required in Officer’s Certificate and Opinion of Counsel.</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12.04.  Rules by the Trustee, the Registrar, the Paying Agent and the Conversion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12.05.  No Personal Liability of Directors, Officers, Employees, Partners and Stockholders.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12.06.  Governing Law; Waiver of Jury Trial.</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12.07.  Submission to Jurisdiction.</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12.08.  No Adverse Interpretation of Other Agreements.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12.09.</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12.10.</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Force Majeure.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12.11.  U.S.A. PATRIOT Act.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12.12.</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Calculations.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12.13.</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12.14.</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Counterparts.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00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Section 12.15.  Table of Contents, Headings, Etc.</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82"/>
        </w:trPr>
        <w:tc>
          <w:tcPr>
            <w:tcW w:w="162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w w:val="99"/>
              </w:rPr>
              <w:t>Section 12.16.</w:t>
            </w:r>
          </w:p>
        </w:tc>
        <w:tc>
          <w:tcPr>
            <w:tcW w:w="84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Withholding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112"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Exhibit A: Form of Note</w:t>
      </w:r>
      <w:r>
        <w:rPr>
          <w:sz w:val="20"/>
          <w:szCs w:val="20"/>
          <w:color w:val="auto"/>
        </w:rPr>
        <w:tab/>
      </w:r>
      <w:r>
        <w:rPr>
          <w:rFonts w:ascii="Times New Roman" w:cs="Times New Roman" w:eastAsia="Times New Roman" w:hAnsi="Times New Roman"/>
          <w:sz w:val="21"/>
          <w:szCs w:val="21"/>
          <w:color w:val="auto"/>
        </w:rPr>
        <w:t>A-1</w:t>
      </w:r>
    </w:p>
    <w:p>
      <w:pPr>
        <w:spacing w:after="0" w:line="112"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22"/>
          <w:szCs w:val="22"/>
          <w:color w:val="auto"/>
        </w:rPr>
        <w:t>Exhibit B-1: Form of Restricted Note Legend</w:t>
      </w:r>
      <w:r>
        <w:rPr>
          <w:sz w:val="20"/>
          <w:szCs w:val="20"/>
          <w:color w:val="auto"/>
        </w:rPr>
        <w:tab/>
      </w:r>
      <w:r>
        <w:rPr>
          <w:rFonts w:ascii="Times New Roman" w:cs="Times New Roman" w:eastAsia="Times New Roman" w:hAnsi="Times New Roman"/>
          <w:sz w:val="21"/>
          <w:szCs w:val="21"/>
          <w:color w:val="auto"/>
        </w:rPr>
        <w:t>B1-1</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20"/>
          </w:cols>
          <w:pgMar w:left="320" w:top="1440" w:right="359" w:bottom="1440" w:gutter="0" w:footer="0" w:header="0"/>
          <w:type w:val="continuous"/>
        </w:sectPr>
      </w:pPr>
    </w:p>
    <w:bookmarkStart w:id="10" w:name="page11"/>
    <w:bookmarkEnd w:id="10"/>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Exhibit B-2:</w:t>
            </w:r>
          </w:p>
        </w:tc>
        <w:tc>
          <w:tcPr>
            <w:tcW w:w="2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Form of Global Note Legend</w:t>
            </w:r>
          </w:p>
        </w:tc>
        <w:tc>
          <w:tcPr>
            <w:tcW w:w="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B2-1</w:t>
            </w:r>
          </w:p>
        </w:tc>
      </w:tr>
      <w:tr>
        <w:trPr>
          <w:trHeight w:val="364"/>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w w:val="98"/>
              </w:rPr>
              <w:t>Exhibit B-3:</w:t>
            </w:r>
          </w:p>
        </w:tc>
        <w:tc>
          <w:tcPr>
            <w:tcW w:w="27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Form of Non-Affiliate Legend</w:t>
            </w:r>
          </w:p>
        </w:tc>
        <w:tc>
          <w:tcPr>
            <w:tcW w:w="6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5"/>
              </w:rPr>
              <w:t>B3-1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40" w:right="1440" w:bottom="1440" w:gutter="0" w:footer="0" w:header="0"/>
        </w:sectPr>
      </w:pPr>
    </w:p>
    <w:bookmarkStart w:id="11" w:name="page12"/>
    <w:bookmarkEnd w:id="11"/>
    <w:p>
      <w:pPr>
        <w:jc w:val="both"/>
        <w:ind w:right="20" w:firstLine="216"/>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INDENTURE </w:t>
      </w:r>
      <w:r>
        <w:rPr>
          <w:rFonts w:ascii="Times New Roman" w:cs="Times New Roman" w:eastAsia="Times New Roman" w:hAnsi="Times New Roman"/>
          <w:sz w:val="22"/>
          <w:szCs w:val="22"/>
          <w:color w:val="auto"/>
        </w:rPr>
        <w:t>, dated as of May 5, 2026, among Amkor Technology, Inc., a Delaware 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Guardian Assets, Inc., a Delaware corporation, as guarantor, and U.S. Bank Trust Company, National Association,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both"/>
        <w:ind w:right="20" w:firstLine="303"/>
        <w:spacing w:after="0" w:line="271" w:lineRule="auto"/>
        <w:rPr>
          <w:sz w:val="20"/>
          <w:szCs w:val="20"/>
          <w:color w:val="auto"/>
        </w:rPr>
      </w:pPr>
      <w:r>
        <w:rPr>
          <w:rFonts w:ascii="Times New Roman" w:cs="Times New Roman" w:eastAsia="Times New Roman" w:hAnsi="Times New Roman"/>
          <w:sz w:val="22"/>
          <w:szCs w:val="22"/>
          <w:color w:val="auto"/>
        </w:rPr>
        <w:t>Each party to this Indenture (as defined below) agrees as follows for the benefit of the other parties and for the equal and ratable benefit of the Holders (as defined below) of the Company’s 0.00% Convertible Senior Notes due 2031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color w:val="auto"/>
        </w:rPr>
        <w:t>DEFINITIONS; RULES OF CONSTRUCTION</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1.01.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220" w:lineRule="exact"/>
        <w:rPr>
          <w:sz w:val="20"/>
          <w:szCs w:val="20"/>
          <w:color w:val="auto"/>
        </w:rPr>
      </w:pPr>
    </w:p>
    <w:p>
      <w:pPr>
        <w:jc w:val="both"/>
        <w:ind w:firstLine="283"/>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2033 Notes</w:t>
      </w:r>
      <w:r>
        <w:rPr>
          <w:rFonts w:ascii="Times New Roman" w:cs="Times New Roman" w:eastAsia="Times New Roman" w:hAnsi="Times New Roman"/>
          <w:sz w:val="22"/>
          <w:szCs w:val="22"/>
          <w:color w:val="auto"/>
        </w:rPr>
        <w:t>” means the Company’s 5.875% senior notes due 2033, as the same may be (A) amended, extended, renewed, restated, supplemented or otherwise modified from time to time; or (B) refinanced in the form of new Capital Markets Indebtedness.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xml:space="preserve">” means any interest that accrues on any Note pursuant to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has the meaning set forth in Rule 144 as in effect on the Issue Date.</w:t>
      </w:r>
    </w:p>
    <w:p>
      <w:pPr>
        <w:spacing w:after="0" w:line="247"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Authorized Denomination</w:t>
      </w:r>
      <w:r>
        <w:rPr>
          <w:rFonts w:ascii="Times New Roman" w:cs="Times New Roman" w:eastAsia="Times New Roman" w:hAnsi="Times New Roman"/>
          <w:sz w:val="22"/>
          <w:szCs w:val="22"/>
          <w:color w:val="auto"/>
        </w:rPr>
        <w:t>” means, with respect to a Note, a principal amount thereof equal to $1,000 or any integral multiple of $1,000 in excess thereof.</w:t>
      </w:r>
    </w:p>
    <w:p>
      <w:pPr>
        <w:spacing w:after="0" w:line="190" w:lineRule="exact"/>
        <w:rPr>
          <w:sz w:val="20"/>
          <w:szCs w:val="20"/>
          <w:color w:val="auto"/>
        </w:rPr>
      </w:pPr>
    </w:p>
    <w:p>
      <w:pPr>
        <w:jc w:val="both"/>
        <w:ind w:firstLine="25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w:t>
      </w:r>
      <w:r>
        <w:rPr>
          <w:rFonts w:ascii="Times New Roman" w:cs="Times New Roman" w:eastAsia="Times New Roman" w:hAnsi="Times New Roman"/>
          <w:sz w:val="22"/>
          <w:szCs w:val="22"/>
          <w:color w:val="auto"/>
        </w:rPr>
        <w:t>” means Title 11, United States Code, or any similar U.S. federal or state or non-U.S. law for the relief of debtors.</w:t>
      </w:r>
    </w:p>
    <w:p>
      <w:pPr>
        <w:spacing w:after="0" w:line="176"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 Solicitation Agent</w:t>
      </w:r>
      <w:r>
        <w:rPr>
          <w:rFonts w:ascii="Times New Roman" w:cs="Times New Roman" w:eastAsia="Times New Roman" w:hAnsi="Times New Roman"/>
          <w:sz w:val="22"/>
          <w:szCs w:val="22"/>
          <w:color w:val="auto"/>
        </w:rPr>
        <w:t xml:space="preserve">” means the Person who is required to obtain bids for the Trading Price in accordance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5.01(C)(i)(2) </w:t>
      </w:r>
      <w:r>
        <w:rPr>
          <w:rFonts w:ascii="Times New Roman" w:cs="Times New Roman" w:eastAsia="Times New Roman" w:hAnsi="Times New Roman"/>
          <w:sz w:val="22"/>
          <w:szCs w:val="22"/>
          <w:color w:val="auto"/>
        </w:rPr>
        <w:t>and the definition of “Trading Price.” The initial Bid Solicitation Agent on the Issue Date will be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may appoint any other Person (including any of the Company’s Subsidiaries) to be the Bid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Solicitation Agent at any time after the Issue Date without prior notice.</w:t>
      </w:r>
    </w:p>
    <w:p>
      <w:pPr>
        <w:spacing w:after="0" w:line="195" w:lineRule="exact"/>
        <w:rPr>
          <w:sz w:val="20"/>
          <w:szCs w:val="20"/>
          <w:color w:val="auto"/>
        </w:rPr>
      </w:pPr>
    </w:p>
    <w:p>
      <w:pPr>
        <w:jc w:val="both"/>
        <w:ind w:right="20" w:firstLine="27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the board of directors of the Company or a committee of such board duly authorized to act on behalf of such board.</w:t>
      </w:r>
    </w:p>
    <w:p>
      <w:pPr>
        <w:spacing w:after="0" w:line="176" w:lineRule="exact"/>
        <w:rPr>
          <w:sz w:val="20"/>
          <w:szCs w:val="20"/>
          <w:color w:val="auto"/>
        </w:rPr>
      </w:pPr>
    </w:p>
    <w:p>
      <w:pPr>
        <w:jc w:val="both"/>
        <w:ind w:firstLine="21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a Sunday or any day on which the Federal Reserve Bank of New York is authorized or required by law or executive order to close or be closed.</w:t>
      </w:r>
    </w:p>
    <w:p>
      <w:pPr>
        <w:spacing w:after="0" w:line="190" w:lineRule="exact"/>
        <w:rPr>
          <w:sz w:val="20"/>
          <w:szCs w:val="20"/>
          <w:color w:val="auto"/>
        </w:rPr>
      </w:pPr>
    </w:p>
    <w:p>
      <w:pPr>
        <w:jc w:val="both"/>
        <w:ind w:firstLine="337"/>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Markets Indebtedness</w:t>
      </w:r>
      <w:r>
        <w:rPr>
          <w:rFonts w:ascii="Times New Roman" w:cs="Times New Roman" w:eastAsia="Times New Roman" w:hAnsi="Times New Roman"/>
          <w:sz w:val="22"/>
          <w:szCs w:val="22"/>
          <w:color w:val="auto"/>
        </w:rPr>
        <w:t>” of any Person means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2"/>
          <w:szCs w:val="22"/>
          <w:color w:val="auto"/>
        </w:rPr>
        <w:t>SEC. The term “Capital Markets Indebtedness” will not, for the avoidance of doubt, be construed to include any indebtedness issued to institutional investors in a direct placement of such indebtedness that is not resold by an intermediary (it being understood that, without limiting the foregoing, a financing that is distributed to not more than ten (10) Persons (provided that multiple managed accounts and Affiliates of any such Persons shall be treated as one Person for the purposes of this definition) will be deemed not to be so underwritten or resold), or any indebtedness under the Company’s credit facilities as of the Issue Date as described in the Company’s preliminary offering memorandum, dated April 30, 2026 (or similar credit facilities incurred from time to time), capitalized lease obligation or recourse transfer of any financial asset or any other type of indebtedness incurred in a manner not customarily viewed as a “securities offering.”</w:t>
      </w:r>
    </w:p>
    <w:p>
      <w:pPr>
        <w:spacing w:after="0" w:line="218" w:lineRule="exact"/>
        <w:rPr>
          <w:sz w:val="20"/>
          <w:szCs w:val="20"/>
          <w:color w:val="auto"/>
        </w:rPr>
      </w:pPr>
    </w:p>
    <w:p>
      <w:pPr>
        <w:jc w:val="both"/>
        <w:ind w:firstLine="391"/>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means the common stock, $0.001 par value per share, of the Company, subject to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right="20" w:firstLine="25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means the Person named as such in the first paragraph of this Indenture and, subject to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its successors and assigns.</w:t>
      </w:r>
    </w:p>
    <w:p>
      <w:pPr>
        <w:spacing w:after="0" w:line="176" w:lineRule="exact"/>
        <w:rPr>
          <w:sz w:val="20"/>
          <w:szCs w:val="20"/>
          <w:color w:val="auto"/>
        </w:rPr>
      </w:pPr>
    </w:p>
    <w:p>
      <w:pPr>
        <w:jc w:val="both"/>
        <w:ind w:firstLine="22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request or order signed on behalf of the Company by one (1) of its Officers and delivered to the Trustee.</w:t>
      </w:r>
    </w:p>
    <w:p>
      <w:pPr>
        <w:spacing w:after="0" w:line="17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xml:space="preserve">” means, with respect to any Note, the conversion of such note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into Conversion Consideration. The terms “Convert,” “Converted,” “Convertible,” “Converting” and similar capitalized terms have meanings correlative to the foregoing.</w:t>
      </w:r>
    </w:p>
    <w:p>
      <w:pPr>
        <w:spacing w:after="0" w:line="188" w:lineRule="exact"/>
        <w:rPr>
          <w:sz w:val="20"/>
          <w:szCs w:val="20"/>
          <w:color w:val="auto"/>
        </w:rPr>
      </w:pPr>
    </w:p>
    <w:p>
      <w:pPr>
        <w:jc w:val="both"/>
        <w:ind w:firstLine="31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xml:space="preserve">” means, with respect to a Note, the first Business Day on which the requirements set forth in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5.02(A) </w:t>
      </w:r>
      <w:r>
        <w:rPr>
          <w:rFonts w:ascii="Times New Roman" w:cs="Times New Roman" w:eastAsia="Times New Roman" w:hAnsi="Times New Roman"/>
          <w:sz w:val="22"/>
          <w:szCs w:val="22"/>
          <w:color w:val="auto"/>
        </w:rPr>
        <w:t>to Convert such Note are satisfied, subject to</w:t>
      </w:r>
      <w:r>
        <w:rPr>
          <w:rFonts w:ascii="Times New Roman" w:cs="Times New Roman" w:eastAsia="Times New Roman" w:hAnsi="Times New Roman"/>
          <w:sz w:val="22"/>
          <w:szCs w:val="22"/>
          <w:b w:val="1"/>
          <w:bCs w:val="1"/>
          <w:color w:val="auto"/>
        </w:rPr>
        <w:t xml:space="preserve"> Section 5.03(C)</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37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xml:space="preserve">” means, as of any time, an amount equal to (A) one thousand dollars ($1,000)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Conversion Rate in effect at such time.</w:t>
      </w:r>
    </w:p>
    <w:p>
      <w:pPr>
        <w:spacing w:after="0" w:line="164"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xml:space="preserve">” initially means 9.4013 shares of Common Stock per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Conversion Rate is subject to adjustment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whenever this Indenture refers to the Conversion Rate as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71" w:lineRule="auto"/>
        <w:rPr>
          <w:sz w:val="20"/>
          <w:szCs w:val="20"/>
          <w:color w:val="auto"/>
        </w:rPr>
      </w:pPr>
      <w:r>
        <w:rPr>
          <w:rFonts w:ascii="Times New Roman" w:cs="Times New Roman" w:eastAsia="Times New Roman" w:hAnsi="Times New Roman"/>
          <w:sz w:val="22"/>
          <w:szCs w:val="22"/>
          <w:color w:val="auto"/>
        </w:rPr>
        <w:t>particular date without setting forth a particular time on such date, such reference will be deemed to be to the Conversion Rate immediately after the Close of Business on such date.</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Share</w:t>
      </w:r>
      <w:r>
        <w:rPr>
          <w:rFonts w:ascii="Times New Roman" w:cs="Times New Roman" w:eastAsia="Times New Roman" w:hAnsi="Times New Roman"/>
          <w:sz w:val="22"/>
          <w:szCs w:val="22"/>
          <w:color w:val="auto"/>
        </w:rPr>
        <w:t>” means any share of Common Stock issued or issuable upon Conversion of any Note.</w:t>
      </w:r>
    </w:p>
    <w:p>
      <w:pPr>
        <w:spacing w:after="0" w:line="260" w:lineRule="exact"/>
        <w:rPr>
          <w:sz w:val="20"/>
          <w:szCs w:val="20"/>
          <w:color w:val="auto"/>
        </w:rPr>
      </w:pPr>
    </w:p>
    <w:p>
      <w:pPr>
        <w:jc w:val="both"/>
        <w:ind w:firstLine="22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Cash Amount</w:t>
      </w:r>
      <w:r>
        <w:rPr>
          <w:rFonts w:ascii="Times New Roman" w:cs="Times New Roman" w:eastAsia="Times New Roman" w:hAnsi="Times New Roman"/>
          <w:sz w:val="22"/>
          <w:szCs w:val="22"/>
          <w:color w:val="auto"/>
        </w:rPr>
        <w:t>” means, with respect to any VWAP Trading Day, the lesser of (A) the applicable Daily Maximum Cash Amount; and (B) the Daily Conversion Value for such VWAP Trading Day.</w:t>
      </w:r>
    </w:p>
    <w:p>
      <w:pPr>
        <w:spacing w:after="0" w:line="176"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Conversion Value</w:t>
      </w:r>
      <w:r>
        <w:rPr>
          <w:rFonts w:ascii="Times New Roman" w:cs="Times New Roman" w:eastAsia="Times New Roman" w:hAnsi="Times New Roman"/>
          <w:sz w:val="22"/>
          <w:szCs w:val="22"/>
          <w:color w:val="auto"/>
        </w:rPr>
        <w:t>” means, with respect to any VWAP Trading Day, one-twentieth (1/20th) of the product of (A) the Conversion Rate on such VWAP Trading Day; and (B) the Daily VWAP per share of Common Stock on such VWAP Trading Day.</w:t>
      </w:r>
    </w:p>
    <w:p>
      <w:pPr>
        <w:spacing w:after="0" w:line="207" w:lineRule="exact"/>
        <w:rPr>
          <w:sz w:val="20"/>
          <w:szCs w:val="20"/>
          <w:color w:val="auto"/>
        </w:rPr>
      </w:pPr>
    </w:p>
    <w:p>
      <w:pPr>
        <w:jc w:val="both"/>
        <w:ind w:firstLine="25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Maximum Cash Amount</w:t>
      </w:r>
      <w:r>
        <w:rPr>
          <w:rFonts w:ascii="Times New Roman" w:cs="Times New Roman" w:eastAsia="Times New Roman" w:hAnsi="Times New Roman"/>
          <w:sz w:val="22"/>
          <w:szCs w:val="22"/>
          <w:color w:val="auto"/>
        </w:rPr>
        <w:t>” means, with respect to the Conversion of any Note, the quotient obtained by dividing (A) the Specified Dollar Amount applicable to such Conversion by (B) twenty (20).</w:t>
      </w:r>
    </w:p>
    <w:p>
      <w:pPr>
        <w:spacing w:after="0" w:line="176" w:lineRule="exact"/>
        <w:rPr>
          <w:sz w:val="20"/>
          <w:szCs w:val="20"/>
          <w:color w:val="auto"/>
        </w:rPr>
      </w:pPr>
    </w:p>
    <w:p>
      <w:pPr>
        <w:jc w:val="both"/>
        <w:ind w:firstLine="25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Share Amount</w:t>
      </w:r>
      <w:r>
        <w:rPr>
          <w:rFonts w:ascii="Times New Roman" w:cs="Times New Roman" w:eastAsia="Times New Roman" w:hAnsi="Times New Roman"/>
          <w:sz w:val="22"/>
          <w:szCs w:val="22"/>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216" w:lineRule="exact"/>
        <w:rPr>
          <w:sz w:val="20"/>
          <w:szCs w:val="20"/>
          <w:color w:val="auto"/>
        </w:rPr>
      </w:pPr>
    </w:p>
    <w:p>
      <w:pPr>
        <w:jc w:val="both"/>
        <w:ind w:firstLine="270"/>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VWAP</w:t>
      </w:r>
      <w:r>
        <w:rPr>
          <w:rFonts w:ascii="Times New Roman" w:cs="Times New Roman" w:eastAsia="Times New Roman" w:hAnsi="Times New Roman"/>
          <w:sz w:val="22"/>
          <w:szCs w:val="22"/>
          <w:color w:val="auto"/>
        </w:rPr>
        <w:t>” means, for any VWAP Trading Day, the per share volume-weighted average price of the Common Stock as displayed under the heading “Bloomberg VWAP” on Bloomberg page “AMKR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209"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De-Legending Deadline Date</w:t>
      </w:r>
      <w:r>
        <w:rPr>
          <w:rFonts w:ascii="Times New Roman" w:cs="Times New Roman" w:eastAsia="Times New Roman" w:hAnsi="Times New Roman"/>
          <w:sz w:val="22"/>
          <w:szCs w:val="22"/>
          <w:color w:val="auto"/>
        </w:rPr>
        <w:t xml:space="preserve">” means, with respect to any Note, the fifteenth (15th) day after the Free Trade Date of such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De-Legending Deadline Date determined as aforesaid would be after an Interest Record Date and before the fifth (5th) Business Day immediately after the next Interest Payment Date, then the De-Legending Deadline Date for such Note will instead be the fifth (5th) Business Day immediately after such Interest Payment Date.</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event that is (or, after notice,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4" w:name="page15"/>
    <w:bookmarkEnd w:id="14"/>
    <w:p>
      <w:pPr>
        <w:spacing w:after="0" w:line="221"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Settlement Method</w:t>
      </w:r>
      <w:r>
        <w:rPr>
          <w:rFonts w:ascii="Times New Roman" w:cs="Times New Roman" w:eastAsia="Times New Roman" w:hAnsi="Times New Roman"/>
          <w:sz w:val="22"/>
          <w:szCs w:val="22"/>
          <w:color w:val="auto"/>
        </w:rPr>
        <w:t xml:space="preserve">” means Combination Settlement with a Specified Dollar Amount of $1,000 per $1,000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(x) subject to </w:t>
      </w:r>
      <w:r>
        <w:rPr>
          <w:rFonts w:ascii="Times New Roman" w:cs="Times New Roman" w:eastAsia="Times New Roman" w:hAnsi="Times New Roman"/>
          <w:sz w:val="22"/>
          <w:szCs w:val="22"/>
          <w:b w:val="1"/>
          <w:bCs w:val="1"/>
          <w:color w:val="auto"/>
        </w:rPr>
        <w:t>Section 5.03(A)(iii)</w:t>
      </w:r>
      <w:r>
        <w:rPr>
          <w:rFonts w:ascii="Times New Roman" w:cs="Times New Roman" w:eastAsia="Times New Roman" w:hAnsi="Times New Roman"/>
          <w:sz w:val="22"/>
          <w:szCs w:val="22"/>
          <w:color w:val="auto"/>
        </w:rPr>
        <w:t xml:space="preserve">, the Company may, from time to time, change the Default Settlement Method, to any Settlement Method that the Company is then permitted to elect, by sending notice of the new Default Settlement Method to the Holders, the Trustee and the Conversion Agent; and (y) the Default Settlement Method will be subject to </w:t>
      </w:r>
      <w:r>
        <w:rPr>
          <w:rFonts w:ascii="Times New Roman" w:cs="Times New Roman" w:eastAsia="Times New Roman" w:hAnsi="Times New Roman"/>
          <w:sz w:val="22"/>
          <w:szCs w:val="22"/>
          <w:b w:val="1"/>
          <w:bCs w:val="1"/>
          <w:color w:val="auto"/>
        </w:rPr>
        <w:t>Section 5.03(A)(ii)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The Depository Trust Company or its successor.</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Participant</w:t>
      </w:r>
      <w:r>
        <w:rPr>
          <w:rFonts w:ascii="Times New Roman" w:cs="Times New Roman" w:eastAsia="Times New Roman" w:hAnsi="Times New Roman"/>
          <w:sz w:val="22"/>
          <w:szCs w:val="22"/>
          <w:color w:val="auto"/>
        </w:rPr>
        <w:t>” means any member of, or participant in, the Depositary.</w:t>
      </w:r>
    </w:p>
    <w:p>
      <w:pPr>
        <w:spacing w:after="0" w:line="247" w:lineRule="exact"/>
        <w:rPr>
          <w:sz w:val="20"/>
          <w:szCs w:val="20"/>
          <w:color w:val="auto"/>
        </w:rPr>
      </w:pPr>
    </w:p>
    <w:p>
      <w:pPr>
        <w:jc w:val="both"/>
        <w:ind w:firstLine="256"/>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 Procedures</w:t>
      </w:r>
      <w:r>
        <w:rPr>
          <w:rFonts w:ascii="Times New Roman" w:cs="Times New Roman" w:eastAsia="Times New Roman" w:hAnsi="Times New Roman"/>
          <w:sz w:val="22"/>
          <w:szCs w:val="22"/>
          <w:color w:val="auto"/>
        </w:rPr>
        <w:t>” means, with respect to any Conversion, transfer, exchange or other transaction involving a Global Note or any beneficial interest therein, the rules and procedures of the Depositary applicable to such Conversion, transfer, exchange or transaction.</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Subsidiary</w:t>
      </w:r>
      <w:r>
        <w:rPr>
          <w:rFonts w:ascii="Times New Roman" w:cs="Times New Roman" w:eastAsia="Times New Roman" w:hAnsi="Times New Roman"/>
          <w:sz w:val="22"/>
          <w:szCs w:val="22"/>
          <w:color w:val="auto"/>
        </w:rPr>
        <w:t>” means each Subsidiary of the Company other than any Foreign Subsidiary.</w:t>
      </w:r>
    </w:p>
    <w:p>
      <w:pPr>
        <w:spacing w:after="0" w:line="247"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Ex-Dividend Date</w:t>
      </w:r>
      <w:r>
        <w:rPr>
          <w:rFonts w:ascii="Times New Roman" w:cs="Times New Roman" w:eastAsia="Times New Roman" w:hAnsi="Times New Roman"/>
          <w:sz w:val="21"/>
          <w:szCs w:val="21"/>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47" w:lineRule="exact"/>
        <w:rPr>
          <w:sz w:val="20"/>
          <w:szCs w:val="20"/>
          <w:color w:val="auto"/>
        </w:rPr>
      </w:pPr>
    </w:p>
    <w:p>
      <w:pPr>
        <w:jc w:val="both"/>
        <w:ind w:firstLine="33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Exempted Fundamental Change</w:t>
      </w:r>
      <w:r>
        <w:rPr>
          <w:rFonts w:ascii="Times New Roman" w:cs="Times New Roman" w:eastAsia="Times New Roman" w:hAnsi="Times New Roman"/>
          <w:sz w:val="22"/>
          <w:szCs w:val="22"/>
          <w:color w:val="auto"/>
        </w:rPr>
        <w:t xml:space="preserve">” means any Fundamental Change with respect to which, in accordance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4.02(I)</w:t>
      </w:r>
      <w:r>
        <w:rPr>
          <w:rFonts w:ascii="Times New Roman" w:cs="Times New Roman" w:eastAsia="Times New Roman" w:hAnsi="Times New Roman"/>
          <w:sz w:val="22"/>
          <w:szCs w:val="22"/>
          <w:color w:val="auto"/>
        </w:rPr>
        <w:t>, the Company does not offer to repurchase any Notes.</w:t>
      </w:r>
    </w:p>
    <w:p>
      <w:pPr>
        <w:spacing w:after="0" w:line="190" w:lineRule="exact"/>
        <w:rPr>
          <w:sz w:val="20"/>
          <w:szCs w:val="20"/>
          <w:color w:val="auto"/>
        </w:rPr>
      </w:pPr>
    </w:p>
    <w:p>
      <w:pPr>
        <w:jc w:val="both"/>
        <w:ind w:firstLine="21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Foreign Subsidiary</w:t>
      </w:r>
      <w:r>
        <w:rPr>
          <w:rFonts w:ascii="Times New Roman" w:cs="Times New Roman" w:eastAsia="Times New Roman" w:hAnsi="Times New Roman"/>
          <w:sz w:val="21"/>
          <w:szCs w:val="21"/>
          <w:color w:val="auto"/>
        </w:rPr>
        <w:t>” means (A) any Subsidiary of the Company (i) that has no material assets other than Capital Stock in one or more Foreign Subsidiaries or (ii) that is not a United States person within the meaning of Section 7701(a)(30) of the Code or</w:t>
      </w:r>
    </w:p>
    <w:p>
      <w:pPr>
        <w:spacing w:after="0" w:line="2" w:lineRule="exact"/>
        <w:rPr>
          <w:sz w:val="20"/>
          <w:szCs w:val="20"/>
          <w:color w:val="auto"/>
        </w:rPr>
      </w:pPr>
    </w:p>
    <w:p>
      <w:pPr>
        <w:ind w:firstLine="8"/>
        <w:spacing w:after="0" w:line="248" w:lineRule="auto"/>
        <w:tabs>
          <w:tab w:leader="none" w:pos="37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Subsidiary of the Company, for so long as such Subsidiary would not be able to execute a guaranty or pledge without creating an investment in United States property (within the meaning of Section 956 of the Code).</w:t>
      </w:r>
    </w:p>
    <w:p>
      <w:pPr>
        <w:spacing w:after="0" w:line="205" w:lineRule="exact"/>
        <w:rPr>
          <w:sz w:val="20"/>
          <w:szCs w:val="20"/>
          <w:color w:val="auto"/>
        </w:rPr>
      </w:pPr>
    </w:p>
    <w:p>
      <w:pPr>
        <w:jc w:val="both"/>
        <w:ind w:firstLine="270"/>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 Trade Date</w:t>
      </w:r>
      <w:r>
        <w:rPr>
          <w:rFonts w:ascii="Times New Roman" w:cs="Times New Roman" w:eastAsia="Times New Roman" w:hAnsi="Times New Roman"/>
          <w:sz w:val="22"/>
          <w:szCs w:val="22"/>
          <w:color w:val="auto"/>
        </w:rPr>
        <w:t>” means, with respect to any Note, the date that is one (1) year after the Last Original Issue Date of such Note.</w:t>
      </w:r>
    </w:p>
    <w:p>
      <w:pPr>
        <w:spacing w:after="0" w:line="164" w:lineRule="exact"/>
        <w:rPr>
          <w:sz w:val="20"/>
          <w:szCs w:val="20"/>
          <w:color w:val="auto"/>
        </w:rPr>
      </w:pPr>
    </w:p>
    <w:p>
      <w:pPr>
        <w:jc w:val="both"/>
        <w:ind w:firstLine="364"/>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Freely Tradable</w:t>
      </w:r>
      <w:r>
        <w:rPr>
          <w:rFonts w:ascii="Times New Roman" w:cs="Times New Roman" w:eastAsia="Times New Roman" w:hAnsi="Times New Roman"/>
          <w:sz w:val="22"/>
          <w:szCs w:val="22"/>
          <w:color w:val="auto"/>
        </w:rPr>
        <w:t>” means, with respect to any Note, that such Note would be eligible to be offered, sold or otherwise transferred pursuant to Rule 144 or otherwise if held by a Person that is not an Affiliate of the Company, and that has not been an Affiliate of the Company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from and after the De-Legending Deadline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means any of the following events:</w:t>
      </w:r>
    </w:p>
    <w:p>
      <w:pPr>
        <w:spacing w:after="0" w:line="224" w:lineRule="exact"/>
        <w:rPr>
          <w:sz w:val="20"/>
          <w:szCs w:val="20"/>
          <w:color w:val="auto"/>
        </w:rPr>
      </w:pPr>
    </w:p>
    <w:p>
      <w:pPr>
        <w:jc w:val="both"/>
        <w:ind w:firstLine="656"/>
        <w:spacing w:after="0" w:line="263" w:lineRule="auto"/>
        <w:tabs>
          <w:tab w:leader="none" w:pos="1316"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 “person” or “group” (within the meaning of Section 13(d)(3) of the Exchange Act) (other than (w) the Company, (x) its Wholly Owned Subsidiaries, (y) any employee benefit plans of the Company or its Wholly Owned Subsidiaries or (z) any Permitted Holder) files any report with the SEC indicating that such person or group has become the direct or indirect “beneficial owner” (as defined below) of shares of the Common Stock representing more than fifty percent (50%) of the voting power of all of the Common Stock; or (ii) any Permitted Holder files (or Permitted Holders file) any report (or reports) with the SEC indicating that such Permitted Holder has (or Permitted Holders have) become the direct or indirect beneficial owner of shares of the Common Stock representing more than seventy percent (70%) of the voting power of all of the Common Stock;</w:t>
      </w:r>
    </w:p>
    <w:p>
      <w:pPr>
        <w:spacing w:after="0" w:line="172" w:lineRule="exact"/>
        <w:rPr>
          <w:rFonts w:ascii="Times New Roman" w:cs="Times New Roman" w:eastAsia="Times New Roman" w:hAnsi="Times New Roman"/>
          <w:sz w:val="21"/>
          <w:szCs w:val="21"/>
          <w:color w:val="auto"/>
        </w:rPr>
      </w:pPr>
    </w:p>
    <w:p>
      <w:pPr>
        <w:jc w:val="both"/>
        <w:ind w:firstLine="656"/>
        <w:spacing w:after="0" w:line="248" w:lineRule="auto"/>
        <w:tabs>
          <w:tab w:leader="none" w:pos="124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stockholders approve any plan or proposal for the liquidation or dissolution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6" w:name="page17"/>
    <w:bookmarkEnd w:id="16"/>
    <w:p>
      <w:pPr>
        <w:ind w:firstLine="656"/>
        <w:spacing w:after="0" w:line="271" w:lineRule="auto"/>
        <w:tabs>
          <w:tab w:leader="none" w:pos="120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Stock ceases to be listed on any of the New York Stock Exchange, the Nasdaq Global Market or the Nasdaq Global Select Market (or any of their respective successors);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a transaction or event described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above will not constitute a Fundamental Change if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least ninety percent (90%) of the consideration received or to be received by the holders of Common Stock (excluding cash payments for fractional shares or pursuant to dissenters rights), in connection with such transaction or event, consists of shares of common stock or other corporate common equity interests listed (or depositary receipts representing shares of common stock or other corporate common equity interests, which depositary receipts are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205" w:lineRule="exact"/>
        <w:rPr>
          <w:sz w:val="20"/>
          <w:szCs w:val="20"/>
          <w:color w:val="auto"/>
        </w:rPr>
      </w:pPr>
    </w:p>
    <w:p>
      <w:pPr>
        <w:jc w:val="both"/>
        <w:ind w:firstLine="246"/>
        <w:spacing w:after="0" w:line="253" w:lineRule="auto"/>
        <w:rPr>
          <w:sz w:val="20"/>
          <w:szCs w:val="20"/>
          <w:color w:val="auto"/>
        </w:rPr>
      </w:pPr>
      <w:r>
        <w:rPr>
          <w:rFonts w:ascii="Times New Roman" w:cs="Times New Roman" w:eastAsia="Times New Roman" w:hAnsi="Times New Roman"/>
          <w:sz w:val="22"/>
          <w:szCs w:val="22"/>
          <w:color w:val="auto"/>
        </w:rPr>
        <w:t xml:space="preserve">For the purposes of this definition, (x) any transaction or event described in both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b w:val="1"/>
          <w:bCs w:val="1"/>
          <w:color w:val="auto"/>
        </w:rPr>
        <w:t>clause (B)(i)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above (without regard to the proviso in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will be deemed to occur solely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above (subject to such proviso); and (y) whether a Person is a “</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whether shares are “</w:t>
      </w:r>
      <w:r>
        <w:rPr>
          <w:rFonts w:ascii="Times New Roman" w:cs="Times New Roman" w:eastAsia="Times New Roman" w:hAnsi="Times New Roman"/>
          <w:sz w:val="22"/>
          <w:szCs w:val="22"/>
          <w:b w:val="1"/>
          <w:bCs w:val="1"/>
          <w:color w:val="auto"/>
        </w:rPr>
        <w:t>beneficially owned</w:t>
      </w:r>
      <w:r>
        <w:rPr>
          <w:rFonts w:ascii="Times New Roman" w:cs="Times New Roman" w:eastAsia="Times New Roman" w:hAnsi="Times New Roman"/>
          <w:sz w:val="22"/>
          <w:szCs w:val="22"/>
          <w:color w:val="auto"/>
        </w:rPr>
        <w:t>,” and percentage beneficial ownership, will be determined in accordance with Rule 13d-3 under the Exchange Act.</w:t>
      </w:r>
    </w:p>
    <w:p>
      <w:pPr>
        <w:spacing w:after="0" w:line="216" w:lineRule="exact"/>
        <w:rPr>
          <w:sz w:val="20"/>
          <w:szCs w:val="20"/>
          <w:color w:val="auto"/>
        </w:rPr>
      </w:pPr>
    </w:p>
    <w:p>
      <w:pPr>
        <w:jc w:val="both"/>
        <w:ind w:firstLine="229"/>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 means the date fixed for the repurchase of any Notes by the Company pursuant to a Repurchase Upon Fundamental Change.</w:t>
      </w:r>
    </w:p>
    <w:p>
      <w:pPr>
        <w:spacing w:after="0" w:line="176" w:lineRule="exact"/>
        <w:rPr>
          <w:sz w:val="20"/>
          <w:szCs w:val="20"/>
          <w:color w:val="auto"/>
        </w:rPr>
      </w:pPr>
    </w:p>
    <w:p>
      <w:pPr>
        <w:jc w:val="both"/>
        <w:ind w:firstLine="21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Notice</w:t>
      </w:r>
      <w:r>
        <w:rPr>
          <w:rFonts w:ascii="Times New Roman" w:cs="Times New Roman" w:eastAsia="Times New Roman" w:hAnsi="Times New Roman"/>
          <w:sz w:val="22"/>
          <w:szCs w:val="22"/>
          <w:color w:val="auto"/>
        </w:rPr>
        <w:t xml:space="preserve">” means a notice (including a notice substantially in the form of the “Fundamental Change Repurchase Notice”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containing the information, or otherwise complying with the requirements, set forth in </w:t>
      </w:r>
      <w:r>
        <w:rPr>
          <w:rFonts w:ascii="Times New Roman" w:cs="Times New Roman" w:eastAsia="Times New Roman" w:hAnsi="Times New Roman"/>
          <w:sz w:val="22"/>
          <w:szCs w:val="22"/>
          <w:b w:val="1"/>
          <w:bCs w:val="1"/>
          <w:color w:val="auto"/>
        </w:rPr>
        <w:t>Section 4.02(F)(i)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4.02(F)(ii)</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ind w:firstLine="27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Price</w:t>
      </w:r>
      <w:r>
        <w:rPr>
          <w:rFonts w:ascii="Times New Roman" w:cs="Times New Roman" w:eastAsia="Times New Roman" w:hAnsi="Times New Roman"/>
          <w:sz w:val="22"/>
          <w:szCs w:val="22"/>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w:t>
      </w:r>
      <w:r>
        <w:rPr>
          <w:rFonts w:ascii="Times New Roman" w:cs="Times New Roman" w:eastAsia="Times New Roman" w:hAnsi="Times New Roman"/>
          <w:sz w:val="22"/>
          <w:szCs w:val="22"/>
          <w:color w:val="auto"/>
        </w:rPr>
        <w:t xml:space="preserve">” means a Note that is represented by a certificate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Depositary or its nominee, duly executed by the Company and authenticated by the Trustee, and deposited with the Trustee, as custodian for the Depositary.</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Note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B-2</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w:t>
      </w:r>
      <w:r>
        <w:rPr>
          <w:rFonts w:ascii="Times New Roman" w:cs="Times New Roman" w:eastAsia="Times New Roman" w:hAnsi="Times New Roman"/>
          <w:sz w:val="22"/>
          <w:szCs w:val="22"/>
          <w:color w:val="auto"/>
        </w:rPr>
        <w:t xml:space="preserve">” means the guarantee by each Guarantor of the Company’s obligations under this Indenture and the Notes pursuant to </w:t>
      </w:r>
      <w:r>
        <w:rPr>
          <w:rFonts w:ascii="Times New Roman" w:cs="Times New Roman" w:eastAsia="Times New Roman" w:hAnsi="Times New Roman"/>
          <w:sz w:val="22"/>
          <w:szCs w:val="22"/>
          <w:b w:val="1"/>
          <w:bCs w:val="1"/>
          <w:color w:val="auto"/>
        </w:rPr>
        <w:t>Article 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7" w:name="page18"/>
    <w:bookmarkEnd w:id="17"/>
    <w:p>
      <w:pPr>
        <w:jc w:val="both"/>
        <w:ind w:firstLine="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xml:space="preserve">” means each Person named as such in the first paragraph of this Indenture, each other Person that becomes a Guarantor by executing an amended or supplemental indenture pursuant to </w:t>
      </w:r>
      <w:r>
        <w:rPr>
          <w:rFonts w:ascii="Times New Roman" w:cs="Times New Roman" w:eastAsia="Times New Roman" w:hAnsi="Times New Roman"/>
          <w:sz w:val="22"/>
          <w:szCs w:val="22"/>
          <w:b w:val="1"/>
          <w:bCs w:val="1"/>
          <w:color w:val="auto"/>
        </w:rPr>
        <w:t>Sections 8.01(B)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9.05</w:t>
      </w:r>
      <w:r>
        <w:rPr>
          <w:rFonts w:ascii="Times New Roman" w:cs="Times New Roman" w:eastAsia="Times New Roman" w:hAnsi="Times New Roman"/>
          <w:sz w:val="22"/>
          <w:szCs w:val="22"/>
          <w:color w:val="auto"/>
        </w:rPr>
        <w:t xml:space="preserve"> and, subject to </w:t>
      </w:r>
      <w:r>
        <w:rPr>
          <w:rFonts w:ascii="Times New Roman" w:cs="Times New Roman" w:eastAsia="Times New Roman" w:hAnsi="Times New Roman"/>
          <w:sz w:val="22"/>
          <w:szCs w:val="22"/>
          <w:b w:val="1"/>
          <w:bCs w:val="1"/>
          <w:color w:val="auto"/>
        </w:rPr>
        <w:t>Section 9.04</w:t>
      </w:r>
      <w:r>
        <w:rPr>
          <w:rFonts w:ascii="Times New Roman" w:cs="Times New Roman" w:eastAsia="Times New Roman" w:hAnsi="Times New Roman"/>
          <w:sz w:val="22"/>
          <w:szCs w:val="22"/>
          <w:color w:val="auto"/>
        </w:rPr>
        <w:t>, the successors and assigns of the foregoing.</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a person in whose name a Note is registered on the Registrar’s books.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means the several purchasers named in Schedule I to the Purchase Agreement.</w:t>
      </w:r>
    </w:p>
    <w:p>
      <w:pPr>
        <w:spacing w:after="0" w:line="247" w:lineRule="exact"/>
        <w:rPr>
          <w:sz w:val="20"/>
          <w:szCs w:val="20"/>
          <w:color w:val="auto"/>
        </w:rPr>
      </w:pPr>
    </w:p>
    <w:p>
      <w:pPr>
        <w:jc w:val="both"/>
        <w:ind w:firstLine="21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 with respect to a Note, each January 15 and July 15 of each year. For the avoidance of doubt, the Maturity Date is an Interest Payment Date.</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Record Date</w:t>
      </w:r>
      <w:r>
        <w:rPr>
          <w:rFonts w:ascii="Times New Roman" w:cs="Times New Roman" w:eastAsia="Times New Roman" w:hAnsi="Times New Roman"/>
          <w:sz w:val="22"/>
          <w:szCs w:val="22"/>
          <w:color w:val="auto"/>
        </w:rPr>
        <w:t>” has the following meaning with respect to an Interest Payment Date: (A) if such Interest Payment Date occurs on January 15, the immediately preceding January 1; and (B) if such Interest Payment Date occurs on July 15, the immediately preceding July 1.</w:t>
      </w:r>
    </w:p>
    <w:p>
      <w:pPr>
        <w:spacing w:after="0" w:line="1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Issue Date</w:t>
      </w:r>
      <w:r>
        <w:rPr>
          <w:rFonts w:ascii="Times New Roman" w:cs="Times New Roman" w:eastAsia="Times New Roman" w:hAnsi="Times New Roman"/>
          <w:sz w:val="22"/>
          <w:szCs w:val="22"/>
          <w:color w:val="auto"/>
        </w:rPr>
        <w:t>” means May 5, 2026.</w:t>
      </w:r>
    </w:p>
    <w:p>
      <w:pPr>
        <w:spacing w:after="0" w:line="247" w:lineRule="exact"/>
        <w:rPr>
          <w:sz w:val="20"/>
          <w:szCs w:val="20"/>
          <w:color w:val="auto"/>
        </w:rPr>
      </w:pPr>
    </w:p>
    <w:p>
      <w:pPr>
        <w:jc w:val="both"/>
        <w:ind w:firstLine="25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Original Issue Date</w:t>
      </w:r>
      <w:r>
        <w:rPr>
          <w:rFonts w:ascii="Times New Roman" w:cs="Times New Roman" w:eastAsia="Times New Roman" w:hAnsi="Times New Roman"/>
          <w:sz w:val="22"/>
          <w:szCs w:val="22"/>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205" w:lineRule="exact"/>
        <w:rPr>
          <w:sz w:val="20"/>
          <w:szCs w:val="20"/>
          <w:color w:val="auto"/>
        </w:rPr>
      </w:pPr>
    </w:p>
    <w:p>
      <w:pPr>
        <w:jc w:val="both"/>
        <w:ind w:firstLine="31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8" w:right="339" w:bottom="1440" w:gutter="0" w:footer="0" w:header="0"/>
        </w:sectPr>
      </w:pPr>
    </w:p>
    <w:bookmarkStart w:id="18" w:name="page19"/>
    <w:bookmarkEnd w:id="18"/>
    <w:p>
      <w:pPr>
        <w:spacing w:after="0" w:line="271" w:lineRule="auto"/>
        <w:rPr>
          <w:sz w:val="20"/>
          <w:szCs w:val="20"/>
          <w:color w:val="auto"/>
        </w:rPr>
      </w:pPr>
      <w:r>
        <w:rPr>
          <w:rFonts w:ascii="Times New Roman" w:cs="Times New Roman" w:eastAsia="Times New Roman" w:hAnsi="Times New Roman"/>
          <w:sz w:val="22"/>
          <w:szCs w:val="22"/>
          <w:color w:val="auto"/>
        </w:rPr>
        <w:t>selected by the Company, which may be any of the Initial Purchasers. Neither the Trustee nor the Conversion Agent will have any duty to determine the Last Reported Sale Price.</w:t>
      </w:r>
    </w:p>
    <w:p>
      <w:pPr>
        <w:spacing w:after="0" w:line="181" w:lineRule="exact"/>
        <w:rPr>
          <w:sz w:val="20"/>
          <w:szCs w:val="20"/>
          <w:color w:val="auto"/>
        </w:rPr>
      </w:pPr>
    </w:p>
    <w:p>
      <w:pPr>
        <w:ind w:firstLine="351"/>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w:t>
      </w:r>
      <w:r>
        <w:rPr>
          <w:rFonts w:ascii="Times New Roman" w:cs="Times New Roman" w:eastAsia="Times New Roman" w:hAnsi="Times New Roman"/>
          <w:sz w:val="22"/>
          <w:szCs w:val="22"/>
          <w:color w:val="auto"/>
        </w:rPr>
        <w:t xml:space="preserve">” means (A) a Fundamental Change (determined after giving effect to the proviso immediately after </w:t>
      </w:r>
      <w:r>
        <w:rPr>
          <w:rFonts w:ascii="Times New Roman" w:cs="Times New Roman" w:eastAsia="Times New Roman" w:hAnsi="Times New Roman"/>
          <w:sz w:val="22"/>
          <w:szCs w:val="22"/>
          <w:b w:val="1"/>
          <w:bCs w:val="1"/>
          <w:color w:val="auto"/>
        </w:rPr>
        <w:t>clause (D)</w:t>
      </w:r>
      <w:r>
        <w:rPr>
          <w:rFonts w:ascii="Times New Roman" w:cs="Times New Roman" w:eastAsia="Times New Roman" w:hAnsi="Times New Roman"/>
          <w:sz w:val="22"/>
          <w:szCs w:val="22"/>
          <w:color w:val="auto"/>
        </w:rPr>
        <w:t xml:space="preserve"> of the definition thereof, but without regard to the proviso to </w:t>
      </w:r>
      <w:r>
        <w:rPr>
          <w:rFonts w:ascii="Times New Roman" w:cs="Times New Roman" w:eastAsia="Times New Roman" w:hAnsi="Times New Roman"/>
          <w:sz w:val="22"/>
          <w:szCs w:val="22"/>
          <w:b w:val="1"/>
          <w:bCs w:val="1"/>
          <w:color w:val="auto"/>
        </w:rPr>
        <w:t>clause (B)(ii)</w:t>
      </w:r>
      <w:r>
        <w:rPr>
          <w:rFonts w:ascii="Times New Roman" w:cs="Times New Roman" w:eastAsia="Times New Roman" w:hAnsi="Times New Roman"/>
          <w:sz w:val="22"/>
          <w:szCs w:val="22"/>
          <w:color w:val="auto"/>
        </w:rPr>
        <w:t xml:space="preserve"> of such definition); or</w:t>
      </w:r>
    </w:p>
    <w:p>
      <w:pPr>
        <w:jc w:val="both"/>
        <w:ind w:firstLine="8"/>
        <w:spacing w:after="0" w:line="245" w:lineRule="auto"/>
        <w:tabs>
          <w:tab w:leader="none" w:pos="367"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sending of a Redemption Notice pursuant to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b w:val="1"/>
          <w:bCs w:val="1"/>
          <w:color w:val="auto"/>
        </w:rPr>
        <w:t>Section 4.03(I)</w:t>
      </w:r>
      <w:r>
        <w:rPr>
          <w:rFonts w:ascii="Times New Roman" w:cs="Times New Roman" w:eastAsia="Times New Roman" w:hAnsi="Times New Roman"/>
          <w:sz w:val="22"/>
          <w:szCs w:val="22"/>
          <w:color w:val="auto"/>
        </w:rPr>
        <w:t>, the sending of a Redemption Notice will constitute a Make-Whole Fundamental Change only with respect to the Notes called for Redemption pursuant to such Redemption Notice and not with respect to any other Notes.</w:t>
      </w: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Conversion Period</w:t>
      </w:r>
      <w:r>
        <w:rPr>
          <w:rFonts w:ascii="Times New Roman" w:cs="Times New Roman" w:eastAsia="Times New Roman" w:hAnsi="Times New Roman"/>
          <w:sz w:val="22"/>
          <w:szCs w:val="22"/>
          <w:color w:val="auto"/>
        </w:rPr>
        <w:t>” has the following meaning:</w:t>
      </w:r>
    </w:p>
    <w:p>
      <w:pPr>
        <w:spacing w:after="0" w:line="233" w:lineRule="exact"/>
        <w:rPr>
          <w:sz w:val="20"/>
          <w:szCs w:val="20"/>
          <w:color w:val="auto"/>
        </w:rPr>
      </w:pPr>
    </w:p>
    <w:p>
      <w:pPr>
        <w:jc w:val="both"/>
        <w:ind w:firstLine="242"/>
        <w:spacing w:after="0" w:line="251" w:lineRule="auto"/>
        <w:tabs>
          <w:tab w:leader="none" w:pos="76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Make-Whole Fundamental Change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202" w:lineRule="exact"/>
        <w:rPr>
          <w:rFonts w:ascii="Times New Roman" w:cs="Times New Roman" w:eastAsia="Times New Roman" w:hAnsi="Times New Roman"/>
          <w:sz w:val="22"/>
          <w:szCs w:val="22"/>
          <w:color w:val="auto"/>
        </w:rPr>
      </w:pPr>
    </w:p>
    <w:p>
      <w:pPr>
        <w:jc w:val="both"/>
        <w:ind w:firstLine="248"/>
        <w:spacing w:after="0" w:line="265" w:lineRule="auto"/>
        <w:tabs>
          <w:tab w:leader="none" w:pos="76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the period from, and including, the Redemption Notice Date for the related Redemption to, and including, the second (2nd) Business Day immediately before the related Redemption Date;</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Conversion Date for the Conversion of a Note that has been called for Redemption occurs during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Make-Whole Fundamental Change Conversion Period for both a Make-Whole Fundamental Change occurring pursuant to </w:t>
      </w:r>
      <w:r>
        <w:rPr>
          <w:rFonts w:ascii="Times New Roman" w:cs="Times New Roman" w:eastAsia="Times New Roman" w:hAnsi="Times New Roman"/>
          <w:sz w:val="22"/>
          <w:szCs w:val="22"/>
          <w:b w:val="1"/>
          <w:bCs w:val="1"/>
          <w:color w:val="auto"/>
        </w:rPr>
        <w:t xml:space="preserve">clause (A) </w:t>
      </w:r>
      <w:r>
        <w:rPr>
          <w:rFonts w:ascii="Times New Roman" w:cs="Times New Roman" w:eastAsia="Times New Roman" w:hAnsi="Times New Roman"/>
          <w:sz w:val="22"/>
          <w:szCs w:val="22"/>
          <w:color w:val="auto"/>
        </w:rPr>
        <w:t>of the definition of “Make-Whole Fundamental Change” and a Make-Whole Fundamental Change resulting from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Redemption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such definition, then, notwithstanding anything to the contrary in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222"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 Effective Date</w:t>
      </w:r>
      <w:r>
        <w:rPr>
          <w:rFonts w:ascii="Times New Roman" w:cs="Times New Roman" w:eastAsia="Times New Roman" w:hAnsi="Times New Roman"/>
          <w:sz w:val="22"/>
          <w:szCs w:val="22"/>
          <w:color w:val="auto"/>
        </w:rPr>
        <w:t xml:space="preserve">” means (A) with respect to a Make-Whole Fundamental Change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the applicable Redemption Notice Date.</w:t>
      </w:r>
    </w:p>
    <w:p>
      <w:pPr>
        <w:spacing w:after="0" w:line="202" w:lineRule="exact"/>
        <w:rPr>
          <w:sz w:val="20"/>
          <w:szCs w:val="20"/>
          <w:color w:val="auto"/>
        </w:rPr>
      </w:pPr>
    </w:p>
    <w:p>
      <w:pPr>
        <w:jc w:val="both"/>
        <w:ind w:firstLine="297"/>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with respect to any date, the occurrence or existence, during the one-half hour period ending at the scheduled close of trading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22"/>
          <w:szCs w:val="22"/>
          <w:color w:val="auto"/>
        </w:rPr>
        <w:t>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July 15, 2031.</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Non-Affiliate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 Agent</w:t>
      </w:r>
      <w:r>
        <w:rPr>
          <w:rFonts w:ascii="Times New Roman" w:cs="Times New Roman" w:eastAsia="Times New Roman" w:hAnsi="Times New Roman"/>
          <w:sz w:val="22"/>
          <w:szCs w:val="22"/>
          <w:color w:val="auto"/>
        </w:rPr>
        <w:t>” means any Registrar, Paying Agent or Conversion Agent.</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means the 0.00% Convertible Senior Notes due 2031 issued by the Company pursuant to this Indenture.</w:t>
      </w:r>
    </w:p>
    <w:p>
      <w:pPr>
        <w:spacing w:after="0" w:line="260" w:lineRule="exact"/>
        <w:rPr>
          <w:sz w:val="20"/>
          <w:szCs w:val="20"/>
          <w:color w:val="auto"/>
        </w:rPr>
      </w:pPr>
    </w:p>
    <w:p>
      <w:pPr>
        <w:jc w:val="both"/>
        <w:ind w:firstLine="270"/>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Observation Period</w:t>
      </w:r>
      <w:r>
        <w:rPr>
          <w:rFonts w:ascii="Times New Roman" w:cs="Times New Roman" w:eastAsia="Times New Roman" w:hAnsi="Times New Roman"/>
          <w:sz w:val="21"/>
          <w:szCs w:val="21"/>
          <w:color w:val="auto"/>
        </w:rPr>
        <w:t xml:space="preserve">” means, with respect to any Note to be Converted, (A) subject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below, if the Conversion Date for such Note occurs before April 15, 2031, the twenty (20) consecutive VWAP Trading Days beginning on, and including, the second (2nd) VWAP Trading Day immediately after such Conversion Date; (B) if such Conversion Date occurs on or after the date the Company has sent a Redemption Notice calling all or any Notes for Redemption pursuant to </w:t>
      </w:r>
      <w:r>
        <w:rPr>
          <w:rFonts w:ascii="Times New Roman" w:cs="Times New Roman" w:eastAsia="Times New Roman" w:hAnsi="Times New Roman"/>
          <w:sz w:val="21"/>
          <w:szCs w:val="21"/>
          <w:b w:val="1"/>
          <w:bCs w:val="1"/>
          <w:color w:val="auto"/>
        </w:rPr>
        <w:t>Section 4.03(F)</w:t>
      </w:r>
      <w:r>
        <w:rPr>
          <w:rFonts w:ascii="Times New Roman" w:cs="Times New Roman" w:eastAsia="Times New Roman" w:hAnsi="Times New Roman"/>
          <w:sz w:val="21"/>
          <w:szCs w:val="21"/>
          <w:color w:val="auto"/>
        </w:rPr>
        <w:t xml:space="preserve"> and on or before the second (2nd) Business Day before the related Redemption Date, the twenty (20) consecutive VWAP Trading Days beginning on, and including, the twenty first (21st) Scheduled Trading Day immediately before such Redemption Date; and (C) subject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above, if such Conversion Date occurs on or after April 15, 2031, the twenty (20) consecutive VWAP Trading Days beginning on, and including, the twenty first (21st) Scheduled Trading Day immediately before the Maturity Date.</w:t>
      </w:r>
    </w:p>
    <w:p>
      <w:pPr>
        <w:spacing w:after="0" w:line="19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207" w:lineRule="exact"/>
        <w:rPr>
          <w:sz w:val="20"/>
          <w:szCs w:val="20"/>
          <w:color w:val="auto"/>
        </w:rPr>
      </w:pPr>
    </w:p>
    <w:p>
      <w:pPr>
        <w:jc w:val="both"/>
        <w:ind w:firstLine="25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247" w:lineRule="exact"/>
        <w:rPr>
          <w:sz w:val="20"/>
          <w:szCs w:val="20"/>
          <w:color w:val="auto"/>
        </w:rPr>
      </w:pPr>
    </w:p>
    <w:p>
      <w:pPr>
        <w:jc w:val="both"/>
        <w:ind w:firstLine="22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 subject to customary qualifications and exclusions.</w:t>
      </w:r>
    </w:p>
    <w:p>
      <w:pPr>
        <w:spacing w:after="0" w:line="202" w:lineRule="exact"/>
        <w:rPr>
          <w:sz w:val="20"/>
          <w:szCs w:val="20"/>
          <w:color w:val="auto"/>
        </w:rPr>
      </w:pPr>
    </w:p>
    <w:p>
      <w:pPr>
        <w:jc w:val="both"/>
        <w:ind w:firstLine="297"/>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Holder</w:t>
      </w:r>
      <w:r>
        <w:rPr>
          <w:rFonts w:ascii="Times New Roman" w:cs="Times New Roman" w:eastAsia="Times New Roman" w:hAnsi="Times New Roman"/>
          <w:sz w:val="22"/>
          <w:szCs w:val="22"/>
          <w:color w:val="auto"/>
        </w:rPr>
        <w:t>” means (A) James J. Kim and his estate, spouse, siblings, ancestors, heirs and lineal descendants, and spouses of any such persons, the legal representatives of any of the foregoing, and the trustee of any bona fide trust of which one or more of the foregoing are the principal beneficiaries or the grantors, (B) any other Person that is controlled by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foregoing or (C) any group (as such term is used in Section 13(d) and 14(d) of the Exchange Act) that is controlled by any of the Persons referred to in the immediately preceding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so long as (i) each member of such group has voting rights approximately proportional to the percentage of ownership interests held or acquired by it (or, in the case of members who are Persons referred to in the immediately preceding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such members collectively have voting rights that are approximately proportional to all interests owned by such Persons in the aggregate) and (ii) no Person or group (other than the Permitted Holders specified in </w:t>
      </w:r>
      <w:r>
        <w:rPr>
          <w:rFonts w:ascii="Times New Roman" w:cs="Times New Roman" w:eastAsia="Times New Roman" w:hAnsi="Times New Roman"/>
          <w:sz w:val="22"/>
          <w:szCs w:val="22"/>
          <w:b w:val="1"/>
          <w:bCs w:val="1"/>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xml:space="preserve"> above) beneficially owns more than fifty percent (50%) (on a fully diluted basis) of the voting equity interests held by such group. Solely for the purposes of this definition, “equity interests” means Capital Stock and all warrants, options or other rights to acquire Capital Stock (but excluding any debt security that is convertible into, or exchangeable for, Capital Stock).</w:t>
      </w:r>
    </w:p>
    <w:p>
      <w:pPr>
        <w:spacing w:after="0" w:line="203" w:lineRule="exact"/>
        <w:rPr>
          <w:sz w:val="20"/>
          <w:szCs w:val="20"/>
          <w:color w:val="auto"/>
        </w:rPr>
      </w:pPr>
    </w:p>
    <w:p>
      <w:pPr>
        <w:jc w:val="both"/>
        <w:ind w:firstLine="297"/>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202" w:lineRule="exact"/>
        <w:rPr>
          <w:sz w:val="20"/>
          <w:szCs w:val="20"/>
          <w:color w:val="auto"/>
        </w:rPr>
      </w:pPr>
    </w:p>
    <w:p>
      <w:pPr>
        <w:jc w:val="both"/>
        <w:ind w:firstLine="229"/>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Note</w:t>
      </w:r>
      <w:r>
        <w:rPr>
          <w:rFonts w:ascii="Times New Roman" w:cs="Times New Roman" w:eastAsia="Times New Roman" w:hAnsi="Times New Roman"/>
          <w:sz w:val="22"/>
          <w:szCs w:val="22"/>
          <w:color w:val="auto"/>
        </w:rPr>
        <w:t xml:space="preserve">” means a Note (other than a Global Note) that is represented by a certificate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registered in the name of the Holder of such Note and duly executed by the Company and authenticated by the Trustee.</w:t>
      </w:r>
    </w:p>
    <w:p>
      <w:pPr>
        <w:spacing w:after="0" w:line="188" w:lineRule="exact"/>
        <w:rPr>
          <w:sz w:val="20"/>
          <w:szCs w:val="20"/>
          <w:color w:val="auto"/>
        </w:rPr>
      </w:pPr>
    </w:p>
    <w:p>
      <w:pPr>
        <w:jc w:val="both"/>
        <w:ind w:firstLine="27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means that certain Purchase Agreement, dated April 30, 2026, among the Company, the Guarantors and the representatives of the Initial Purchasers.</w:t>
      </w:r>
    </w:p>
    <w:p>
      <w:pPr>
        <w:spacing w:after="0" w:line="176" w:lineRule="exact"/>
        <w:rPr>
          <w:sz w:val="20"/>
          <w:szCs w:val="20"/>
          <w:color w:val="auto"/>
        </w:rPr>
      </w:pPr>
    </w:p>
    <w:p>
      <w:pPr>
        <w:jc w:val="both"/>
        <w:ind w:firstLine="229"/>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Successor Entity</w:t>
      </w:r>
      <w:r>
        <w:rPr>
          <w:rFonts w:ascii="Times New Roman" w:cs="Times New Roman" w:eastAsia="Times New Roman" w:hAnsi="Times New Roman"/>
          <w:sz w:val="22"/>
          <w:szCs w:val="22"/>
          <w:color w:val="auto"/>
        </w:rPr>
        <w:t xml:space="preserve">” means, with respect to a Business Combination Event, a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limited liability company, limited partnership or other similar entity will also constitute a Qualified Successor Entity with respect to such Business Combination Event if either (A) such Business Combination Event is an Exempted Fundamental Change; or (B) both of the following conditions are satisfied: (i) either (1)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(2) the Company has received an opinion of a nationally recognized tax counsel to the effect that such Business Combination Event will not be treated as an exchange under Section 1001 of the Code for Holders or beneficial owners of the Notes; and (ii) either (1) such Business Combination Event constitutes a Common Stock Change Event whose Reference Property consists solely of any combination of cash in U.S. dollars and shares of common stock or other corporate common equity interests of an entity that is (a) treated as a corporation for U.S. federal income tax purposes; (b) duly organized and existing under the laws of the United States of America, any State thereof or the District of Columbia; and (c) the direct or indirect parent of such limited liability company, limited partnership or other similar entity; or (2) both of the following conditions are satisfied: (a) such Business Combination Event does not constitute a Common Stock Change Event; and (b) the Company (x) remains an obligor of the Notes following such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Event; and (y) is the direct or indirect parent of such limited liability company, limited partnership or other similar entity.</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w:t>
      </w:r>
      <w:r>
        <w:rPr>
          <w:rFonts w:ascii="Times New Roman" w:cs="Times New Roman" w:eastAsia="Times New Roman" w:hAnsi="Times New Roman"/>
          <w:sz w:val="22"/>
          <w:szCs w:val="22"/>
          <w:color w:val="auto"/>
        </w:rPr>
        <w:t xml:space="preserve">” means the repurchase of any Note by the Company pursuant to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right="20" w:firstLine="256"/>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xml:space="preserve">” means the date fixed, pursuant to </w:t>
      </w:r>
      <w:r>
        <w:rPr>
          <w:rFonts w:ascii="Times New Roman" w:cs="Times New Roman" w:eastAsia="Times New Roman" w:hAnsi="Times New Roman"/>
          <w:sz w:val="22"/>
          <w:szCs w:val="22"/>
          <w:b w:val="1"/>
          <w:bCs w:val="1"/>
          <w:color w:val="auto"/>
        </w:rPr>
        <w:t>Section 4.03(D)</w:t>
      </w:r>
      <w:r>
        <w:rPr>
          <w:rFonts w:ascii="Times New Roman" w:cs="Times New Roman" w:eastAsia="Times New Roman" w:hAnsi="Times New Roman"/>
          <w:sz w:val="22"/>
          <w:szCs w:val="22"/>
          <w:color w:val="auto"/>
        </w:rPr>
        <w:t>, for the settlement of the repurchase of any Notes by the Company pursuant to a Redemption.</w:t>
      </w:r>
    </w:p>
    <w:p>
      <w:pPr>
        <w:spacing w:after="0" w:line="164" w:lineRule="exact"/>
        <w:rPr>
          <w:sz w:val="20"/>
          <w:szCs w:val="20"/>
          <w:color w:val="auto"/>
        </w:rPr>
      </w:pPr>
    </w:p>
    <w:p>
      <w:pPr>
        <w:jc w:val="both"/>
        <w:ind w:right="20" w:firstLine="31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 Date</w:t>
      </w:r>
      <w:r>
        <w:rPr>
          <w:rFonts w:ascii="Times New Roman" w:cs="Times New Roman" w:eastAsia="Times New Roman" w:hAnsi="Times New Roman"/>
          <w:sz w:val="22"/>
          <w:szCs w:val="22"/>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31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xml:space="preserve">” means the cash price payable by the Company to redeem any Note upon its Redemption, calculated pursuant to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Repurchase Upon Fundamental Change</w:t>
      </w:r>
      <w:r>
        <w:rPr>
          <w:rFonts w:ascii="Times New Roman" w:cs="Times New Roman" w:eastAsia="Times New Roman" w:hAnsi="Times New Roman"/>
          <w:sz w:val="22"/>
          <w:szCs w:val="22"/>
          <w:color w:val="auto"/>
        </w:rPr>
        <w:t xml:space="preserve">” means the repurchase of any Note by the Company pursuant to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27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means (A) any officer within the corporate trust group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who, in each case, has direct responsibility for the administration of this Indenture.</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Note Legend</w:t>
      </w:r>
      <w:r>
        <w:rPr>
          <w:rFonts w:ascii="Times New Roman" w:cs="Times New Roman" w:eastAsia="Times New Roman" w:hAnsi="Times New Roman"/>
          <w:sz w:val="22"/>
          <w:szCs w:val="22"/>
          <w:color w:val="auto"/>
        </w:rPr>
        <w:t xml:space="preserve">” means a legend substantially in the form set forth in </w:t>
      </w:r>
      <w:r>
        <w:rPr>
          <w:rFonts w:ascii="Times New Roman" w:cs="Times New Roman" w:eastAsia="Times New Roman" w:hAnsi="Times New Roman"/>
          <w:sz w:val="22"/>
          <w:szCs w:val="22"/>
          <w:b w:val="1"/>
          <w:bCs w:val="1"/>
          <w:color w:val="auto"/>
        </w:rPr>
        <w:t>Exhibit B-1</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Stock Legend</w:t>
      </w:r>
      <w:r>
        <w:rPr>
          <w:rFonts w:ascii="Times New Roman" w:cs="Times New Roman" w:eastAsia="Times New Roman" w:hAnsi="Times New Roman"/>
          <w:sz w:val="22"/>
          <w:szCs w:val="22"/>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216" w:lineRule="exact"/>
        <w:rPr>
          <w:sz w:val="20"/>
          <w:szCs w:val="20"/>
          <w:color w:val="auto"/>
        </w:rPr>
      </w:pPr>
    </w:p>
    <w:p>
      <w:pPr>
        <w:jc w:val="both"/>
        <w:ind w:firstLine="21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w:t>
      </w:r>
      <w:r>
        <w:rPr>
          <w:rFonts w:ascii="Times New Roman" w:cs="Times New Roman" w:eastAsia="Times New Roman" w:hAnsi="Times New Roman"/>
          <w:sz w:val="22"/>
          <w:szCs w:val="22"/>
          <w:color w:val="auto"/>
        </w:rPr>
        <w:t>” means Rule 144 under the Securities Act (or any successor rule thereto), as the same may be amended from time to time.</w:t>
      </w:r>
    </w:p>
    <w:p>
      <w:pPr>
        <w:spacing w:after="0" w:line="176" w:lineRule="exact"/>
        <w:rPr>
          <w:sz w:val="20"/>
          <w:szCs w:val="20"/>
          <w:color w:val="auto"/>
        </w:rPr>
      </w:pPr>
    </w:p>
    <w:p>
      <w:pPr>
        <w:jc w:val="both"/>
        <w:ind w:firstLine="27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under the Securities Act (or any successor rule thereto), as the same may be amended from time to time.</w:t>
      </w:r>
    </w:p>
    <w:p>
      <w:pPr>
        <w:spacing w:after="0" w:line="176" w:lineRule="exact"/>
        <w:rPr>
          <w:sz w:val="20"/>
          <w:szCs w:val="20"/>
          <w:color w:val="auto"/>
        </w:rPr>
      </w:pPr>
    </w:p>
    <w:p>
      <w:pPr>
        <w:jc w:val="both"/>
        <w:ind w:right="20" w:firstLine="283"/>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any day that is scheduled to be a Trading Day on the principal U.S. national or regional securities exchange on which the Common Stock is then listed or, if the Common Stock is not then listed on a U.S. national or regional securities exchange,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71" w:lineRule="auto"/>
        <w:rPr>
          <w:sz w:val="20"/>
          <w:szCs w:val="20"/>
          <w:color w:val="auto"/>
        </w:rPr>
      </w:pPr>
      <w:r>
        <w:rPr>
          <w:rFonts w:ascii="Times New Roman" w:cs="Times New Roman" w:eastAsia="Times New Roman" w:hAnsi="Times New Roman"/>
          <w:sz w:val="22"/>
          <w:szCs w:val="22"/>
          <w:color w:val="auto"/>
        </w:rPr>
        <w:t>the principal other market on which the Common Stock is then traded. If the Common Stock is not so listed or traded, then “Scheduled Trading Day” means a Business Day.</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means any Note or Conversion Share.</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w:t>
      </w:r>
      <w:r>
        <w:rPr>
          <w:rFonts w:ascii="Times New Roman" w:cs="Times New Roman" w:eastAsia="Times New Roman" w:hAnsi="Times New Roman"/>
          <w:sz w:val="22"/>
          <w:szCs w:val="22"/>
          <w:color w:val="auto"/>
        </w:rPr>
        <w:t>” means Cash Settlement or Combination Settlement.</w:t>
      </w:r>
    </w:p>
    <w:p>
      <w:pPr>
        <w:spacing w:after="0" w:line="247"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Shoe Option</w:t>
      </w:r>
      <w:r>
        <w:rPr>
          <w:rFonts w:ascii="Times New Roman" w:cs="Times New Roman" w:eastAsia="Times New Roman" w:hAnsi="Times New Roman"/>
          <w:sz w:val="22"/>
          <w:szCs w:val="22"/>
          <w:color w:val="auto"/>
        </w:rPr>
        <w:t>” means the Initial Purchasers’ option to purchase up to one hundred fifty million dollars ($150,000,000) aggregate principal amount of additional Notes as provided for in the Purchase Agreement.</w:t>
      </w:r>
    </w:p>
    <w:p>
      <w:pPr>
        <w:spacing w:after="0" w:line="190" w:lineRule="exact"/>
        <w:rPr>
          <w:sz w:val="20"/>
          <w:szCs w:val="20"/>
          <w:color w:val="auto"/>
        </w:rPr>
      </w:pPr>
    </w:p>
    <w:p>
      <w:pPr>
        <w:jc w:val="both"/>
        <w:ind w:firstLine="31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 Subsidiary meets the criteria of clause (1)(iii), but not clause (1)(i) or (1)(ii), of the definition of “significant subsidiary” in Rule 1-02(w) (or, if applicable, the respective successor clauses to the aforementioned clauses), then such Subsidiary will be deemed not to be a Significant Subsidiary unless such Subsidiary’s income from continuing operations before income taxes, exclusive of amounts attributable to any non-controlling interests, for the last completed fiscal year before the date of determination exceeds one hundred million dollars ($100,000,000).</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Special Interest</w:t>
      </w:r>
      <w:r>
        <w:rPr>
          <w:rFonts w:ascii="Times New Roman" w:cs="Times New Roman" w:eastAsia="Times New Roman" w:hAnsi="Times New Roman"/>
          <w:sz w:val="22"/>
          <w:szCs w:val="22"/>
          <w:color w:val="auto"/>
        </w:rPr>
        <w:t xml:space="preserve">” means any interest that accrues on any Note pursuant to </w:t>
      </w:r>
      <w:r>
        <w:rPr>
          <w:rFonts w:ascii="Times New Roman" w:cs="Times New Roman" w:eastAsia="Times New Roman" w:hAnsi="Times New Roman"/>
          <w:sz w:val="22"/>
          <w:szCs w:val="22"/>
          <w:b w:val="1"/>
          <w:bCs w:val="1"/>
          <w:color w:val="auto"/>
        </w:rPr>
        <w:t>Section 7.03</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Dollar Amount</w:t>
      </w:r>
      <w:r>
        <w:rPr>
          <w:rFonts w:ascii="Times New Roman" w:cs="Times New Roman" w:eastAsia="Times New Roman" w:hAnsi="Times New Roman"/>
          <w:sz w:val="22"/>
          <w:szCs w:val="22"/>
          <w:color w:val="auto"/>
        </w:rPr>
        <w:t xml:space="preserve">” means, with respect to the Conversion of a Note to which Combination Settlement applies, the maximum cash amount per $1,000 principal amount of such Note deliverable upon such Conversion (excluding cash in lieu of any fractional share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the Specified Dollar Amount be less than $1,000 per $1,000 principal amount of such Note.</w:t>
      </w:r>
    </w:p>
    <w:p>
      <w:pPr>
        <w:spacing w:after="0" w:line="195"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Price</w:t>
      </w:r>
      <w:r>
        <w:rPr>
          <w:rFonts w:ascii="Times New Roman" w:cs="Times New Roman" w:eastAsia="Times New Roman" w:hAnsi="Times New Roman"/>
          <w:sz w:val="22"/>
          <w:szCs w:val="22"/>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spacing w:after="0" w:line="207" w:lineRule="exact"/>
        <w:rPr>
          <w:sz w:val="20"/>
          <w:szCs w:val="20"/>
          <w:color w:val="auto"/>
        </w:rPr>
      </w:pPr>
    </w:p>
    <w:p>
      <w:pPr>
        <w:jc w:val="both"/>
        <w:ind w:firstLine="351"/>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 any corporation, association or other business entity (other than a partnership or limited liability company) of which more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49" w:lineRule="auto"/>
        <w:rPr>
          <w:sz w:val="20"/>
          <w:szCs w:val="20"/>
          <w:color w:val="auto"/>
        </w:rPr>
      </w:pPr>
      <w:r>
        <w:rPr>
          <w:rFonts w:ascii="Times New Roman" w:cs="Times New Roman" w:eastAsia="Times New Roman" w:hAnsi="Times New Roman"/>
          <w:sz w:val="22"/>
          <w:szCs w:val="22"/>
          <w:color w:val="auto"/>
        </w:rPr>
        <w:t>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206"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Day</w:t>
      </w:r>
      <w:r>
        <w:rPr>
          <w:rFonts w:ascii="Times New Roman" w:cs="Times New Roman" w:eastAsia="Times New Roman" w:hAnsi="Times New Roman"/>
          <w:sz w:val="21"/>
          <w:szCs w:val="21"/>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200" w:lineRule="exact"/>
        <w:rPr>
          <w:sz w:val="20"/>
          <w:szCs w:val="20"/>
          <w:color w:val="auto"/>
        </w:rPr>
      </w:pPr>
    </w:p>
    <w:p>
      <w:pPr>
        <w:jc w:val="both"/>
        <w:ind w:firstLine="25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Trading Price</w:t>
      </w:r>
      <w:r>
        <w:rPr>
          <w:rFonts w:ascii="Times New Roman" w:cs="Times New Roman" w:eastAsia="Times New Roman" w:hAnsi="Times New Roman"/>
          <w:sz w:val="21"/>
          <w:szCs w:val="21"/>
          <w:color w:val="auto"/>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4" w:name="page25"/>
    <w:bookmarkEnd w:id="24"/>
    <w:p>
      <w:pPr>
        <w:ind w:firstLine="229"/>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Transfer-Restricted Security</w:t>
      </w:r>
      <w:r>
        <w:rPr>
          <w:rFonts w:ascii="Times New Roman" w:cs="Times New Roman" w:eastAsia="Times New Roman" w:hAnsi="Times New Roman"/>
          <w:sz w:val="21"/>
          <w:szCs w:val="21"/>
          <w:color w:val="auto"/>
        </w:rPr>
        <w:t xml:space="preserve">” means any Security that constitutes a “restricted security” (as defined in Rule 144);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Security will cease to be a Transfer-Restricted Security upon the earliest to occur of the following events:</w:t>
      </w:r>
    </w:p>
    <w:p>
      <w:pPr>
        <w:spacing w:after="0" w:line="131" w:lineRule="exact"/>
        <w:rPr>
          <w:sz w:val="20"/>
          <w:szCs w:val="20"/>
          <w:color w:val="auto"/>
        </w:rPr>
      </w:pPr>
    </w:p>
    <w:p>
      <w:pPr>
        <w:ind w:firstLine="310"/>
        <w:spacing w:after="0" w:line="284" w:lineRule="auto"/>
        <w:tabs>
          <w:tab w:leader="none" w:pos="90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 registration statement that was effective under the Securities Act at the time of such sale or transfer;</w:t>
      </w:r>
    </w:p>
    <w:p>
      <w:pPr>
        <w:spacing w:after="0" w:line="170" w:lineRule="exact"/>
        <w:rPr>
          <w:rFonts w:ascii="Times New Roman" w:cs="Times New Roman" w:eastAsia="Times New Roman" w:hAnsi="Times New Roman"/>
          <w:sz w:val="22"/>
          <w:szCs w:val="22"/>
          <w:color w:val="auto"/>
        </w:rPr>
      </w:pPr>
    </w:p>
    <w:p>
      <w:pPr>
        <w:jc w:val="both"/>
        <w:ind w:firstLine="312"/>
        <w:spacing w:after="0" w:line="252" w:lineRule="auto"/>
        <w:tabs>
          <w:tab w:leader="none" w:pos="896"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219" w:lineRule="exact"/>
        <w:rPr>
          <w:rFonts w:ascii="Times New Roman" w:cs="Times New Roman" w:eastAsia="Times New Roman" w:hAnsi="Times New Roman"/>
          <w:sz w:val="22"/>
          <w:szCs w:val="22"/>
          <w:color w:val="auto"/>
        </w:rPr>
      </w:pPr>
    </w:p>
    <w:p>
      <w:pPr>
        <w:jc w:val="both"/>
        <w:ind w:firstLine="243"/>
        <w:spacing w:after="0" w:line="257" w:lineRule="auto"/>
        <w:tabs>
          <w:tab w:leader="none" w:pos="7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200" w:lineRule="exact"/>
        <w:rPr>
          <w:sz w:val="20"/>
          <w:szCs w:val="20"/>
          <w:color w:val="auto"/>
        </w:rPr>
      </w:pPr>
    </w:p>
    <w:p>
      <w:pPr>
        <w:jc w:val="both"/>
        <w:ind w:firstLine="256"/>
        <w:spacing w:after="0" w:line="271" w:lineRule="auto"/>
        <w:rPr>
          <w:sz w:val="20"/>
          <w:szCs w:val="20"/>
          <w:color w:val="auto"/>
        </w:rPr>
      </w:pPr>
      <w:r>
        <w:rPr>
          <w:rFonts w:ascii="Times New Roman" w:cs="Times New Roman" w:eastAsia="Times New Roman" w:hAnsi="Times New Roman"/>
          <w:sz w:val="22"/>
          <w:szCs w:val="22"/>
          <w:color w:val="auto"/>
        </w:rPr>
        <w:t>The Trustee is under no obligation to determine whether any Security is a Transfer-Restricted Security and may conclusively rely on an Officer’s Certificate with respect thereto.</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 Indenture Act</w:t>
      </w:r>
      <w:r>
        <w:rPr>
          <w:rFonts w:ascii="Times New Roman" w:cs="Times New Roman" w:eastAsia="Times New Roman" w:hAnsi="Times New Roman"/>
          <w:sz w:val="22"/>
          <w:szCs w:val="22"/>
          <w:color w:val="auto"/>
        </w:rPr>
        <w:t>” means the U.S. Trust Indenture Act of 1939, as amended.</w:t>
      </w:r>
    </w:p>
    <w:p>
      <w:pPr>
        <w:spacing w:after="0" w:line="260" w:lineRule="exact"/>
        <w:rPr>
          <w:sz w:val="20"/>
          <w:szCs w:val="20"/>
          <w:color w:val="auto"/>
        </w:rPr>
      </w:pPr>
    </w:p>
    <w:p>
      <w:pPr>
        <w:jc w:val="both"/>
        <w:ind w:firstLine="25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Person named as such in the first paragraph of this Indenture until a successor replaces it in accordance with the provisions of this Indenture and, thereafter, means such successor.</w:t>
      </w:r>
    </w:p>
    <w:p>
      <w:pPr>
        <w:spacing w:after="0" w:line="176" w:lineRule="exact"/>
        <w:rPr>
          <w:sz w:val="20"/>
          <w:szCs w:val="20"/>
          <w:color w:val="auto"/>
        </w:rPr>
      </w:pPr>
    </w:p>
    <w:p>
      <w:pPr>
        <w:jc w:val="both"/>
        <w:ind w:firstLine="22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VWAP Market Disruption Event</w:t>
      </w:r>
      <w:r>
        <w:rPr>
          <w:rFonts w:ascii="Times New Roman" w:cs="Times New Roman" w:eastAsia="Times New Roman" w:hAnsi="Times New Roman"/>
          <w:sz w:val="21"/>
          <w:szCs w:val="21"/>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93"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VWAP Trading Day</w:t>
      </w:r>
      <w:r>
        <w:rPr>
          <w:rFonts w:ascii="Times New Roman" w:cs="Times New Roman" w:eastAsia="Times New Roman" w:hAnsi="Times New Roman"/>
          <w:sz w:val="22"/>
          <w:szCs w:val="22"/>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25" w:name="page26"/>
    <w:bookmarkEnd w:id="25"/>
    <w:p>
      <w:pPr>
        <w:spacing w:after="0" w:line="221" w:lineRule="exact"/>
        <w:rPr>
          <w:sz w:val="20"/>
          <w:szCs w:val="20"/>
          <w:color w:val="auto"/>
        </w:rPr>
      </w:pPr>
    </w:p>
    <w:p>
      <w:pPr>
        <w:jc w:val="both"/>
        <w:ind w:firstLine="256"/>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 Owned Subsidiary</w:t>
      </w:r>
      <w:r>
        <w:rPr>
          <w:rFonts w:ascii="Times New Roman" w:cs="Times New Roman" w:eastAsia="Times New Roman" w:hAnsi="Times New Roman"/>
          <w:sz w:val="22"/>
          <w:szCs w:val="22"/>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20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1.02.</w:t>
      </w:r>
      <w:r>
        <w:rPr>
          <w:sz w:val="20"/>
          <w:szCs w:val="20"/>
          <w:color w:val="auto"/>
        </w:rPr>
        <w:tab/>
      </w:r>
      <w:r>
        <w:rPr>
          <w:rFonts w:ascii="Times New Roman" w:cs="Times New Roman" w:eastAsia="Times New Roman" w:hAnsi="Times New Roman"/>
          <w:sz w:val="21"/>
          <w:szCs w:val="21"/>
          <w:b w:val="1"/>
          <w:bCs w:val="1"/>
          <w:color w:val="auto"/>
        </w:rPr>
        <w:t>Other Definitions.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20" w:type="dxa"/>
            <w:vAlign w:val="bottom"/>
          </w:tcPr>
          <w:p>
            <w:pPr>
              <w:ind w:left="7340"/>
              <w:spacing w:after="0"/>
              <w:rPr>
                <w:sz w:val="20"/>
                <w:szCs w:val="20"/>
                <w:color w:val="auto"/>
              </w:rPr>
            </w:pPr>
            <w:r>
              <w:rPr>
                <w:rFonts w:ascii="Times New Roman" w:cs="Times New Roman" w:eastAsia="Times New Roman" w:hAnsi="Times New Roman"/>
                <w:sz w:val="22"/>
                <w:szCs w:val="22"/>
                <w:color w:val="auto"/>
              </w:rPr>
              <w:t>Defined in</w:t>
            </w:r>
          </w:p>
        </w:tc>
      </w:tr>
      <w:tr>
        <w:trPr>
          <w:trHeight w:val="291"/>
        </w:trPr>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Term</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7480"/>
              <w:spacing w:after="0"/>
              <w:rPr>
                <w:sz w:val="20"/>
                <w:szCs w:val="20"/>
                <w:color w:val="auto"/>
              </w:rPr>
            </w:pPr>
            <w:r>
              <w:rPr>
                <w:rFonts w:ascii="Times New Roman" w:cs="Times New Roman" w:eastAsia="Times New Roman" w:hAnsi="Times New Roman"/>
                <w:sz w:val="22"/>
                <w:szCs w:val="22"/>
                <w:color w:val="auto"/>
              </w:rPr>
              <w:t>Section</w:t>
            </w:r>
          </w:p>
        </w:tc>
      </w:tr>
      <w:tr>
        <w:trPr>
          <w:trHeight w:val="576"/>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Additional Shares</w:t>
            </w:r>
            <w:r>
              <w:rPr>
                <w:rFonts w:ascii="Times New Roman" w:cs="Times New Roman" w:eastAsia="Times New Roman" w:hAnsi="Times New Roman"/>
                <w:sz w:val="22"/>
                <w:szCs w:val="22"/>
                <w:color w:val="auto"/>
                <w:w w:val="97"/>
              </w:rPr>
              <w:t>”</w:t>
            </w:r>
          </w:p>
        </w:tc>
        <w:tc>
          <w:tcPr>
            <w:tcW w:w="200" w:type="dxa"/>
            <w:vAlign w:val="bottom"/>
          </w:tcPr>
          <w:p>
            <w:pPr>
              <w:spacing w:after="0"/>
              <w:rPr>
                <w:sz w:val="24"/>
                <w:szCs w:val="24"/>
                <w:color w:val="auto"/>
              </w:rPr>
            </w:pPr>
          </w:p>
        </w:tc>
        <w:tc>
          <w:tcPr>
            <w:tcW w:w="9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5.07(A)</w:t>
            </w:r>
          </w:p>
        </w:tc>
      </w:tr>
      <w:tr>
        <w:trPr>
          <w:trHeight w:val="257"/>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Combination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6.01(A)</w:t>
            </w:r>
          </w:p>
        </w:tc>
      </w:tr>
      <w:tr>
        <w:trPr>
          <w:trHeight w:val="257"/>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8"/>
              </w:rPr>
              <w:t>5.03(A)</w:t>
            </w:r>
          </w:p>
        </w:tc>
        <w:tc>
          <w:tcPr>
            <w:tcW w:w="8620" w:type="dxa"/>
            <w:vAlign w:val="bottom"/>
          </w:tcPr>
          <w:p>
            <w:pPr>
              <w:spacing w:after="0"/>
              <w:rPr>
                <w:sz w:val="22"/>
                <w:szCs w:val="22"/>
                <w:color w:val="auto"/>
              </w:rPr>
            </w:pPr>
          </w:p>
        </w:tc>
      </w:tr>
      <w:tr>
        <w:trPr>
          <w:trHeight w:val="257"/>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w:t>
            </w:r>
          </w:p>
        </w:tc>
        <w:tc>
          <w:tcPr>
            <w:tcW w:w="86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5.03(A)</w:t>
            </w:r>
          </w:p>
        </w:tc>
      </w:tr>
      <w:tr>
        <w:trPr>
          <w:trHeight w:val="256"/>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5.09(A)</w:t>
            </w:r>
          </w:p>
        </w:tc>
      </w:tr>
      <w:tr>
        <w:trPr>
          <w:trHeight w:val="270"/>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Conversion Agent</w:t>
            </w:r>
            <w:r>
              <w:rPr>
                <w:rFonts w:ascii="Times New Roman" w:cs="Times New Roman" w:eastAsia="Times New Roman" w:hAnsi="Times New Roman"/>
                <w:sz w:val="22"/>
                <w:szCs w:val="22"/>
                <w:color w:val="auto"/>
                <w:w w:val="97"/>
              </w:rPr>
              <w:t>”</w:t>
            </w:r>
          </w:p>
        </w:tc>
        <w:tc>
          <w:tcPr>
            <w:tcW w:w="200" w:type="dxa"/>
            <w:vAlign w:val="bottom"/>
          </w:tcPr>
          <w:p>
            <w:pPr>
              <w:spacing w:after="0"/>
              <w:rPr>
                <w:sz w:val="23"/>
                <w:szCs w:val="23"/>
                <w:color w:val="auto"/>
              </w:rPr>
            </w:pPr>
          </w:p>
        </w:tc>
        <w:tc>
          <w:tcPr>
            <w:tcW w:w="91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2.06(A)</w:t>
            </w:r>
          </w:p>
        </w:tc>
      </w:tr>
      <w:tr>
        <w:trPr>
          <w:trHeight w:val="257"/>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Conversion Consideration</w:t>
            </w:r>
            <w:r>
              <w:rPr>
                <w:rFonts w:ascii="Times New Roman" w:cs="Times New Roman" w:eastAsia="Times New Roman" w:hAnsi="Times New Roman"/>
                <w:sz w:val="22"/>
                <w:szCs w:val="22"/>
                <w:color w:val="auto"/>
                <w:w w:val="97"/>
              </w:rPr>
              <w:t>”</w:t>
            </w:r>
          </w:p>
        </w:tc>
        <w:tc>
          <w:tcPr>
            <w:tcW w:w="86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5.03(B)</w:t>
            </w:r>
          </w:p>
        </w:tc>
      </w:tr>
      <w:tr>
        <w:trPr>
          <w:trHeight w:val="257"/>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w:t>
            </w:r>
          </w:p>
        </w:tc>
        <w:tc>
          <w:tcPr>
            <w:tcW w:w="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2.05(B)</w:t>
            </w:r>
          </w:p>
        </w:tc>
        <w:tc>
          <w:tcPr>
            <w:tcW w:w="8620" w:type="dxa"/>
            <w:vAlign w:val="bottom"/>
          </w:tcPr>
          <w:p>
            <w:pPr>
              <w:spacing w:after="0"/>
              <w:rPr>
                <w:sz w:val="22"/>
                <w:szCs w:val="22"/>
                <w:color w:val="auto"/>
              </w:rPr>
            </w:pPr>
          </w:p>
        </w:tc>
      </w:tr>
      <w:tr>
        <w:trPr>
          <w:trHeight w:val="257"/>
        </w:trPr>
        <w:tc>
          <w:tcPr>
            <w:tcW w:w="2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Defaulted Amount</w:t>
            </w:r>
            <w:r>
              <w:rPr>
                <w:rFonts w:ascii="Times New Roman" w:cs="Times New Roman" w:eastAsia="Times New Roman" w:hAnsi="Times New Roman"/>
                <w:sz w:val="22"/>
                <w:szCs w:val="22"/>
                <w:color w:val="auto"/>
              </w:rPr>
              <w:t>”</w:t>
            </w:r>
          </w:p>
        </w:tc>
        <w:tc>
          <w:tcPr>
            <w:tcW w:w="918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2.05(B)</w:t>
            </w:r>
          </w:p>
        </w:tc>
      </w:tr>
      <w:tr>
        <w:trPr>
          <w:trHeight w:val="257"/>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Deferred Additional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3.04(C)(i)</w:t>
            </w:r>
          </w:p>
        </w:tc>
      </w:tr>
      <w:tr>
        <w:trPr>
          <w:trHeight w:val="257"/>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Deferred Additional Interest Demand Request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3.04(C)(i)</w:t>
            </w:r>
          </w:p>
        </w:tc>
      </w:tr>
      <w:tr>
        <w:trPr>
          <w:trHeight w:val="270"/>
        </w:trPr>
        <w:tc>
          <w:tcPr>
            <w:tcW w:w="20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color w:val="auto"/>
                <w:w w:val="98"/>
              </w:rPr>
              <w:t>Dividend Threshold</w:t>
            </w:r>
            <w:r>
              <w:rPr>
                <w:rFonts w:ascii="Times New Roman" w:cs="Times New Roman" w:eastAsia="Times New Roman" w:hAnsi="Times New Roman"/>
                <w:sz w:val="22"/>
                <w:szCs w:val="22"/>
                <w:color w:val="auto"/>
                <w:w w:val="98"/>
              </w:rPr>
              <w:t>”</w:t>
            </w:r>
          </w:p>
        </w:tc>
        <w:tc>
          <w:tcPr>
            <w:tcW w:w="918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5.05(A)(iv)</w:t>
            </w:r>
          </w:p>
        </w:tc>
      </w:tr>
      <w:tr>
        <w:trPr>
          <w:trHeight w:val="256"/>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7.01(A)</w:t>
            </w:r>
          </w:p>
        </w:tc>
        <w:tc>
          <w:tcPr>
            <w:tcW w:w="8620" w:type="dxa"/>
            <w:vAlign w:val="bottom"/>
          </w:tcPr>
          <w:p>
            <w:pPr>
              <w:spacing w:after="0"/>
              <w:rPr>
                <w:sz w:val="22"/>
                <w:szCs w:val="22"/>
                <w:color w:val="auto"/>
              </w:rPr>
            </w:pPr>
          </w:p>
        </w:tc>
      </w:tr>
      <w:tr>
        <w:trPr>
          <w:trHeight w:val="257"/>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w:t>
            </w:r>
          </w:p>
        </w:tc>
        <w:tc>
          <w:tcPr>
            <w:tcW w:w="938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5.05(A)(v)</w:t>
            </w:r>
          </w:p>
        </w:tc>
      </w:tr>
      <w:tr>
        <w:trPr>
          <w:trHeight w:val="256"/>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Time</w:t>
            </w:r>
            <w:r>
              <w:rPr>
                <w:rFonts w:ascii="Times New Roman" w:cs="Times New Roman" w:eastAsia="Times New Roman" w:hAnsi="Times New Roman"/>
                <w:sz w:val="22"/>
                <w:szCs w:val="22"/>
                <w:color w:val="auto"/>
              </w:rPr>
              <w:t>”</w:t>
            </w:r>
          </w:p>
        </w:tc>
        <w:tc>
          <w:tcPr>
            <w:tcW w:w="938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5.05(A)(v)</w:t>
            </w:r>
          </w:p>
        </w:tc>
      </w:tr>
      <w:tr>
        <w:trPr>
          <w:trHeight w:val="257"/>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4.02(E)</w:t>
            </w:r>
          </w:p>
        </w:tc>
      </w:tr>
      <w:tr>
        <w:trPr>
          <w:trHeight w:val="270"/>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Right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4.02(A)</w:t>
            </w:r>
          </w:p>
        </w:tc>
      </w:tr>
      <w:tr>
        <w:trPr>
          <w:trHeight w:val="256"/>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w:t>
            </w:r>
          </w:p>
        </w:tc>
        <w:tc>
          <w:tcPr>
            <w:tcW w:w="862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9.01(A)</w:t>
            </w:r>
          </w:p>
        </w:tc>
      </w:tr>
      <w:tr>
        <w:trPr>
          <w:trHeight w:val="257"/>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 Business Combination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9.04(A)</w:t>
            </w:r>
          </w:p>
        </w:tc>
      </w:tr>
      <w:tr>
        <w:trPr>
          <w:trHeight w:val="256"/>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 Successor Entity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9.04(A)(i)</w:t>
            </w:r>
          </w:p>
        </w:tc>
      </w:tr>
      <w:tr>
        <w:trPr>
          <w:trHeight w:val="257"/>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2.03(A)</w:t>
            </w:r>
          </w:p>
        </w:tc>
        <w:tc>
          <w:tcPr>
            <w:tcW w:w="8620" w:type="dxa"/>
            <w:vAlign w:val="bottom"/>
          </w:tcPr>
          <w:p>
            <w:pPr>
              <w:spacing w:after="0"/>
              <w:rPr>
                <w:sz w:val="22"/>
                <w:szCs w:val="22"/>
                <w:color w:val="auto"/>
              </w:rPr>
            </w:pPr>
          </w:p>
        </w:tc>
      </w:tr>
      <w:tr>
        <w:trPr>
          <w:trHeight w:val="270"/>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5.01(C)(i)(2)</w:t>
            </w:r>
          </w:p>
        </w:tc>
      </w:tr>
      <w:tr>
        <w:trPr>
          <w:trHeight w:val="256"/>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Election to Pay Deferred Additional Interest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3.04(C)(i)</w:t>
            </w:r>
          </w:p>
        </w:tc>
      </w:tr>
      <w:tr>
        <w:trPr>
          <w:trHeight w:val="257"/>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w:t>
            </w: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2.06(A)</w:t>
            </w:r>
          </w:p>
        </w:tc>
        <w:tc>
          <w:tcPr>
            <w:tcW w:w="8620" w:type="dxa"/>
            <w:vAlign w:val="bottom"/>
          </w:tcPr>
          <w:p>
            <w:pPr>
              <w:spacing w:after="0"/>
              <w:rPr>
                <w:sz w:val="22"/>
                <w:szCs w:val="22"/>
                <w:color w:val="auto"/>
              </w:rPr>
            </w:pPr>
          </w:p>
        </w:tc>
      </w:tr>
      <w:tr>
        <w:trPr>
          <w:trHeight w:val="256"/>
        </w:trPr>
        <w:tc>
          <w:tcPr>
            <w:tcW w:w="2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w:t>
            </w:r>
          </w:p>
        </w:tc>
        <w:tc>
          <w:tcPr>
            <w:tcW w:w="9180" w:type="dxa"/>
            <w:vAlign w:val="bottom"/>
            <w:gridSpan w:val="2"/>
          </w:tcPr>
          <w:p>
            <w:pPr>
              <w:ind w:left="120"/>
              <w:spacing w:after="0"/>
              <w:rPr>
                <w:sz w:val="20"/>
                <w:szCs w:val="20"/>
                <w:color w:val="auto"/>
              </w:rPr>
            </w:pPr>
            <w:r>
              <w:rPr>
                <w:rFonts w:ascii="Times New Roman" w:cs="Times New Roman" w:eastAsia="Times New Roman" w:hAnsi="Times New Roman"/>
                <w:sz w:val="22"/>
                <w:szCs w:val="22"/>
                <w:b w:val="1"/>
                <w:bCs w:val="1"/>
                <w:color w:val="auto"/>
              </w:rPr>
              <w:t>4.03(F)</w:t>
            </w:r>
          </w:p>
        </w:tc>
      </w:tr>
      <w:tr>
        <w:trPr>
          <w:trHeight w:val="257"/>
        </w:trPr>
        <w:tc>
          <w:tcPr>
            <w:tcW w:w="20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w:t>
            </w:r>
          </w:p>
        </w:tc>
        <w:tc>
          <w:tcPr>
            <w:tcW w:w="9180" w:type="dxa"/>
            <w:vAlign w:val="bottom"/>
            <w:gridSpan w:val="2"/>
          </w:tcPr>
          <w:p>
            <w:pPr>
              <w:ind w:left="160"/>
              <w:spacing w:after="0"/>
              <w:rPr>
                <w:sz w:val="20"/>
                <w:szCs w:val="20"/>
                <w:color w:val="auto"/>
              </w:rPr>
            </w:pPr>
            <w:r>
              <w:rPr>
                <w:rFonts w:ascii="Times New Roman" w:cs="Times New Roman" w:eastAsia="Times New Roman" w:hAnsi="Times New Roman"/>
                <w:sz w:val="22"/>
                <w:szCs w:val="22"/>
                <w:b w:val="1"/>
                <w:bCs w:val="1"/>
                <w:color w:val="auto"/>
              </w:rPr>
              <w:t>5.09(A)</w:t>
            </w:r>
          </w:p>
        </w:tc>
      </w:tr>
      <w:tr>
        <w:trPr>
          <w:trHeight w:val="257"/>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 Unit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5.09(A)</w:t>
            </w: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w w:val="97"/>
              </w:rPr>
              <w:t>2.06(B)</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20" w:type="dxa"/>
            <w:vAlign w:val="bottom"/>
          </w:tcPr>
          <w:p>
            <w:pPr>
              <w:spacing w:after="0"/>
              <w:rPr>
                <w:sz w:val="23"/>
                <w:szCs w:val="23"/>
                <w:color w:val="auto"/>
              </w:rPr>
            </w:pPr>
          </w:p>
        </w:tc>
      </w:tr>
      <w:tr>
        <w:trPr>
          <w:trHeight w:val="256"/>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w:t>
            </w: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22"/>
                <w:szCs w:val="22"/>
                <w:b w:val="1"/>
                <w:bCs w:val="1"/>
                <w:color w:val="auto"/>
              </w:rPr>
              <w:t>2.06(A)</w:t>
            </w:r>
          </w:p>
        </w:tc>
        <w:tc>
          <w:tcPr>
            <w:tcW w:w="560" w:type="dxa"/>
            <w:vAlign w:val="bottom"/>
          </w:tcPr>
          <w:p>
            <w:pPr>
              <w:spacing w:after="0"/>
              <w:rPr>
                <w:sz w:val="22"/>
                <w:szCs w:val="22"/>
                <w:color w:val="auto"/>
              </w:rPr>
            </w:pPr>
          </w:p>
        </w:tc>
        <w:tc>
          <w:tcPr>
            <w:tcW w:w="8620" w:type="dxa"/>
            <w:vAlign w:val="bottom"/>
          </w:tcPr>
          <w:p>
            <w:pPr>
              <w:spacing w:after="0"/>
              <w:rPr>
                <w:sz w:val="22"/>
                <w:szCs w:val="22"/>
                <w:color w:val="auto"/>
              </w:rPr>
            </w:pPr>
          </w:p>
        </w:tc>
      </w:tr>
      <w:tr>
        <w:trPr>
          <w:trHeight w:val="256"/>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Reporting Event of 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7.03(A)</w:t>
            </w:r>
          </w:p>
        </w:tc>
      </w:tr>
      <w:tr>
        <w:trPr>
          <w:trHeight w:val="256"/>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12.07</w:t>
            </w:r>
          </w:p>
        </w:tc>
        <w:tc>
          <w:tcPr>
            <w:tcW w:w="8620" w:type="dxa"/>
            <w:vAlign w:val="bottom"/>
          </w:tcPr>
          <w:p>
            <w:pPr>
              <w:spacing w:after="0"/>
              <w:rPr>
                <w:sz w:val="22"/>
                <w:szCs w:val="22"/>
                <w:color w:val="auto"/>
              </w:rPr>
            </w:pPr>
          </w:p>
        </w:tc>
      </w:tr>
      <w:tr>
        <w:trPr>
          <w:trHeight w:val="257"/>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5.05(A)(iii)(2)</w:t>
            </w:r>
          </w:p>
        </w:tc>
        <w:tc>
          <w:tcPr>
            <w:tcW w:w="8620" w:type="dxa"/>
            <w:vAlign w:val="bottom"/>
          </w:tcPr>
          <w:p>
            <w:pPr>
              <w:spacing w:after="0"/>
              <w:rPr>
                <w:sz w:val="22"/>
                <w:szCs w:val="22"/>
                <w:color w:val="auto"/>
              </w:rPr>
            </w:pPr>
          </w:p>
        </w:tc>
      </w:tr>
      <w:tr>
        <w:trPr>
          <w:trHeight w:val="270"/>
        </w:trPr>
        <w:tc>
          <w:tcPr>
            <w:tcW w:w="262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b w:val="1"/>
                <w:bCs w:val="1"/>
                <w:color w:val="auto"/>
                <w:w w:val="97"/>
              </w:rPr>
              <w:t>Spin-Off Valuation Period</w:t>
            </w:r>
            <w:r>
              <w:rPr>
                <w:rFonts w:ascii="Times New Roman" w:cs="Times New Roman" w:eastAsia="Times New Roman" w:hAnsi="Times New Roman"/>
                <w:sz w:val="22"/>
                <w:szCs w:val="22"/>
                <w:color w:val="auto"/>
                <w:w w:val="97"/>
              </w:rPr>
              <w:t>”</w:t>
            </w:r>
          </w:p>
        </w:tc>
        <w:tc>
          <w:tcPr>
            <w:tcW w:w="86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5.05(A)(iii)(2)</w:t>
            </w:r>
          </w:p>
        </w:tc>
      </w:tr>
      <w:tr>
        <w:trPr>
          <w:trHeight w:val="286"/>
        </w:trPr>
        <w:tc>
          <w:tcPr>
            <w:tcW w:w="1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w:t>
            </w:r>
          </w:p>
        </w:tc>
        <w:tc>
          <w:tcPr>
            <w:tcW w:w="9380" w:type="dxa"/>
            <w:vAlign w:val="bottom"/>
            <w:gridSpan w:val="3"/>
          </w:tcPr>
          <w:p>
            <w:pPr>
              <w:ind w:left="80"/>
              <w:spacing w:after="0"/>
              <w:rPr>
                <w:sz w:val="20"/>
                <w:szCs w:val="20"/>
                <w:color w:val="auto"/>
              </w:rPr>
            </w:pPr>
            <w:r>
              <w:rPr>
                <w:rFonts w:ascii="Times New Roman" w:cs="Times New Roman" w:eastAsia="Times New Roman" w:hAnsi="Times New Roman"/>
                <w:sz w:val="22"/>
                <w:szCs w:val="22"/>
                <w:b w:val="1"/>
                <w:bCs w:val="1"/>
                <w:color w:val="auto"/>
              </w:rPr>
              <w:t>6.01(A)(i)</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tabs>
          <w:tab w:leader="none" w:pos="19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Person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5.09(A)</w:t>
      </w:r>
    </w:p>
    <w:p>
      <w:pPr>
        <w:spacing w:after="0" w:line="32"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5.05(A)(v)</w:t>
      </w:r>
    </w:p>
    <w:p>
      <w:pPr>
        <w:spacing w:after="0" w:line="4"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Price Condition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5.01(C)(i)(2)</w:t>
      </w:r>
    </w:p>
    <w:p>
      <w:pPr>
        <w:spacing w:after="0" w:line="23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1.03.</w:t>
      </w:r>
      <w:r>
        <w:rPr>
          <w:sz w:val="20"/>
          <w:szCs w:val="20"/>
          <w:color w:val="auto"/>
        </w:rPr>
        <w:tab/>
      </w:r>
      <w:r>
        <w:rPr>
          <w:rFonts w:ascii="Times New Roman" w:cs="Times New Roman" w:eastAsia="Times New Roman" w:hAnsi="Times New Roman"/>
          <w:sz w:val="21"/>
          <w:szCs w:val="21"/>
          <w:b w:val="1"/>
          <w:bCs w:val="1"/>
          <w:color w:val="auto"/>
        </w:rPr>
        <w:t>Rules of Construction.</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purposes of this Indenture:</w:t>
      </w:r>
    </w:p>
    <w:p>
      <w:pPr>
        <w:spacing w:after="0" w:line="220" w:lineRule="exact"/>
        <w:rPr>
          <w:sz w:val="20"/>
          <w:szCs w:val="20"/>
          <w:color w:val="auto"/>
        </w:rPr>
      </w:pPr>
    </w:p>
    <w:p>
      <w:pPr>
        <w:ind w:left="1180" w:hanging="524"/>
        <w:spacing w:after="0"/>
        <w:tabs>
          <w:tab w:leader="none" w:pos="11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expresses a command;</w:t>
      </w:r>
    </w:p>
    <w:p>
      <w:pPr>
        <w:spacing w:after="0" w:line="233"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a set of numerical values refers to the arithmetic average of such numerical values;</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words in the singular include the plural and in the plural include the singular, unless the context requires otherwise;</w:t>
      </w:r>
    </w:p>
    <w:p>
      <w:pPr>
        <w:spacing w:after="0" w:line="231" w:lineRule="exact"/>
        <w:rPr>
          <w:rFonts w:ascii="Times New Roman" w:cs="Times New Roman" w:eastAsia="Times New Roman" w:hAnsi="Times New Roman"/>
          <w:sz w:val="21"/>
          <w:szCs w:val="21"/>
          <w:color w:val="auto"/>
        </w:rPr>
      </w:pPr>
    </w:p>
    <w:p>
      <w:pPr>
        <w:ind w:firstLine="656"/>
        <w:spacing w:after="0" w:line="284" w:lineRule="auto"/>
        <w:tabs>
          <w:tab w:leader="none" w:pos="124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“hereof” and other words of similar import refer to this Indenture as a whole and not to any particular Article, Section or other subdivision of this Indenture, unless the context requires otherwise;</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currency mean the lawful currency of the United States of America, unless the context requires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w:t>
      </w:r>
    </w:p>
    <w:p>
      <w:pPr>
        <w:spacing w:after="0" w:line="19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exhibits, schedules and other attachments to this Indenture are deemed to form part of this Indenture; and</w:t>
      </w:r>
    </w:p>
    <w:p>
      <w:pPr>
        <w:spacing w:after="0" w:line="215" w:lineRule="exact"/>
        <w:rPr>
          <w:rFonts w:ascii="Times New Roman" w:cs="Times New Roman" w:eastAsia="Times New Roman" w:hAnsi="Times New Roman"/>
          <w:sz w:val="22"/>
          <w:szCs w:val="22"/>
          <w:color w:val="auto"/>
        </w:rPr>
      </w:pPr>
    </w:p>
    <w:p>
      <w:pPr>
        <w:jc w:val="both"/>
        <w:ind w:firstLine="656"/>
        <w:spacing w:after="0" w:line="265" w:lineRule="auto"/>
        <w:tabs>
          <w:tab w:leader="none" w:pos="111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when used with respect to a Note, means any Special Interest, Additional Interest (including, if applicable, Deferred Additional Interest) or Default Interest, in each case to the extent the same is payable on such Note, unless the context requires otherwise.</w:t>
      </w:r>
    </w:p>
    <w:p>
      <w:pPr>
        <w:spacing w:after="0" w:line="161" w:lineRule="exact"/>
        <w:rPr>
          <w:sz w:val="20"/>
          <w:szCs w:val="20"/>
          <w:color w:val="auto"/>
        </w:rPr>
      </w:pPr>
    </w:p>
    <w:p>
      <w:pPr>
        <w:ind w:left="4480"/>
        <w:spacing w:after="0"/>
        <w:tabs>
          <w:tab w:leader="none" w:pos="552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color w:val="auto"/>
        </w:rPr>
        <w:t>THE NOTES</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2.01.</w:t>
      </w:r>
      <w:r>
        <w:rPr>
          <w:sz w:val="20"/>
          <w:szCs w:val="20"/>
          <w:color w:val="auto"/>
        </w:rPr>
        <w:tab/>
      </w:r>
      <w:r>
        <w:rPr>
          <w:rFonts w:ascii="Times New Roman" w:cs="Times New Roman" w:eastAsia="Times New Roman" w:hAnsi="Times New Roman"/>
          <w:sz w:val="21"/>
          <w:szCs w:val="21"/>
          <w:b w:val="1"/>
          <w:bCs w:val="1"/>
          <w:color w:val="auto"/>
        </w:rPr>
        <w:t>Form, Dating and Denominations.</w:t>
      </w:r>
    </w:p>
    <w:p>
      <w:pPr>
        <w:spacing w:after="0" w:line="220" w:lineRule="exact"/>
        <w:rPr>
          <w:sz w:val="20"/>
          <w:szCs w:val="20"/>
          <w:color w:val="auto"/>
        </w:rPr>
      </w:pPr>
    </w:p>
    <w:p>
      <w:pPr>
        <w:jc w:val="both"/>
        <w:ind w:firstLine="217"/>
        <w:spacing w:after="0" w:line="265" w:lineRule="auto"/>
        <w:rPr>
          <w:sz w:val="20"/>
          <w:szCs w:val="20"/>
          <w:color w:val="auto"/>
        </w:rPr>
      </w:pPr>
      <w:r>
        <w:rPr>
          <w:rFonts w:ascii="Times New Roman" w:cs="Times New Roman" w:eastAsia="Times New Roman" w:hAnsi="Times New Roman"/>
          <w:sz w:val="22"/>
          <w:szCs w:val="22"/>
          <w:color w:val="auto"/>
        </w:rPr>
        <w:t xml:space="preserve">The Notes and the Trustee’s certificate of authentication will be substantially in the form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The Notes will bear the legends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and may bear notations, legends or endorsements required by law, stock exchange rule or usage or the Depositary. Each Note will be dated as of the date of its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27" w:name="page28"/>
    <w:bookmarkEnd w:id="27"/>
    <w:p>
      <w:pPr>
        <w:spacing w:after="0" w:line="225" w:lineRule="exact"/>
        <w:rPr>
          <w:sz w:val="20"/>
          <w:szCs w:val="20"/>
          <w:color w:val="auto"/>
        </w:rPr>
      </w:pPr>
    </w:p>
    <w:p>
      <w:pPr>
        <w:jc w:val="both"/>
        <w:ind w:firstLine="308"/>
        <w:spacing w:after="0" w:line="257" w:lineRule="auto"/>
        <w:rPr>
          <w:sz w:val="20"/>
          <w:szCs w:val="20"/>
          <w:color w:val="auto"/>
        </w:rPr>
      </w:pPr>
      <w:r>
        <w:rPr>
          <w:rFonts w:ascii="Times New Roman" w:cs="Times New Roman" w:eastAsia="Times New Roman" w:hAnsi="Times New Roman"/>
          <w:sz w:val="22"/>
          <w:szCs w:val="22"/>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w:t>
      </w: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Notes will be issuable only in registered form without interest coupons and only in Authorized Denominations.</w:t>
      </w:r>
    </w:p>
    <w:p>
      <w:pPr>
        <w:spacing w:after="0" w:line="247"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22"/>
          <w:szCs w:val="22"/>
          <w:color w:val="auto"/>
        </w:rPr>
        <w:t>Each certificate representing a Note will bear a unique registration number that is not affixed to any other certificate representing another outstanding Note.</w:t>
      </w:r>
    </w:p>
    <w:p>
      <w:pPr>
        <w:spacing w:after="0" w:line="185" w:lineRule="exact"/>
        <w:rPr>
          <w:sz w:val="20"/>
          <w:szCs w:val="20"/>
          <w:color w:val="auto"/>
        </w:rPr>
      </w:pPr>
    </w:p>
    <w:p>
      <w:pPr>
        <w:jc w:val="both"/>
        <w:ind w:firstLine="237"/>
        <w:spacing w:after="0" w:line="256" w:lineRule="auto"/>
        <w:rPr>
          <w:sz w:val="20"/>
          <w:szCs w:val="20"/>
          <w:color w:val="auto"/>
        </w:rPr>
      </w:pPr>
      <w:r>
        <w:rPr>
          <w:rFonts w:ascii="Times New Roman" w:cs="Times New Roman" w:eastAsia="Times New Roman" w:hAnsi="Times New Roman"/>
          <w:sz w:val="22"/>
          <w:szCs w:val="22"/>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to the extent that any provision of any Note conflicts with the provisions of this Indenture, the provisions of this Indenture will control for purposes of this Indenture and such Note.</w:t>
      </w:r>
    </w:p>
    <w:p>
      <w:pPr>
        <w:spacing w:after="0" w:line="19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2.02.</w:t>
      </w:r>
      <w:r>
        <w:rPr>
          <w:sz w:val="20"/>
          <w:szCs w:val="20"/>
          <w:color w:val="auto"/>
        </w:rPr>
        <w:tab/>
      </w:r>
      <w:r>
        <w:rPr>
          <w:rFonts w:ascii="Times New Roman" w:cs="Times New Roman" w:eastAsia="Times New Roman" w:hAnsi="Times New Roman"/>
          <w:sz w:val="21"/>
          <w:szCs w:val="21"/>
          <w:b w:val="1"/>
          <w:bCs w:val="1"/>
          <w:color w:val="auto"/>
        </w:rPr>
        <w:t>Execution, Authentication and Delivery.</w:t>
      </w:r>
    </w:p>
    <w:p>
      <w:pPr>
        <w:spacing w:after="0" w:line="220" w:lineRule="exact"/>
        <w:rPr>
          <w:sz w:val="20"/>
          <w:szCs w:val="20"/>
          <w:color w:val="auto"/>
        </w:rPr>
      </w:pPr>
    </w:p>
    <w:p>
      <w:pPr>
        <w:jc w:val="both"/>
        <w:ind w:firstLine="656"/>
        <w:spacing w:after="0" w:line="259" w:lineRule="auto"/>
        <w:tabs>
          <w:tab w:leader="none" w:pos="128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Due Execution by the Company</w:t>
      </w:r>
      <w:r>
        <w:rPr>
          <w:rFonts w:ascii="Times New Roman" w:cs="Times New Roman" w:eastAsia="Times New Roman" w:hAnsi="Times New Roman"/>
          <w:sz w:val="22"/>
          <w:szCs w:val="22"/>
          <w:color w:val="auto"/>
        </w:rPr>
        <w:t>. At least one (1) duly authorized Officer will sign the Notes on behalf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by manual, electronic or facsimile signature. A Note’s validity will not be affected by the failure of any Officer whose signature is on any Note to hold, at the time such Note is authenticated, the same or any other office at the Company.</w:t>
      </w:r>
    </w:p>
    <w:p>
      <w:pPr>
        <w:spacing w:after="0" w:line="17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 by the Trustee and Delivery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4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4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22"/>
          <w:szCs w:val="22"/>
          <w:b w:val="1"/>
          <w:bCs w:val="1"/>
          <w:color w:val="auto"/>
        </w:rPr>
        <w:t>Section 2.02(A)</w:t>
      </w:r>
      <w:r>
        <w:rPr>
          <w:rFonts w:ascii="Times New Roman" w:cs="Times New Roman" w:eastAsia="Times New Roman" w:hAnsi="Times New Roman"/>
          <w:sz w:val="22"/>
          <w:szCs w:val="22"/>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28" w:name="page29"/>
    <w:bookmarkEnd w:id="28"/>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8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2.03.</w:t>
      </w:r>
      <w:r>
        <w:rPr>
          <w:sz w:val="20"/>
          <w:szCs w:val="20"/>
          <w:color w:val="auto"/>
        </w:rPr>
        <w:tab/>
      </w:r>
      <w:r>
        <w:rPr>
          <w:rFonts w:ascii="Times New Roman" w:cs="Times New Roman" w:eastAsia="Times New Roman" w:hAnsi="Times New Roman"/>
          <w:sz w:val="21"/>
          <w:szCs w:val="21"/>
          <w:b w:val="1"/>
          <w:bCs w:val="1"/>
          <w:color w:val="auto"/>
        </w:rPr>
        <w:t>Initial Notes and Additional Notes.</w:t>
      </w:r>
    </w:p>
    <w:p>
      <w:pPr>
        <w:spacing w:after="0" w:line="220" w:lineRule="exact"/>
        <w:rPr>
          <w:sz w:val="20"/>
          <w:szCs w:val="20"/>
          <w:color w:val="auto"/>
        </w:rPr>
      </w:pPr>
    </w:p>
    <w:p>
      <w:pPr>
        <w:jc w:val="both"/>
        <w:ind w:firstLine="656"/>
        <w:spacing w:after="0" w:line="253" w:lineRule="auto"/>
        <w:tabs>
          <w:tab w:leader="none" w:pos="131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Notes</w:t>
      </w:r>
      <w:r>
        <w:rPr>
          <w:rFonts w:ascii="Times New Roman" w:cs="Times New Roman" w:eastAsia="Times New Roman" w:hAnsi="Times New Roman"/>
          <w:sz w:val="22"/>
          <w:szCs w:val="22"/>
          <w:color w:val="auto"/>
        </w:rPr>
        <w:t>. On the Issue Date, there will be originally issued one billion one hundred fifty million dollars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($1,150,000,000) aggregate principal amount of Notes, subject to the provisions of this Indenture (including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Notes issued pursuant to this </w:t>
      </w:r>
      <w:r>
        <w:rPr>
          <w:rFonts w:ascii="Times New Roman" w:cs="Times New Roman" w:eastAsia="Times New Roman" w:hAnsi="Times New Roman"/>
          <w:sz w:val="22"/>
          <w:szCs w:val="22"/>
          <w:b w:val="1"/>
          <w:bCs w:val="1"/>
          <w:color w:val="auto"/>
        </w:rPr>
        <w:t>Section 2.03(A)</w:t>
      </w:r>
      <w:r>
        <w:rPr>
          <w:rFonts w:ascii="Times New Roman" w:cs="Times New Roman" w:eastAsia="Times New Roman" w:hAnsi="Times New Roman"/>
          <w:sz w:val="22"/>
          <w:szCs w:val="22"/>
          <w:color w:val="auto"/>
        </w:rPr>
        <w:t>, and any Notes issued in exchange therefor or in substitution thereof, are referred to in this Indenture as the “</w:t>
      </w:r>
      <w:r>
        <w:rPr>
          <w:rFonts w:ascii="Times New Roman" w:cs="Times New Roman" w:eastAsia="Times New Roman" w:hAnsi="Times New Roman"/>
          <w:sz w:val="22"/>
          <w:szCs w:val="22"/>
          <w:b w:val="1"/>
          <w:bCs w:val="1"/>
          <w:color w:val="auto"/>
        </w:rPr>
        <w:t>Initial Notes</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56"/>
        <w:spacing w:after="0" w:line="249" w:lineRule="auto"/>
        <w:tabs>
          <w:tab w:leader="none" w:pos="117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Notes</w:t>
      </w:r>
      <w:r>
        <w:rPr>
          <w:rFonts w:ascii="Times New Roman" w:cs="Times New Roman" w:eastAsia="Times New Roman" w:hAnsi="Times New Roman"/>
          <w:sz w:val="22"/>
          <w:szCs w:val="22"/>
          <w:color w:val="auto"/>
        </w:rPr>
        <w:t>. Without the consent of any Holder, the Company may, subject to the provisions of this Indenture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(including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originally issue additional Notes with the same terms as the Initial Notes (except, to the extent applicable, with respect to the Last Original Issue Date of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such additional Notes (and any Notes that are resold after such Notes have been purchased or otherwise acquired by the Company or its Subsidiaries) are not fungible with other Notes issued under this Indenture for purposes of federal income tax or federal securities laws or, if applicable, the Depositary Procedures, then such additional or resold Notes will be identified by a separate CUSIP number or by no CUSIP number.</w:t>
      </w:r>
    </w:p>
    <w:p>
      <w:pPr>
        <w:spacing w:after="0" w:line="18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2.04.</w:t>
      </w:r>
      <w:r>
        <w:rPr>
          <w:sz w:val="20"/>
          <w:szCs w:val="20"/>
          <w:color w:val="auto"/>
        </w:rPr>
        <w:tab/>
      </w:r>
      <w:r>
        <w:rPr>
          <w:rFonts w:ascii="Times New Roman" w:cs="Times New Roman" w:eastAsia="Times New Roman" w:hAnsi="Times New Roman"/>
          <w:sz w:val="21"/>
          <w:szCs w:val="21"/>
          <w:b w:val="1"/>
          <w:bCs w:val="1"/>
          <w:color w:val="auto"/>
        </w:rPr>
        <w:t>Method of Payment.</w:t>
      </w:r>
    </w:p>
    <w:p>
      <w:pPr>
        <w:spacing w:after="0" w:line="220" w:lineRule="exact"/>
        <w:rPr>
          <w:sz w:val="20"/>
          <w:szCs w:val="20"/>
          <w:color w:val="auto"/>
        </w:rPr>
      </w:pPr>
    </w:p>
    <w:p>
      <w:pPr>
        <w:jc w:val="both"/>
        <w:ind w:firstLine="656"/>
        <w:spacing w:after="0" w:line="274" w:lineRule="auto"/>
        <w:tabs>
          <w:tab w:leader="none" w:pos="120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Global Notes</w:t>
      </w:r>
      <w:r>
        <w:rPr>
          <w:rFonts w:ascii="Times New Roman" w:cs="Times New Roman" w:eastAsia="Times New Roman" w:hAnsi="Times New Roman"/>
          <w:sz w:val="21"/>
          <w:szCs w:val="21"/>
          <w:color w:val="auto"/>
        </w:rPr>
        <w:t>. The Company will pay, or cause the Paying Agent to pay, the principal (whether due upon maturity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the Maturity Date, Redemption on a Redemption Date or repurchase on a Fundamental Change Repurchase Date or otherwise) of, Special Interest, if any, or Additional Interest, if any, on, and any cash Conversion Consideration for, any Global Note to the Depositary by wire transfer of immediately available funds no later than the time the same is due as provided in this Indenture.</w:t>
      </w:r>
    </w:p>
    <w:p>
      <w:pPr>
        <w:spacing w:after="0" w:line="152" w:lineRule="exact"/>
        <w:rPr>
          <w:rFonts w:ascii="Times New Roman" w:cs="Times New Roman" w:eastAsia="Times New Roman" w:hAnsi="Times New Roman"/>
          <w:sz w:val="21"/>
          <w:szCs w:val="21"/>
          <w:color w:val="auto"/>
        </w:rPr>
      </w:pPr>
    </w:p>
    <w:p>
      <w:pPr>
        <w:jc w:val="both"/>
        <w:ind w:firstLine="656"/>
        <w:spacing w:after="0" w:line="249" w:lineRule="auto"/>
        <w:tabs>
          <w:tab w:leader="none" w:pos="116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The Company will pay, or cause the Paying Agent to pay, the principal (whether due upon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Maturity Date, Redemption on a Redemption Date or repurchase on a Fundamental Change Repurchase Date or otherwise) of, Special Interest, if any, or Additional Interest, if any,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22"/>
          <w:szCs w:val="22"/>
          <w:color w:val="auto"/>
        </w:rPr>
        <w:t>Close of Business on the following date: (x) with respect to the payment of Special Interest or Additional Interest, if any, due on an Interest Payment Date, the immediately preceding Interest Record Date; (y) with respect to any cash Conversion Consideration, the relevant Conversion Date; and (z) with respect to any other payment, the date that is fifteen (15) calendar days immediately before the date such payment is due.</w:t>
      </w:r>
    </w:p>
    <w:p>
      <w:pPr>
        <w:spacing w:after="0" w:line="17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Section 2.05. No Regular Interest; Accrual and Payment of Special Interest and Additional Interest; Defaulted Amounts; When Payment Date is Not a Business Day.</w:t>
      </w:r>
    </w:p>
    <w:p>
      <w:pPr>
        <w:spacing w:after="0" w:line="149" w:lineRule="exact"/>
        <w:rPr>
          <w:sz w:val="20"/>
          <w:szCs w:val="20"/>
          <w:color w:val="auto"/>
        </w:rPr>
      </w:pPr>
    </w:p>
    <w:p>
      <w:pPr>
        <w:jc w:val="both"/>
        <w:ind w:firstLine="656"/>
        <w:spacing w:after="0" w:line="248" w:lineRule="auto"/>
        <w:tabs>
          <w:tab w:leader="none" w:pos="127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Regular Interest; Accrual and Payment of Special Interest and Additional Interest</w:t>
      </w:r>
      <w:r>
        <w:rPr>
          <w:rFonts w:ascii="Times New Roman" w:cs="Times New Roman" w:eastAsia="Times New Roman" w:hAnsi="Times New Roman"/>
          <w:sz w:val="22"/>
          <w:szCs w:val="22"/>
          <w:color w:val="auto"/>
        </w:rPr>
        <w:t>. The Notes will not bear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regular interest, and the principal amount of the Notes will not accrete;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Additional Interest and Special Interest will accrue on the Notes to the extent, and only to the extent, provided in </w:t>
      </w:r>
      <w:r>
        <w:rPr>
          <w:rFonts w:ascii="Times New Roman" w:cs="Times New Roman" w:eastAsia="Times New Roman" w:hAnsi="Times New Roman"/>
          <w:sz w:val="22"/>
          <w:szCs w:val="22"/>
          <w:b w:val="1"/>
          <w:bCs w:val="1"/>
          <w:color w:val="auto"/>
        </w:rPr>
        <w:t>Sections 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7.03</w:t>
      </w:r>
      <w:r>
        <w:rPr>
          <w:rFonts w:ascii="Times New Roman" w:cs="Times New Roman" w:eastAsia="Times New Roman" w:hAnsi="Times New Roman"/>
          <w:sz w:val="22"/>
          <w:szCs w:val="22"/>
          <w:color w:val="auto"/>
        </w:rPr>
        <w:t xml:space="preserve">, respectively. The amount of any such Special Interest or Additional Interest that is payable on any applicable Interest Payment Date will be the amount of unpaid Special Interest or Additional Interest, as applicable, that has accrued from, and including, the last date as of which such interest has been paid or duly provided for (or if later, the date as of which such interest has begun to accrue, as provided in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7.03</w:t>
      </w:r>
      <w:r>
        <w:rPr>
          <w:rFonts w:ascii="Times New Roman" w:cs="Times New Roman" w:eastAsia="Times New Roman" w:hAnsi="Times New Roman"/>
          <w:sz w:val="22"/>
          <w:szCs w:val="22"/>
          <w:color w:val="auto"/>
        </w:rPr>
        <w:t xml:space="preserve">, as applicable) to, but excluding, such Interest Payment Date (or, if earlier, the date as of which such interest has ceased to accrue, as provided in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7.03</w:t>
      </w:r>
      <w:r>
        <w:rPr>
          <w:rFonts w:ascii="Times New Roman" w:cs="Times New Roman" w:eastAsia="Times New Roman" w:hAnsi="Times New Roman"/>
          <w:sz w:val="22"/>
          <w:szCs w:val="22"/>
          <w:color w:val="auto"/>
        </w:rPr>
        <w:t xml:space="preserve">, as applicable). Subject to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if any Special Interest or Additional Interest has accrued on any Note, then such interest will be payable in arrears on the next Interest Payment Date to the Holder of such Note as of the Close of Business on the immediately preceding Interest Record Date. Additional Interest and Special Interest, if any, on the Notes will be computed on the basis of a 360-day year comprised of twelve 30-day months.</w:t>
      </w:r>
    </w:p>
    <w:p>
      <w:pPr>
        <w:spacing w:after="0" w:line="184" w:lineRule="exact"/>
        <w:rPr>
          <w:rFonts w:ascii="Times New Roman" w:cs="Times New Roman" w:eastAsia="Times New Roman" w:hAnsi="Times New Roman"/>
          <w:sz w:val="22"/>
          <w:szCs w:val="22"/>
          <w:color w:val="auto"/>
        </w:rPr>
      </w:pPr>
    </w:p>
    <w:p>
      <w:pPr>
        <w:jc w:val="both"/>
        <w:ind w:firstLine="656"/>
        <w:spacing w:after="0" w:line="275" w:lineRule="auto"/>
        <w:tabs>
          <w:tab w:leader="none" w:pos="1152"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Defaulted Amounts</w:t>
      </w:r>
      <w:r>
        <w:rPr>
          <w:rFonts w:ascii="Times New Roman" w:cs="Times New Roman" w:eastAsia="Times New Roman" w:hAnsi="Times New Roman"/>
          <w:sz w:val="21"/>
          <w:szCs w:val="21"/>
          <w:color w:val="auto"/>
        </w:rPr>
        <w:t>. If the Company fails to pay any cash amount (a “</w:t>
      </w:r>
      <w:r>
        <w:rPr>
          <w:rFonts w:ascii="Times New Roman" w:cs="Times New Roman" w:eastAsia="Times New Roman" w:hAnsi="Times New Roman"/>
          <w:sz w:val="21"/>
          <w:szCs w:val="21"/>
          <w:b w:val="1"/>
          <w:bCs w:val="1"/>
          <w:color w:val="auto"/>
        </w:rPr>
        <w:t>Defaulted Amount</w:t>
      </w:r>
      <w:r>
        <w:rPr>
          <w:rFonts w:ascii="Times New Roman" w:cs="Times New Roman" w:eastAsia="Times New Roman" w:hAnsi="Times New Roman"/>
          <w:sz w:val="21"/>
          <w:szCs w:val="21"/>
          <w:color w:val="auto"/>
        </w:rPr>
        <w:t>”) payable on a Note on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before the due date therefor as provided in this Indenture, then, regardless of whether such failure constitutes an Event of Default,</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2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Defaulted Amount will forthwith cease to be payable to the Holder of such Note otherwise entitled to such payment; (ii) to the extent lawful, interest (“</w:t>
      </w:r>
      <w:r>
        <w:rPr>
          <w:rFonts w:ascii="Times New Roman" w:cs="Times New Roman" w:eastAsia="Times New Roman" w:hAnsi="Times New Roman"/>
          <w:sz w:val="22"/>
          <w:szCs w:val="22"/>
          <w:b w:val="1"/>
          <w:bCs w:val="1"/>
          <w:color w:val="auto"/>
        </w:rPr>
        <w:t>Default Interest</w:t>
      </w:r>
      <w:r>
        <w:rPr>
          <w:rFonts w:ascii="Times New Roman" w:cs="Times New Roman" w:eastAsia="Times New Roman" w:hAnsi="Times New Roman"/>
          <w:sz w:val="22"/>
          <w:szCs w:val="22"/>
          <w:color w:val="auto"/>
        </w:rPr>
        <w:t xml:space="preserve">”) will accrue on such Defaulted Amount for each day, if any, during the period from, and including, such due date to, but excluding, the date of payment of such Defaulted Amount and Default Interest, which Default Interest will accrue on each such day at the combined rate at which Special Interest and Additional Interest accrue on such Note on such day (it being understood, for the avoidance of doubt, that no Default Interest will accrue on such Note on any day on which no Special Interest or Additional Interest accrues on such Note); and (iii) such Defaulted Amount and Default Interest will be paid, at the Company’s election, as provided in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below.</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36"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Default Amounts on a Special Payment Date</w:t>
      </w:r>
      <w:r>
        <w:rPr>
          <w:rFonts w:ascii="Times New Roman" w:cs="Times New Roman" w:eastAsia="Times New Roman" w:hAnsi="Times New Roman"/>
          <w:sz w:val="22"/>
          <w:szCs w:val="22"/>
          <w:color w:val="auto"/>
        </w:rPr>
        <w:t>. The Company will have the right to pay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Defaulted Amount and Default Interest on a payment date selected by the Company to the Holder of such Note as of the Close of Business on a special record date selected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(1) such special record date is no more than fifteen (15), nor less than ten (10), calendar days before such payment date; and (2) at least fifteen (15) calendar days before such special record date, the Company sends notice to the Trustee and the Holders that states such special record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22"/>
          <w:szCs w:val="22"/>
          <w:color w:val="auto"/>
        </w:rPr>
        <w:t>payment date and the amount of such Defaulted Amount and Default Interest to be paid on such payment date.</w:t>
      </w:r>
    </w:p>
    <w:p>
      <w:pPr>
        <w:spacing w:after="0" w:line="216" w:lineRule="exact"/>
        <w:rPr>
          <w:sz w:val="20"/>
          <w:szCs w:val="20"/>
          <w:color w:val="auto"/>
        </w:rPr>
      </w:pPr>
    </w:p>
    <w:p>
      <w:pPr>
        <w:ind w:left="660" w:right="20" w:firstLine="644"/>
        <w:spacing w:after="0" w:line="275" w:lineRule="auto"/>
        <w:tabs>
          <w:tab w:leader="none" w:pos="180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Default Amount in Any Other Lawful Manner</w:t>
      </w:r>
      <w:r>
        <w:rPr>
          <w:rFonts w:ascii="Times New Roman" w:cs="Times New Roman" w:eastAsia="Times New Roman" w:hAnsi="Times New Roman"/>
          <w:sz w:val="22"/>
          <w:szCs w:val="22"/>
          <w:color w:val="auto"/>
        </w:rPr>
        <w:t>. If not paid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2.05(B)(i)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Defaulted Amount and Default Interest will be paid by the Company in any other lawful manner.</w:t>
      </w:r>
    </w:p>
    <w:p>
      <w:pPr>
        <w:spacing w:after="0" w:line="163" w:lineRule="exact"/>
        <w:rPr>
          <w:sz w:val="20"/>
          <w:szCs w:val="20"/>
          <w:color w:val="auto"/>
        </w:rPr>
      </w:pPr>
    </w:p>
    <w:p>
      <w:pPr>
        <w:jc w:val="both"/>
        <w:ind w:firstLine="368"/>
        <w:spacing w:after="0" w:line="251"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2.05(B)</w:t>
      </w:r>
      <w:r>
        <w:rPr>
          <w:rFonts w:ascii="Times New Roman" w:cs="Times New Roman" w:eastAsia="Times New Roman" w:hAnsi="Times New Roman"/>
          <w:sz w:val="22"/>
          <w:szCs w:val="22"/>
          <w:color w:val="auto"/>
        </w:rPr>
        <w:t xml:space="preserve"> (but, for the avoidance of doubt, without limiting the application of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of the second sentence of </w:t>
      </w:r>
      <w:r>
        <w:rPr>
          <w:rFonts w:ascii="Times New Roman" w:cs="Times New Roman" w:eastAsia="Times New Roman" w:hAnsi="Times New Roman"/>
          <w:sz w:val="22"/>
          <w:szCs w:val="22"/>
          <w:b w:val="1"/>
          <w:bCs w:val="1"/>
          <w:color w:val="auto"/>
        </w:rPr>
        <w:t>Section 7.06</w:t>
      </w:r>
      <w:r>
        <w:rPr>
          <w:rFonts w:ascii="Times New Roman" w:cs="Times New Roman" w:eastAsia="Times New Roman" w:hAnsi="Times New Roman"/>
          <w:sz w:val="22"/>
          <w:szCs w:val="22"/>
          <w:color w:val="auto"/>
        </w:rPr>
        <w:t xml:space="preserve">), a Default in the payment or delivery of any Conversion Consideration when due will be cured upon the payment or delivery of the same (together, if applicable in the case of any cash Conversion Consideration, with Default Interest thereon) to the Person to whom such Conversion Consideration is payable or deliverable (determined in accordance with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656"/>
        <w:spacing w:after="0" w:line="249" w:lineRule="auto"/>
        <w:tabs>
          <w:tab w:leader="none" w:pos="117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Delay of Payment When Payment Date Is Not a Business Day</w:t>
      </w:r>
      <w:r>
        <w:rPr>
          <w:rFonts w:ascii="Times New Roman" w:cs="Times New Roman" w:eastAsia="Times New Roman" w:hAnsi="Times New Roman"/>
          <w:sz w:val="22"/>
          <w:szCs w:val="22"/>
          <w:color w:val="auto"/>
        </w:rPr>
        <w:t>. If the due date for a payment on a Note as 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Indenture is not a Business Day, then, notwithstanding anything to the contrary in this Indenture or the Notes, such payment may be made on the immediately following Business Day with the same force and effect as if the payment were made on that due date,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19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0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Provision for Global Notes</w:t>
      </w:r>
      <w:r>
        <w:rPr>
          <w:rFonts w:ascii="Times New Roman" w:cs="Times New Roman" w:eastAsia="Times New Roman" w:hAnsi="Times New Roman"/>
          <w:sz w:val="22"/>
          <w:szCs w:val="22"/>
          <w:color w:val="auto"/>
        </w:rPr>
        <w:t>. If the first date on which any Special Interest or Additional Interest begins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accrue on a Global Note is on or after the fifth (5th) Business Day before an Interest Record Date and before the next Interest Payment Date, then, notwithstanding anything to the contrary in this Indenture or the Notes, the amount thereof accruing in respect of the period from, and including, such first date to, but excluding, such Interest Payment Date will not be payable on such Interest Payment Date but will instead be deemed to accrue (without duplication) entirely on such Interest Payment Date (and, for the avoidance of doubt, no interest will accrue as a result of the related delay).</w:t>
      </w:r>
    </w:p>
    <w:p>
      <w:pPr>
        <w:spacing w:after="0" w:line="1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2.06.</w:t>
      </w:r>
      <w:r>
        <w:rPr>
          <w:sz w:val="20"/>
          <w:szCs w:val="20"/>
          <w:color w:val="auto"/>
        </w:rPr>
        <w:tab/>
      </w:r>
      <w:r>
        <w:rPr>
          <w:rFonts w:ascii="Times New Roman" w:cs="Times New Roman" w:eastAsia="Times New Roman" w:hAnsi="Times New Roman"/>
          <w:sz w:val="21"/>
          <w:szCs w:val="21"/>
          <w:b w:val="1"/>
          <w:bCs w:val="1"/>
          <w:color w:val="auto"/>
        </w:rPr>
        <w:t>Registrar, Paying Agent and Conversion Agent.</w:t>
      </w:r>
    </w:p>
    <w:p>
      <w:pPr>
        <w:spacing w:after="0" w:line="220" w:lineRule="exact"/>
        <w:rPr>
          <w:sz w:val="20"/>
          <w:szCs w:val="20"/>
          <w:color w:val="auto"/>
        </w:rPr>
      </w:pPr>
    </w:p>
    <w:p>
      <w:pPr>
        <w:jc w:val="both"/>
        <w:ind w:firstLine="656"/>
        <w:spacing w:after="0" w:line="248" w:lineRule="auto"/>
        <w:tabs>
          <w:tab w:leader="none" w:pos="117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maintain (i) an office or agency in the continental United States where Notes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presented for registration of transfer or for exchange (the “</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(ii) an office or agency in the continental United States where Notes may be presented for payment (the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and (iii) an office or agency in the continental United States where Notes may be presented for Conversion (the “</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xml:space="preserve">”). If the Company fails to maintain a Registrar, Paying Agent or Conversion Agent, then the Trustee will act as such and will receive compensation therefor in accordance with this Indenture and any other agreement between the Trustee and the Company. For the avoidance of doubt, the Company or any of its Subsidiaries may act as Registrar, Paying Agent or Conversion Agent. Notwithstanding anything to the contrary in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2.06(A)</w:t>
      </w:r>
      <w:r>
        <w:rPr>
          <w:rFonts w:ascii="Times New Roman" w:cs="Times New Roman" w:eastAsia="Times New Roman" w:hAnsi="Times New Roman"/>
          <w:sz w:val="22"/>
          <w:szCs w:val="22"/>
          <w:color w:val="auto"/>
        </w:rPr>
        <w:t>, each of the Registrar, Paying Agent and Conversion Agent with respect to any Global Note must at all times be a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eligible to act in that capacity under the Depositary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31" w:name="page32"/>
    <w:bookmarkEnd w:id="31"/>
    <w:p>
      <w:pPr>
        <w:jc w:val="both"/>
        <w:ind w:firstLine="656"/>
        <w:spacing w:after="0" w:line="254" w:lineRule="auto"/>
        <w:tabs>
          <w:tab w:leader="none" w:pos="128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Duties of the Registrar</w:t>
      </w:r>
      <w:r>
        <w:rPr>
          <w:rFonts w:ascii="Times New Roman" w:cs="Times New Roman" w:eastAsia="Times New Roman" w:hAnsi="Times New Roman"/>
          <w:sz w:val="22"/>
          <w:szCs w:val="22"/>
          <w:color w:val="auto"/>
        </w:rPr>
        <w:t>. The Registrar will keep a record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of the names and addresses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3" w:lineRule="exact"/>
        <w:rPr>
          <w:rFonts w:ascii="Times New Roman" w:cs="Times New Roman" w:eastAsia="Times New Roman" w:hAnsi="Times New Roman"/>
          <w:sz w:val="22"/>
          <w:szCs w:val="22"/>
          <w:color w:val="auto"/>
        </w:rPr>
      </w:pPr>
    </w:p>
    <w:p>
      <w:pPr>
        <w:jc w:val="both"/>
        <w:ind w:firstLine="656"/>
        <w:spacing w:after="0" w:line="264" w:lineRule="auto"/>
        <w:tabs>
          <w:tab w:leader="none" w:pos="135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Co-Agents; Company’s Right to Appoint Successor Registrars, Paying Agents and Conversion Agents</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Company may appoint one or 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21"/>
          <w:szCs w:val="21"/>
          <w:b w:val="1"/>
          <w:bCs w:val="1"/>
          <w:color w:val="auto"/>
        </w:rPr>
        <w:t>Section 2.06(A)</w:t>
      </w:r>
      <w:r>
        <w:rPr>
          <w:rFonts w:ascii="Times New Roman" w:cs="Times New Roman" w:eastAsia="Times New Roman" w:hAnsi="Times New Roman"/>
          <w:sz w:val="21"/>
          <w:szCs w:val="21"/>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65" w:lineRule="exact"/>
        <w:rPr>
          <w:rFonts w:ascii="Times New Roman" w:cs="Times New Roman" w:eastAsia="Times New Roman" w:hAnsi="Times New Roman"/>
          <w:sz w:val="21"/>
          <w:szCs w:val="21"/>
          <w:color w:val="auto"/>
        </w:rPr>
      </w:pPr>
    </w:p>
    <w:p>
      <w:pPr>
        <w:jc w:val="both"/>
        <w:ind w:firstLine="656"/>
        <w:spacing w:after="0" w:line="265" w:lineRule="auto"/>
        <w:tabs>
          <w:tab w:leader="none" w:pos="123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Initial Appointments</w:t>
      </w:r>
      <w:r>
        <w:rPr>
          <w:rFonts w:ascii="Times New Roman" w:cs="Times New Roman" w:eastAsia="Times New Roman" w:hAnsi="Times New Roman"/>
          <w:sz w:val="22"/>
          <w:szCs w:val="22"/>
          <w:color w:val="auto"/>
        </w:rPr>
        <w:t>. The Company appoints the Trustee as, and designates its corporate trust office identified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12.01 </w:t>
      </w:r>
      <w:r>
        <w:rPr>
          <w:rFonts w:ascii="Times New Roman" w:cs="Times New Roman" w:eastAsia="Times New Roman" w:hAnsi="Times New Roman"/>
          <w:sz w:val="22"/>
          <w:szCs w:val="22"/>
          <w:color w:val="auto"/>
        </w:rPr>
        <w:t>(as the same exists on the Issue Date) in the continental United States as the office for, the initial Paying Agent,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initial Registrar and the initial Conversion Agent.</w:t>
      </w:r>
    </w:p>
    <w:p>
      <w:pPr>
        <w:spacing w:after="0" w:line="16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2.07.</w:t>
      </w:r>
      <w:r>
        <w:rPr>
          <w:sz w:val="20"/>
          <w:szCs w:val="20"/>
          <w:color w:val="auto"/>
        </w:rPr>
        <w:tab/>
      </w:r>
      <w:r>
        <w:rPr>
          <w:rFonts w:ascii="Times New Roman" w:cs="Times New Roman" w:eastAsia="Times New Roman" w:hAnsi="Times New Roman"/>
          <w:sz w:val="21"/>
          <w:szCs w:val="21"/>
          <w:b w:val="1"/>
          <w:bCs w:val="1"/>
          <w:color w:val="auto"/>
        </w:rPr>
        <w:t>Paying Agent and Conversion Agent to Hold Property in Trust.</w:t>
      </w:r>
    </w:p>
    <w:p>
      <w:pPr>
        <w:spacing w:after="0" w:line="224" w:lineRule="exact"/>
        <w:rPr>
          <w:sz w:val="20"/>
          <w:szCs w:val="20"/>
          <w:color w:val="auto"/>
        </w:rPr>
      </w:pPr>
    </w:p>
    <w:p>
      <w:pPr>
        <w:jc w:val="both"/>
        <w:ind w:firstLine="262"/>
        <w:spacing w:after="0" w:line="248" w:lineRule="auto"/>
        <w:rPr>
          <w:sz w:val="20"/>
          <w:szCs w:val="20"/>
          <w:color w:val="auto"/>
        </w:rPr>
      </w:pPr>
      <w:r>
        <w:rPr>
          <w:rFonts w:ascii="Times New Roman" w:cs="Times New Roman" w:eastAsia="Times New Roman" w:hAnsi="Times New Roman"/>
          <w:sz w:val="22"/>
          <w:szCs w:val="22"/>
          <w:color w:val="auto"/>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22"/>
          <w:szCs w:val="22"/>
          <w:b w:val="1"/>
          <w:bCs w:val="1"/>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(xi)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18" w:right="339" w:bottom="1440" w:gutter="0" w:footer="0" w:header="0"/>
        </w:sectPr>
      </w:pPr>
    </w:p>
    <w:bookmarkStart w:id="32" w:name="page33"/>
    <w:bookmarkEnd w:id="32"/>
    <w:p>
      <w:pPr>
        <w:spacing w:after="0" w:line="2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2.08.</w:t>
      </w:r>
      <w:r>
        <w:rPr>
          <w:sz w:val="20"/>
          <w:szCs w:val="20"/>
          <w:color w:val="auto"/>
        </w:rPr>
        <w:tab/>
      </w:r>
      <w:r>
        <w:rPr>
          <w:rFonts w:ascii="Times New Roman" w:cs="Times New Roman" w:eastAsia="Times New Roman" w:hAnsi="Times New Roman"/>
          <w:sz w:val="21"/>
          <w:szCs w:val="21"/>
          <w:b w:val="1"/>
          <w:bCs w:val="1"/>
          <w:color w:val="auto"/>
        </w:rPr>
        <w:t>Holder Lists.</w:t>
      </w:r>
    </w:p>
    <w:p>
      <w:pPr>
        <w:spacing w:after="0" w:line="224" w:lineRule="exact"/>
        <w:rPr>
          <w:sz w:val="20"/>
          <w:szCs w:val="20"/>
          <w:color w:val="auto"/>
        </w:rPr>
      </w:pPr>
    </w:p>
    <w:p>
      <w:pPr>
        <w:jc w:val="both"/>
        <w:ind w:firstLine="251"/>
        <w:spacing w:after="0" w:line="256" w:lineRule="auto"/>
        <w:rPr>
          <w:sz w:val="20"/>
          <w:szCs w:val="20"/>
          <w:color w:val="auto"/>
        </w:rPr>
      </w:pPr>
      <w:r>
        <w:rPr>
          <w:rFonts w:ascii="Times New Roman" w:cs="Times New Roman" w:eastAsia="Times New Roman" w:hAnsi="Times New Roman"/>
          <w:sz w:val="22"/>
          <w:szCs w:val="22"/>
          <w:color w:val="auto"/>
        </w:rPr>
        <w:t>If the Trustee is not the Registrar, then the Company will furnish to the Trustee, no later than seven (7) Business Days before each Interest Payment Date in respect of which any Special Interest or Additional Interest is payable, and at such other times as the Trustee may request, a list, in such form and as of such date or time as the Trustee may reasonably require, of the names and addresses of the Holders.</w:t>
      </w:r>
    </w:p>
    <w:p>
      <w:pPr>
        <w:spacing w:after="0" w:line="19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2.09.</w:t>
      </w:r>
      <w:r>
        <w:rPr>
          <w:sz w:val="20"/>
          <w:szCs w:val="20"/>
          <w:color w:val="auto"/>
        </w:rPr>
        <w:tab/>
      </w:r>
      <w:r>
        <w:rPr>
          <w:rFonts w:ascii="Times New Roman" w:cs="Times New Roman" w:eastAsia="Times New Roman" w:hAnsi="Times New Roman"/>
          <w:sz w:val="21"/>
          <w:szCs w:val="21"/>
          <w:b w:val="1"/>
          <w:bCs w:val="1"/>
          <w:color w:val="auto"/>
        </w:rPr>
        <w:t>Legends.</w:t>
      </w:r>
    </w:p>
    <w:p>
      <w:pPr>
        <w:spacing w:after="0" w:line="220" w:lineRule="exact"/>
        <w:rPr>
          <w:sz w:val="20"/>
          <w:szCs w:val="20"/>
          <w:color w:val="auto"/>
        </w:rPr>
      </w:pPr>
    </w:p>
    <w:p>
      <w:pPr>
        <w:ind w:firstLine="656"/>
        <w:spacing w:after="0" w:line="275" w:lineRule="auto"/>
        <w:tabs>
          <w:tab w:leader="none" w:pos="12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 Legend</w:t>
      </w:r>
      <w:r>
        <w:rPr>
          <w:rFonts w:ascii="Times New Roman" w:cs="Times New Roman" w:eastAsia="Times New Roman" w:hAnsi="Times New Roman"/>
          <w:sz w:val="22"/>
          <w:szCs w:val="22"/>
          <w:color w:val="auto"/>
        </w:rPr>
        <w:t>. Each Global Note will bear the Global Note Legend (or any similar legend, not inconsistent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this Indenture, required by the Depositary for such Global Note).</w:t>
      </w:r>
    </w:p>
    <w:p>
      <w:pPr>
        <w:spacing w:after="0" w:line="162"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Non-Affiliate Legend</w:t>
      </w:r>
      <w:r>
        <w:rPr>
          <w:rFonts w:ascii="Times New Roman" w:cs="Times New Roman" w:eastAsia="Times New Roman" w:hAnsi="Times New Roman"/>
          <w:sz w:val="22"/>
          <w:szCs w:val="22"/>
          <w:color w:val="auto"/>
        </w:rPr>
        <w:t>. Each Note will bear the Non-Affiliate Legend.</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Note Legend</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that is a Transfer-Restricted Security will bear the Restricted Note Legend;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0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22"/>
          <w:szCs w:val="22"/>
          <w:b w:val="1"/>
          <w:bCs w:val="1"/>
          <w:color w:val="auto"/>
        </w:rPr>
        <w:t>Section 2.09(C)(ii)</w:t>
      </w:r>
      <w:r>
        <w:rPr>
          <w:rFonts w:ascii="Times New Roman" w:cs="Times New Roman" w:eastAsia="Times New Roman" w:hAnsi="Times New Roman"/>
          <w:sz w:val="22"/>
          <w:szCs w:val="22"/>
          <w:color w:val="auto"/>
        </w:rPr>
        <w:t xml:space="preserve">), including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2.10(B)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2.10(C)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2.11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2.13</w:t>
      </w:r>
      <w:r>
        <w:rPr>
          <w:rFonts w:ascii="Times New Roman" w:cs="Times New Roman" w:eastAsia="Times New Roman" w:hAnsi="Times New Roman"/>
          <w:sz w:val="22"/>
          <w:szCs w:val="22"/>
          <w:color w:val="auto"/>
        </w:rPr>
        <w:t>, then such Note will bear the Restricted Note Legend if such old Note bore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Note Legend at the time of such exchange or substitution, or on the related Conversion Date with respect to such Conversion,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Note need not bear the Restricted Note Legend if such Note does not constitute a Transfer-Restricted Security immediately after such exchange or substitution, or as of such Conversion Date, as applicable.</w:t>
      </w:r>
    </w:p>
    <w:p>
      <w:pPr>
        <w:spacing w:after="0" w:line="176" w:lineRule="exact"/>
        <w:rPr>
          <w:rFonts w:ascii="Times New Roman" w:cs="Times New Roman" w:eastAsia="Times New Roman" w:hAnsi="Times New Roman"/>
          <w:sz w:val="22"/>
          <w:szCs w:val="22"/>
          <w:color w:val="auto"/>
        </w:rPr>
      </w:pPr>
    </w:p>
    <w:p>
      <w:pPr>
        <w:ind w:firstLine="656"/>
        <w:spacing w:after="0" w:line="313" w:lineRule="auto"/>
        <w:tabs>
          <w:tab w:leader="none" w:pos="119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Other Legends</w:t>
      </w:r>
      <w:r>
        <w:rPr>
          <w:rFonts w:ascii="Times New Roman" w:cs="Times New Roman" w:eastAsia="Times New Roman" w:hAnsi="Times New Roman"/>
          <w:sz w:val="21"/>
          <w:szCs w:val="21"/>
          <w:color w:val="auto"/>
        </w:rPr>
        <w:t>. A Note may bear any other legend or text, not inconsistent with this Indenture, as may be required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applicable law or by any securities exchange or automated quotation system on which such Note is traded or quoted.</w:t>
      </w:r>
    </w:p>
    <w:p>
      <w:pPr>
        <w:spacing w:after="0" w:line="112" w:lineRule="exact"/>
        <w:rPr>
          <w:rFonts w:ascii="Times New Roman" w:cs="Times New Roman" w:eastAsia="Times New Roman" w:hAnsi="Times New Roman"/>
          <w:sz w:val="21"/>
          <w:szCs w:val="21"/>
          <w:color w:val="auto"/>
        </w:rPr>
      </w:pPr>
    </w:p>
    <w:p>
      <w:pPr>
        <w:jc w:val="both"/>
        <w:ind w:firstLine="656"/>
        <w:spacing w:after="0" w:line="259" w:lineRule="auto"/>
        <w:tabs>
          <w:tab w:leader="none" w:pos="11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Acknowledgment and Agreement by the Holders</w:t>
      </w:r>
      <w:r>
        <w:rPr>
          <w:rFonts w:ascii="Times New Roman" w:cs="Times New Roman" w:eastAsia="Times New Roman" w:hAnsi="Times New Roman"/>
          <w:sz w:val="22"/>
          <w:szCs w:val="22"/>
          <w:color w:val="auto"/>
        </w:rPr>
        <w:t>. A Holder’s acceptance of any Note bearing any legend required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will constitute such Holder’s acknowledgment of, and agreement to comply with, the restrictions set forth in such legend.</w:t>
      </w:r>
    </w:p>
    <w:p>
      <w:pPr>
        <w:spacing w:after="0" w:line="166"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Stock Legend</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Conversion Share need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33" w:name="page34"/>
    <w:bookmarkEnd w:id="33"/>
    <w:p>
      <w:pPr>
        <w:ind w:left="660"/>
        <w:spacing w:after="0" w:line="271" w:lineRule="auto"/>
        <w:rPr>
          <w:sz w:val="20"/>
          <w:szCs w:val="20"/>
          <w:color w:val="auto"/>
        </w:rPr>
      </w:pPr>
      <w:r>
        <w:rPr>
          <w:rFonts w:ascii="Times New Roman" w:cs="Times New Roman" w:eastAsia="Times New Roman" w:hAnsi="Times New Roman"/>
          <w:sz w:val="22"/>
          <w:szCs w:val="22"/>
          <w:color w:val="auto"/>
        </w:rPr>
        <w:t>bear the Restricted Stock Legend if the Company determines, in its reasonable discretion, that such Conversion Share need not bear the Restricted Stock Legend.</w:t>
      </w:r>
    </w:p>
    <w:p>
      <w:pPr>
        <w:spacing w:after="0" w:line="154" w:lineRule="exact"/>
        <w:rPr>
          <w:sz w:val="20"/>
          <w:szCs w:val="20"/>
          <w:color w:val="auto"/>
        </w:rPr>
      </w:pPr>
    </w:p>
    <w:p>
      <w:pPr>
        <w:jc w:val="both"/>
        <w:ind w:left="660" w:firstLine="644"/>
        <w:spacing w:after="0" w:line="274" w:lineRule="auto"/>
        <w:tabs>
          <w:tab w:leader="none" w:pos="193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b w:val="1"/>
          <w:bCs w:val="1"/>
          <w:color w:val="auto"/>
        </w:rPr>
        <w:t>Section 2.09(F)</w:t>
      </w:r>
      <w:r>
        <w:rPr>
          <w:rFonts w:ascii="Times New Roman" w:cs="Times New Roman" w:eastAsia="Times New Roman" w:hAnsi="Times New Roman"/>
          <w:sz w:val="21"/>
          <w:szCs w:val="21"/>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5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2.10.</w:t>
      </w:r>
      <w:r>
        <w:rPr>
          <w:sz w:val="20"/>
          <w:szCs w:val="20"/>
          <w:color w:val="auto"/>
        </w:rPr>
        <w:tab/>
      </w:r>
      <w:r>
        <w:rPr>
          <w:rFonts w:ascii="Times New Roman" w:cs="Times New Roman" w:eastAsia="Times New Roman" w:hAnsi="Times New Roman"/>
          <w:sz w:val="21"/>
          <w:szCs w:val="21"/>
          <w:b w:val="1"/>
          <w:bCs w:val="1"/>
          <w:color w:val="auto"/>
        </w:rPr>
        <w:t>Transfers and Exchanges; Certain Transfer Restrictions.</w:t>
      </w:r>
    </w:p>
    <w:p>
      <w:pPr>
        <w:spacing w:after="0" w:line="220" w:lineRule="exact"/>
        <w:rPr>
          <w:sz w:val="20"/>
          <w:szCs w:val="20"/>
          <w:color w:val="auto"/>
        </w:rPr>
      </w:pPr>
    </w:p>
    <w:p>
      <w:pPr>
        <w:ind w:left="1180" w:hanging="524"/>
        <w:spacing w:after="0"/>
        <w:tabs>
          <w:tab w:leader="none" w:pos="11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Provisions Applicable to All Transfers and Exchanges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firstLine="644"/>
        <w:spacing w:after="0" w:line="275" w:lineRule="auto"/>
        <w:tabs>
          <w:tab w:leader="none" w:pos="184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Physical Notes and beneficial interests in Global Notes may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or exchanged from time to time and the Registrar will record each such transfer or exchange in the Register.</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54" w:lineRule="auto"/>
        <w:tabs>
          <w:tab w:leader="none" w:pos="195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Transferred and Exchanged Notes Remain Valid Obligations of the Company</w:t>
      </w:r>
      <w:r>
        <w:rPr>
          <w:rFonts w:ascii="Times New Roman" w:cs="Times New Roman" w:eastAsia="Times New Roman" w:hAnsi="Times New Roman"/>
          <w:sz w:val="22"/>
          <w:szCs w:val="22"/>
          <w:color w:val="auto"/>
        </w:rPr>
        <w:t>. Each Note issued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or exchange of any other Note (such other Note being referred to as the “old Note” for purposes of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2.10(A)(ii)</w:t>
      </w:r>
      <w:r>
        <w:rPr>
          <w:rFonts w:ascii="Times New Roman" w:cs="Times New Roman" w:eastAsia="Times New Roman" w:hAnsi="Times New Roman"/>
          <w:sz w:val="22"/>
          <w:szCs w:val="22"/>
          <w:color w:val="auto"/>
        </w:rPr>
        <w:t>) or portion thereof in accordance with this Indenture will be the valid obligation of the Company, evidencing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same indebtedness, and entitled to the same benefits under this Indenture, as such old Note or portion thereof, as applicable.</w:t>
      </w:r>
    </w:p>
    <w:p>
      <w:pPr>
        <w:spacing w:after="0" w:line="17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0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Services Charge; Transfer Taxes</w:t>
      </w:r>
      <w:r>
        <w:rPr>
          <w:rFonts w:ascii="Times New Roman" w:cs="Times New Roman" w:eastAsia="Times New Roman" w:hAnsi="Times New Roman"/>
          <w:sz w:val="22"/>
          <w:szCs w:val="22"/>
          <w:color w:val="auto"/>
        </w:rPr>
        <w:t>. The Company, the Guarantors, the Trustee and the Note Agents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 impose any service charge on any Holder for any transfer, exchange or Conversion of Notes, but the Company, the Guarantors,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8.05</w:t>
      </w:r>
      <w:r>
        <w:rPr>
          <w:rFonts w:ascii="Times New Roman" w:cs="Times New Roman" w:eastAsia="Times New Roman" w:hAnsi="Times New Roman"/>
          <w:sz w:val="22"/>
          <w:szCs w:val="22"/>
          <w:color w:val="auto"/>
        </w:rPr>
        <w:t xml:space="preserve"> not involving any transfer and subject to the provisions of </w:t>
      </w:r>
      <w:r>
        <w:rPr>
          <w:rFonts w:ascii="Times New Roman" w:cs="Times New Roman" w:eastAsia="Times New Roman" w:hAnsi="Times New Roman"/>
          <w:sz w:val="22"/>
          <w:szCs w:val="22"/>
          <w:b w:val="1"/>
          <w:bCs w:val="1"/>
          <w:color w:val="auto"/>
        </w:rPr>
        <w:t>Section 5.02(E)</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87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Must Be in Authorized Denominations</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this Indenture or the Notes, a Note may not be transferred or exchanged in part unless the portion to be so transferred or exchanged is in an Authorized Denomination.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8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The Trustee will have no obligation or duty to monitor, determine or inquire as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34" w:name="page35"/>
    <w:bookmarkEnd w:id="34"/>
    <w:p>
      <w:pPr>
        <w:ind w:left="4" w:right="20" w:firstLine="644"/>
        <w:spacing w:after="0" w:line="275" w:lineRule="auto"/>
        <w:tabs>
          <w:tab w:leader="none" w:pos="120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Legends</w:t>
      </w:r>
      <w:r>
        <w:rPr>
          <w:rFonts w:ascii="Times New Roman" w:cs="Times New Roman" w:eastAsia="Times New Roman" w:hAnsi="Times New Roman"/>
          <w:sz w:val="22"/>
          <w:szCs w:val="22"/>
          <w:color w:val="auto"/>
        </w:rPr>
        <w:t>. Each Note issued upon transfer of, or in exchange for, another Note will bear each legend, if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4" w:firstLine="644"/>
        <w:spacing w:after="0" w:line="265" w:lineRule="auto"/>
        <w:tabs>
          <w:tab w:leader="none" w:pos="12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of Transfers and Exchanges</w:t>
      </w:r>
      <w:r>
        <w:rPr>
          <w:rFonts w:ascii="Times New Roman" w:cs="Times New Roman" w:eastAsia="Times New Roman" w:hAnsi="Times New Roman"/>
          <w:sz w:val="22"/>
          <w:szCs w:val="22"/>
          <w:color w:val="auto"/>
        </w:rPr>
        <w:t>. Upon satisfaction of the requirements of this Indenture to effect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 or exchange of any Note, the Company will cause such transfer or exchange to be effected as soon as reasonably practicable but in no event later than the second (2nd) Business Day after the date of such satisfaction.</w:t>
      </w:r>
    </w:p>
    <w:p>
      <w:pPr>
        <w:spacing w:after="0" w:line="161" w:lineRule="exact"/>
        <w:rPr>
          <w:rFonts w:ascii="Times New Roman" w:cs="Times New Roman" w:eastAsia="Times New Roman" w:hAnsi="Times New Roman"/>
          <w:sz w:val="22"/>
          <w:szCs w:val="22"/>
          <w:color w:val="auto"/>
        </w:rPr>
      </w:pPr>
    </w:p>
    <w:p>
      <w:pPr>
        <w:jc w:val="both"/>
        <w:ind w:left="4" w:firstLine="644"/>
        <w:spacing w:after="0" w:line="254" w:lineRule="auto"/>
        <w:tabs>
          <w:tab w:leader="none" w:pos="142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For the avoidance of doubt, and subject to the terms of this Indenture, as used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2.10</w:t>
      </w:r>
      <w:r>
        <w:rPr>
          <w:rFonts w:ascii="Times New Roman" w:cs="Times New Roman" w:eastAsia="Times New Roman" w:hAnsi="Times New Roman"/>
          <w:sz w:val="22"/>
          <w:szCs w:val="22"/>
          <w:color w:val="auto"/>
        </w:rPr>
        <w:t>, an “exchange” of a Global Note or a Physical Note includes (x) an exchange effected for the sole purpose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73" w:lineRule="exact"/>
        <w:rPr>
          <w:rFonts w:ascii="Times New Roman" w:cs="Times New Roman" w:eastAsia="Times New Roman" w:hAnsi="Times New Roman"/>
          <w:sz w:val="22"/>
          <w:szCs w:val="22"/>
          <w:color w:val="auto"/>
        </w:rPr>
      </w:pPr>
    </w:p>
    <w:p>
      <w:pPr>
        <w:ind w:left="504" w:hanging="504"/>
        <w:spacing w:after="0"/>
        <w:tabs>
          <w:tab w:leader="none" w:pos="50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of Global Notes.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12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Restrictions</w:t>
      </w:r>
      <w:r>
        <w:rPr>
          <w:rFonts w:ascii="Times New Roman" w:cs="Times New Roman" w:eastAsia="Times New Roman" w:hAnsi="Times New Roman"/>
          <w:sz w:val="22"/>
          <w:szCs w:val="22"/>
          <w:color w:val="auto"/>
        </w:rPr>
        <w:t>. Subject to the immediately following sentence, no Global Note may be transferred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Global Note will be exchanged, pursuant to customary procedures, for one or more Physical Notes if:</w:t>
      </w:r>
    </w:p>
    <w:p>
      <w:pPr>
        <w:spacing w:after="0" w:line="178" w:lineRule="exact"/>
        <w:rPr>
          <w:rFonts w:ascii="Times New Roman" w:cs="Times New Roman" w:eastAsia="Times New Roman" w:hAnsi="Times New Roman"/>
          <w:sz w:val="22"/>
          <w:szCs w:val="22"/>
          <w:color w:val="auto"/>
        </w:rPr>
      </w:pPr>
    </w:p>
    <w:p>
      <w:pPr>
        <w:jc w:val="both"/>
        <w:ind w:left="644" w:firstLine="652"/>
        <w:spacing w:after="0" w:line="256" w:lineRule="auto"/>
        <w:tabs>
          <w:tab w:leader="none" w:pos="1803"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76" w:lineRule="exact"/>
        <w:rPr>
          <w:rFonts w:ascii="Times New Roman" w:cs="Times New Roman" w:eastAsia="Times New Roman" w:hAnsi="Times New Roman"/>
          <w:sz w:val="22"/>
          <w:szCs w:val="22"/>
          <w:color w:val="auto"/>
        </w:rPr>
      </w:pPr>
    </w:p>
    <w:p>
      <w:pPr>
        <w:jc w:val="both"/>
        <w:ind w:left="644" w:firstLine="652"/>
        <w:spacing w:after="0" w:line="257" w:lineRule="auto"/>
        <w:tabs>
          <w:tab w:leader="none" w:pos="1770"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86" w:lineRule="exact"/>
        <w:rPr>
          <w:rFonts w:ascii="Times New Roman" w:cs="Times New Roman" w:eastAsia="Times New Roman" w:hAnsi="Times New Roman"/>
          <w:sz w:val="22"/>
          <w:szCs w:val="22"/>
          <w:color w:val="auto"/>
        </w:rPr>
      </w:pPr>
    </w:p>
    <w:p>
      <w:pPr>
        <w:ind w:left="644" w:firstLine="652"/>
        <w:spacing w:after="0" w:line="271" w:lineRule="auto"/>
        <w:tabs>
          <w:tab w:leader="none" w:pos="1839"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 its sole discretion, permits the exchange of any beneficial interest in such Global Note for one or more Physical Notes at the request of the owner of such beneficial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584"/>
          </w:cols>
          <w:pgMar w:left="976" w:top="1418" w:right="339" w:bottom="1440" w:gutter="0" w:footer="0" w:header="0"/>
        </w:sectPr>
      </w:pPr>
    </w:p>
    <w:bookmarkStart w:id="35" w:name="page36"/>
    <w:bookmarkEnd w:id="35"/>
    <w:p>
      <w:pPr>
        <w:ind w:left="4" w:firstLine="644"/>
        <w:spacing w:after="0" w:line="275" w:lineRule="auto"/>
        <w:tabs>
          <w:tab w:leader="none" w:pos="12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Effecting Transfers and Exchanges</w:t>
      </w:r>
      <w:r>
        <w:rPr>
          <w:rFonts w:ascii="Times New Roman" w:cs="Times New Roman" w:eastAsia="Times New Roman" w:hAnsi="Times New Roman"/>
          <w:sz w:val="22"/>
          <w:szCs w:val="22"/>
          <w:color w:val="auto"/>
        </w:rPr>
        <w:t>. Upon satisfaction of the requirements of this Indenture to effect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 or exchange of any Global Note (or any portion thereof):</w:t>
      </w:r>
    </w:p>
    <w:p>
      <w:pPr>
        <w:spacing w:after="0" w:line="153" w:lineRule="exact"/>
        <w:rPr>
          <w:rFonts w:ascii="Times New Roman" w:cs="Times New Roman" w:eastAsia="Times New Roman" w:hAnsi="Times New Roman"/>
          <w:sz w:val="22"/>
          <w:szCs w:val="22"/>
          <w:color w:val="auto"/>
        </w:rPr>
      </w:pPr>
    </w:p>
    <w:p>
      <w:pPr>
        <w:jc w:val="both"/>
        <w:ind w:left="644" w:firstLine="652"/>
        <w:spacing w:after="0" w:line="256" w:lineRule="auto"/>
        <w:tabs>
          <w:tab w:leader="none" w:pos="1916"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then the Company may (but is not required to) instruct the Trustee to cancel such Global Note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644" w:firstLine="652"/>
        <w:spacing w:after="0" w:line="263" w:lineRule="auto"/>
        <w:tabs>
          <w:tab w:leader="none" w:pos="1803"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67" w:lineRule="exact"/>
        <w:rPr>
          <w:rFonts w:ascii="Times New Roman" w:cs="Times New Roman" w:eastAsia="Times New Roman" w:hAnsi="Times New Roman"/>
          <w:sz w:val="22"/>
          <w:szCs w:val="22"/>
          <w:color w:val="auto"/>
        </w:rPr>
      </w:pPr>
    </w:p>
    <w:p>
      <w:pPr>
        <w:jc w:val="both"/>
        <w:ind w:left="644" w:firstLine="652"/>
        <w:spacing w:after="0" w:line="257" w:lineRule="auto"/>
        <w:tabs>
          <w:tab w:leader="none" w:pos="1781"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a new Global Note bearing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72" w:lineRule="exact"/>
        <w:rPr>
          <w:rFonts w:ascii="Times New Roman" w:cs="Times New Roman" w:eastAsia="Times New Roman" w:hAnsi="Times New Roman"/>
          <w:sz w:val="22"/>
          <w:szCs w:val="22"/>
          <w:color w:val="auto"/>
        </w:rPr>
      </w:pPr>
    </w:p>
    <w:p>
      <w:pPr>
        <w:jc w:val="both"/>
        <w:ind w:left="644" w:firstLine="652"/>
        <w:spacing w:after="0" w:line="251" w:lineRule="auto"/>
        <w:tabs>
          <w:tab w:leader="none" w:pos="1765"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4" w:firstLine="644"/>
        <w:spacing w:after="0" w:line="287" w:lineRule="auto"/>
        <w:tabs>
          <w:tab w:leader="none" w:pos="125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Depositary Procedures</w:t>
      </w:r>
      <w:r>
        <w:rPr>
          <w:rFonts w:ascii="Times New Roman" w:cs="Times New Roman" w:eastAsia="Times New Roman" w:hAnsi="Times New Roman"/>
          <w:sz w:val="22"/>
          <w:szCs w:val="22"/>
          <w:color w:val="auto"/>
        </w:rPr>
        <w:t>. Each transfer or exchange of a beneficial interest in any Global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 will be made in accordance with the Depositary Procedures.</w:t>
      </w:r>
    </w:p>
    <w:p>
      <w:pPr>
        <w:spacing w:after="0" w:line="137" w:lineRule="exact"/>
        <w:rPr>
          <w:rFonts w:ascii="Times New Roman" w:cs="Times New Roman" w:eastAsia="Times New Roman" w:hAnsi="Times New Roman"/>
          <w:sz w:val="22"/>
          <w:szCs w:val="22"/>
          <w:color w:val="auto"/>
        </w:rPr>
      </w:pPr>
    </w:p>
    <w:p>
      <w:pPr>
        <w:ind w:left="504" w:hanging="504"/>
        <w:spacing w:after="0"/>
        <w:tabs>
          <w:tab w:leader="none" w:pos="50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and Exchanges of Physical Notes.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6" w:lineRule="auto"/>
        <w:tabs>
          <w:tab w:leader="none" w:pos="107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Requirements for Transfers and Exchanges</w:t>
      </w:r>
      <w:r>
        <w:rPr>
          <w:rFonts w:ascii="Times New Roman" w:cs="Times New Roman" w:eastAsia="Times New Roman" w:hAnsi="Times New Roman"/>
          <w:sz w:val="21"/>
          <w:szCs w:val="21"/>
          <w:color w:val="auto"/>
        </w:rPr>
        <w:t>. Subject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2.10</w:t>
      </w:r>
      <w:r>
        <w:rPr>
          <w:rFonts w:ascii="Times New Roman" w:cs="Times New Roman" w:eastAsia="Times New Roman" w:hAnsi="Times New Roman"/>
          <w:sz w:val="21"/>
          <w:szCs w:val="21"/>
          <w:color w:val="auto"/>
        </w:rPr>
        <w:t>, a Holder of a Physical Note may (x)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584"/>
          </w:cols>
          <w:pgMar w:left="976" w:top="14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 xml:space="preserve">interest in one or more Global Notes;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to effect any such transfer or exchange, such Holder must:</w:t>
      </w:r>
    </w:p>
    <w:p>
      <w:pPr>
        <w:spacing w:after="0" w:line="235" w:lineRule="exact"/>
        <w:rPr>
          <w:sz w:val="20"/>
          <w:szCs w:val="20"/>
          <w:color w:val="auto"/>
        </w:rPr>
      </w:pPr>
    </w:p>
    <w:p>
      <w:pPr>
        <w:jc w:val="both"/>
        <w:ind w:left="640" w:firstLine="652"/>
        <w:spacing w:after="0" w:line="263" w:lineRule="auto"/>
        <w:tabs>
          <w:tab w:leader="none" w:pos="182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surrender such Physical Note to be transferred or exchanged to the office of the Registrar, together with any endorsements or transfer instruments reasonably required by the Company, the Trustee or the Registrar; and</w:t>
      </w:r>
    </w:p>
    <w:p>
      <w:pPr>
        <w:spacing w:after="0" w:line="16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deliver such certificates, documentation or evidence as may be required pursuant to </w:t>
      </w:r>
      <w:r>
        <w:rPr>
          <w:rFonts w:ascii="Times New Roman" w:cs="Times New Roman" w:eastAsia="Times New Roman" w:hAnsi="Times New Roman"/>
          <w:sz w:val="21"/>
          <w:szCs w:val="21"/>
          <w:b w:val="1"/>
          <w:bCs w:val="1"/>
          <w:color w:val="auto"/>
        </w:rPr>
        <w:t>Section 2.10(D)</w:t>
      </w:r>
      <w:r>
        <w:rPr>
          <w:rFonts w:ascii="Times New Roman" w:cs="Times New Roman" w:eastAsia="Times New Roman" w:hAnsi="Times New Roman"/>
          <w:sz w:val="21"/>
          <w:szCs w:val="21"/>
          <w:color w:val="auto"/>
        </w:rPr>
        <w:t>.</w:t>
      </w:r>
    </w:p>
    <w:p>
      <w:pPr>
        <w:spacing w:after="0" w:line="231" w:lineRule="exact"/>
        <w:rPr>
          <w:rFonts w:ascii="Times New Roman" w:cs="Times New Roman" w:eastAsia="Times New Roman" w:hAnsi="Times New Roman"/>
          <w:sz w:val="21"/>
          <w:szCs w:val="21"/>
          <w:color w:val="auto"/>
        </w:rPr>
      </w:pPr>
    </w:p>
    <w:p>
      <w:pPr>
        <w:jc w:val="both"/>
        <w:ind w:firstLine="644"/>
        <w:spacing w:after="0" w:line="259" w:lineRule="auto"/>
        <w:tabs>
          <w:tab w:leader="none" w:pos="119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Effecting Transfers and Exchanges</w:t>
      </w:r>
      <w:r>
        <w:rPr>
          <w:rFonts w:ascii="Times New Roman" w:cs="Times New Roman" w:eastAsia="Times New Roman" w:hAnsi="Times New Roman"/>
          <w:sz w:val="22"/>
          <w:szCs w:val="22"/>
          <w:color w:val="auto"/>
        </w:rPr>
        <w:t>. Upon the satisfaction of the requirements of this Indenture to effect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or exchange of any Physical Note (such Physical Note being referred to as the “old Physical Note” for purposes of this </w:t>
      </w:r>
      <w:r>
        <w:rPr>
          <w:rFonts w:ascii="Times New Roman" w:cs="Times New Roman" w:eastAsia="Times New Roman" w:hAnsi="Times New Roman"/>
          <w:sz w:val="22"/>
          <w:szCs w:val="22"/>
          <w:b w:val="1"/>
          <w:bCs w:val="1"/>
          <w:color w:val="auto"/>
        </w:rPr>
        <w:t>Section 2.10(C)(ii)</w:t>
      </w:r>
      <w:r>
        <w:rPr>
          <w:rFonts w:ascii="Times New Roman" w:cs="Times New Roman" w:eastAsia="Times New Roman" w:hAnsi="Times New Roman"/>
          <w:sz w:val="22"/>
          <w:szCs w:val="22"/>
          <w:color w:val="auto"/>
        </w:rPr>
        <w:t>) of a Holder (or any portion of such old Physical Note in an Authorized Denomination):</w:t>
      </w:r>
    </w:p>
    <w:p>
      <w:pPr>
        <w:spacing w:after="0" w:line="17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old Physical Note will be promptly cancelled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40" w:firstLine="652"/>
        <w:spacing w:after="0" w:line="250" w:lineRule="auto"/>
        <w:tabs>
          <w:tab w:leader="none" w:pos="182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transfer:</w:t>
      </w:r>
    </w:p>
    <w:p>
      <w:pPr>
        <w:spacing w:after="0" w:line="219" w:lineRule="exact"/>
        <w:rPr>
          <w:rFonts w:ascii="Times New Roman" w:cs="Times New Roman" w:eastAsia="Times New Roman" w:hAnsi="Times New Roman"/>
          <w:sz w:val="22"/>
          <w:szCs w:val="22"/>
          <w:color w:val="auto"/>
        </w:rPr>
      </w:pPr>
    </w:p>
    <w:p>
      <w:pPr>
        <w:jc w:val="both"/>
        <w:ind w:left="1300" w:firstLine="640"/>
        <w:spacing w:after="0" w:line="248" w:lineRule="auto"/>
        <w:tabs>
          <w:tab w:leader="none" w:pos="2427"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one or more Global Notes that (x) are in Authorized Denominations and have an 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580"/>
          </w:cols>
          <w:pgMar w:left="980" w:top="1418" w:right="339" w:bottom="1440" w:gutter="0" w:footer="0" w:header="0"/>
        </w:sectPr>
      </w:pPr>
    </w:p>
    <w:bookmarkStart w:id="37" w:name="page38"/>
    <w:bookmarkEnd w:id="37"/>
    <w:p>
      <w:pPr>
        <w:ind w:left="1960"/>
        <w:spacing w:after="0" w:line="271" w:lineRule="auto"/>
        <w:rPr>
          <w:sz w:val="20"/>
          <w:szCs w:val="20"/>
          <w:color w:val="auto"/>
        </w:rPr>
      </w:pPr>
      <w:r>
        <w:rPr>
          <w:rFonts w:ascii="Times New Roman" w:cs="Times New Roman" w:eastAsia="Times New Roman" w:hAnsi="Times New Roman"/>
          <w:sz w:val="22"/>
          <w:szCs w:val="22"/>
          <w:color w:val="auto"/>
        </w:rPr>
        <w:t xml:space="preserve">amount equal to the principal amount that is to be so transferred but that is not effected by notation as provided above; and (y)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left="1960" w:firstLine="640"/>
        <w:spacing w:after="0" w:line="251" w:lineRule="auto"/>
        <w:tabs>
          <w:tab w:leader="none" w:pos="3102"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 and</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75"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exchange,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20" w:firstLine="656"/>
        <w:spacing w:after="0" w:line="287" w:lineRule="auto"/>
        <w:tabs>
          <w:tab w:leader="none" w:pos="132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Requirement to Deliver Documentation and Other Evidence</w:t>
      </w:r>
      <w:r>
        <w:rPr>
          <w:rFonts w:ascii="Times New Roman" w:cs="Times New Roman" w:eastAsia="Times New Roman" w:hAnsi="Times New Roman"/>
          <w:sz w:val="22"/>
          <w:szCs w:val="22"/>
          <w:color w:val="auto"/>
        </w:rPr>
        <w:t>. If a Holder of any Note that is identified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CUSIP number or that bears a Restricted Note Legend or is a Transfer-Restricted Security requests to:</w:t>
      </w:r>
    </w:p>
    <w:p>
      <w:pPr>
        <w:spacing w:after="0" w:line="141"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Note to be identified by an “unrestricted” CUSIP number;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such Restricted Note Legend; or</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such Note to the name of another Person,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then the Company, the Guarantors, the Trustee and the Registrar may refuse to effect such identification, removal or transfer, as applicable, unless there is delivered to the Company, the Guarantors, the Trustee and the Registrar such certificates or other documentation or evidence as the Company, the Guarantors, the Trustee and the Registrar may reasonably require for the Company to determine that such identification, removal or transfer, as applicable, complies with the Securities Act and other applicable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such certificates, documentation or evidence need be so delivered on or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w:t>
      </w:r>
    </w:p>
    <w:p>
      <w:pPr>
        <w:spacing w:after="0" w:line="183" w:lineRule="exact"/>
        <w:rPr>
          <w:sz w:val="20"/>
          <w:szCs w:val="20"/>
          <w:color w:val="auto"/>
        </w:rPr>
      </w:pPr>
    </w:p>
    <w:p>
      <w:pPr>
        <w:jc w:val="both"/>
        <w:ind w:firstLine="656"/>
        <w:spacing w:after="0" w:line="259" w:lineRule="auto"/>
        <w:tabs>
          <w:tab w:leader="none" w:pos="11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Transfers of Notes Subject to Redemption, Repurchase or Conversion</w:t>
      </w:r>
      <w:r>
        <w:rPr>
          <w:rFonts w:ascii="Times New Roman" w:cs="Times New Roman" w:eastAsia="Times New Roman" w:hAnsi="Times New Roman"/>
          <w:sz w:val="22"/>
          <w:szCs w:val="22"/>
          <w:color w:val="auto"/>
        </w:rPr>
        <w:t>. Notwithstanding anything to the contrary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Indenture or the Notes, the Company, the Guarantors, the Trustee and the Registrar will not be required to register the transfer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38" w:name="page39"/>
    <w:bookmarkEnd w:id="38"/>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 except to the extent that any portion of such Note is not subject to such notice or the Company fails to pay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Section 2.11. Exchange and Cancellation of Notes to Be Converted or to Be Repurchased Pursuant to a Repurchase Upon Fundamental Change or Redemption.</w:t>
      </w:r>
    </w:p>
    <w:p>
      <w:pPr>
        <w:spacing w:after="0" w:line="163" w:lineRule="exact"/>
        <w:rPr>
          <w:sz w:val="20"/>
          <w:szCs w:val="20"/>
          <w:color w:val="auto"/>
        </w:rPr>
      </w:pPr>
    </w:p>
    <w:p>
      <w:pPr>
        <w:jc w:val="both"/>
        <w:ind w:firstLine="656"/>
        <w:spacing w:after="0" w:line="247" w:lineRule="auto"/>
        <w:tabs>
          <w:tab w:leader="none" w:pos="11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Conversions of Physical Notes and Partial Repurchases of Physical Notes Pursuant to a Repurchase Upon Fundamental Change or Redemption</w:t>
      </w:r>
      <w:r>
        <w:rPr>
          <w:rFonts w:ascii="Times New Roman" w:cs="Times New Roman" w:eastAsia="Times New Roman" w:hAnsi="Times New Roman"/>
          <w:sz w:val="22"/>
          <w:szCs w:val="22"/>
          <w:color w:val="auto"/>
        </w:rPr>
        <w:t>. If only a portion of a Physical Note of a Holder is to be Converted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 w:cs="Times New Roman" w:eastAsia="Times New Roman" w:hAnsi="Times New Roman"/>
          <w:sz w:val="22"/>
          <w:szCs w:val="22"/>
          <w:b w:val="1"/>
          <w:bCs w:val="1"/>
          <w:color w:val="auto"/>
        </w:rPr>
        <w:t>Section 2.10(C)</w:t>
      </w:r>
      <w:r>
        <w:rPr>
          <w:rFonts w:ascii="Times New Roman" w:cs="Times New Roman" w:eastAsia="Times New Roman" w:hAnsi="Times New Roman"/>
          <w:sz w:val="22"/>
          <w:szCs w:val="22"/>
          <w:color w:val="auto"/>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Physical Note referred to in this </w:t>
      </w:r>
      <w:r>
        <w:rPr>
          <w:rFonts w:ascii="Times New Roman" w:cs="Times New Roman" w:eastAsia="Times New Roman" w:hAnsi="Times New Roman"/>
          <w:sz w:val="22"/>
          <w:szCs w:val="22"/>
          <w:b w:val="1"/>
          <w:bCs w:val="1"/>
          <w:color w:val="auto"/>
        </w:rPr>
        <w:t>clause (ii)</w:t>
      </w:r>
      <w:r>
        <w:rPr>
          <w:rFonts w:ascii="Times New Roman" w:cs="Times New Roman" w:eastAsia="Times New Roman" w:hAnsi="Times New Roman"/>
          <w:sz w:val="22"/>
          <w:szCs w:val="22"/>
          <w:color w:val="auto"/>
        </w:rPr>
        <w:t xml:space="preserve"> need not be issued at any time after which such principal amount subject to such Conversion or repurchase, as applicable, is deemed to cease to be outstanding pursuant to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ind w:firstLine="656"/>
        <w:spacing w:after="0" w:line="275" w:lineRule="auto"/>
        <w:tabs>
          <w:tab w:leader="none" w:pos="13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Cancellation of Notes that Are Converted and Notes that Are Repurchased Pursuant to a Repurchase Upon Fundamental Change or Redemption</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72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If a Physical Note (or any portion thereof that has not theretofore been exchanged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2.11(A)</w:t>
      </w:r>
      <w:r>
        <w:rPr>
          <w:rFonts w:ascii="Times New Roman" w:cs="Times New Roman" w:eastAsia="Times New Roman" w:hAnsi="Times New Roman"/>
          <w:sz w:val="22"/>
          <w:szCs w:val="22"/>
          <w:color w:val="auto"/>
        </w:rPr>
        <w:t>) of a Holder is to be Converted pursuant to</w:t>
      </w:r>
      <w:r>
        <w:rPr>
          <w:rFonts w:ascii="Times New Roman" w:cs="Times New Roman" w:eastAsia="Times New Roman" w:hAnsi="Times New Roman"/>
          <w:sz w:val="22"/>
          <w:szCs w:val="22"/>
          <w:b w:val="1"/>
          <w:bCs w:val="1"/>
          <w:color w:val="auto"/>
        </w:rPr>
        <w:t xml:space="preserve"> Article 5 </w:t>
      </w:r>
      <w:r>
        <w:rPr>
          <w:rFonts w:ascii="Times New Roman" w:cs="Times New Roman" w:eastAsia="Times New Roman" w:hAnsi="Times New Roman"/>
          <w:sz w:val="22"/>
          <w:szCs w:val="22"/>
          <w:color w:val="auto"/>
        </w:rPr>
        <w:t>or repurchased pursuant to a Repurchase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Fundamental Change or Redemption, then, promptly after the later of the time such Physical Note (or such portion) is deemed to cease to be outstanding pursuant to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 xml:space="preserve">; and (2) in the case of a partial Conversion or repurchase, as applicable, the Company will issue, execute and deliver to such Holder,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 w:cs="Times New Roman" w:eastAsia="Times New Roman" w:hAnsi="Times New Roman"/>
          <w:sz w:val="22"/>
          <w:szCs w:val="22"/>
          <w:b w:val="1"/>
          <w:bCs w:val="1"/>
          <w:color w:val="auto"/>
        </w:rPr>
        <w:t>Section 2.09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39" w:name="page40"/>
    <w:bookmarkEnd w:id="39"/>
    <w:p>
      <w:pPr>
        <w:jc w:val="both"/>
        <w:ind w:left="660" w:firstLine="644"/>
        <w:spacing w:after="0" w:line="250" w:lineRule="auto"/>
        <w:tabs>
          <w:tab w:leader="none" w:pos="196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If a Global Note (or any portion thereof) is to be Converted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pursuant to a Repurchase Upon Fundamental Change or Redemption, then, promptly after the time such Note (or such portion) is deemed to cease to be outstanding pursuant to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2.12.</w:t>
      </w:r>
      <w:r>
        <w:rPr>
          <w:sz w:val="20"/>
          <w:szCs w:val="20"/>
          <w:color w:val="auto"/>
        </w:rPr>
        <w:tab/>
      </w:r>
      <w:r>
        <w:rPr>
          <w:rFonts w:ascii="Times New Roman" w:cs="Times New Roman" w:eastAsia="Times New Roman" w:hAnsi="Times New Roman"/>
          <w:sz w:val="21"/>
          <w:szCs w:val="21"/>
          <w:b w:val="1"/>
          <w:bCs w:val="1"/>
          <w:color w:val="auto"/>
        </w:rPr>
        <w:t>Removal of Transfer Restrictions.</w:t>
      </w:r>
    </w:p>
    <w:p>
      <w:pPr>
        <w:spacing w:after="0" w:line="233" w:lineRule="exact"/>
        <w:rPr>
          <w:sz w:val="20"/>
          <w:szCs w:val="20"/>
          <w:color w:val="auto"/>
        </w:rPr>
      </w:pPr>
    </w:p>
    <w:p>
      <w:pPr>
        <w:jc w:val="both"/>
        <w:ind w:firstLine="259"/>
        <w:spacing w:after="0" w:line="248" w:lineRule="auto"/>
        <w:rPr>
          <w:sz w:val="20"/>
          <w:szCs w:val="20"/>
          <w:color w:val="auto"/>
        </w:rPr>
      </w:pPr>
      <w:r>
        <w:rPr>
          <w:rFonts w:ascii="Times New Roman" w:cs="Times New Roman" w:eastAsia="Times New Roman" w:hAnsi="Times New Roman"/>
          <w:sz w:val="22"/>
          <w:szCs w:val="22"/>
          <w:color w:val="auto"/>
        </w:rPr>
        <w:t xml:space="preserve">Without limiting the generality of any other provision of this Indenture (including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the Restricted Note Legend affixed to any Note will be deemed, pursuant to this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and the footnote to such Restricted Note Legend, to be removed therefrom upon the Company’s delivery to the Trustee of notice, signed on behalf of the Company by one (1) of its Officers, to such effect (and, for the avoidance of doubt, such notice need not be accompanied by an Officer’s Certificate or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and the footnotes to the CUSIP and ISIN numbers set forth on the face of the certificate representing such Note, to thereafter bear the “unrestricted” CUSIP and ISIN numbers identified in such footnotes;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such Note is a Global Note and the Depositary thereof requires a mandatory exchange or other procedure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cause such Global Note to be identified by “unrestricted” CUSIP and ISIN numbers in the facilities of such Depositary, then, (A) the Company will effect such exchange or procedure as soon as reasonably practicable; and (B) for purposes of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xml:space="preserve"> and the definition of Freely Tradable, such Global Note will not be deemed to be identified by “unrestricted” CUSIP and ISIN numbers until such time as such exchange or procedure is effected.</w:t>
      </w:r>
    </w:p>
    <w:p>
      <w:pPr>
        <w:spacing w:after="0" w:line="2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2.13.</w:t>
      </w:r>
      <w:r>
        <w:rPr>
          <w:sz w:val="20"/>
          <w:szCs w:val="20"/>
          <w:color w:val="auto"/>
        </w:rPr>
        <w:tab/>
      </w:r>
      <w:r>
        <w:rPr>
          <w:rFonts w:ascii="Times New Roman" w:cs="Times New Roman" w:eastAsia="Times New Roman" w:hAnsi="Times New Roman"/>
          <w:sz w:val="21"/>
          <w:szCs w:val="21"/>
          <w:b w:val="1"/>
          <w:bCs w:val="1"/>
          <w:color w:val="auto"/>
        </w:rPr>
        <w:t>Replacement Notes.</w:t>
      </w:r>
    </w:p>
    <w:p>
      <w:pPr>
        <w:spacing w:after="0" w:line="224" w:lineRule="exact"/>
        <w:rPr>
          <w:sz w:val="20"/>
          <w:szCs w:val="20"/>
          <w:color w:val="auto"/>
        </w:rPr>
      </w:pPr>
    </w:p>
    <w:p>
      <w:pPr>
        <w:jc w:val="both"/>
        <w:ind w:firstLine="244"/>
        <w:spacing w:after="0" w:line="249" w:lineRule="auto"/>
        <w:rPr>
          <w:sz w:val="20"/>
          <w:szCs w:val="20"/>
          <w:color w:val="auto"/>
        </w:rPr>
      </w:pPr>
      <w:r>
        <w:rPr>
          <w:rFonts w:ascii="Times New Roman" w:cs="Times New Roman" w:eastAsia="Times New Roman" w:hAnsi="Times New Roman"/>
          <w:sz w:val="22"/>
          <w:szCs w:val="22"/>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a replacement Note upon surrender to the Trustee of such mutilated Note, or upon delivery to the Trustee of evidence of such loss, destruction or wrongful taking reasonably satisfactory to the Trustee and the Company. The Company may charge the Holder of a Note for the Company’s and the Trustee’s expenses in replacing such Note pursuant to this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In addition, in the case of a lost, destroyed or wrongfully taken Note, the Company and the Trustee may require the Holder thereof to provide such security or indemnity that is satisfactory to the Company and the Trustee to protect the Company and the Trustee from any loss that any of them may suffer if such Note is replaced.</w:t>
      </w:r>
    </w:p>
    <w:p>
      <w:pPr>
        <w:spacing w:after="0" w:line="218" w:lineRule="exact"/>
        <w:rPr>
          <w:sz w:val="20"/>
          <w:szCs w:val="20"/>
          <w:color w:val="auto"/>
        </w:rPr>
      </w:pPr>
    </w:p>
    <w:p>
      <w:pPr>
        <w:jc w:val="both"/>
        <w:ind w:right="20" w:firstLine="314"/>
        <w:spacing w:after="0" w:line="275" w:lineRule="auto"/>
        <w:rPr>
          <w:sz w:val="20"/>
          <w:szCs w:val="20"/>
          <w:color w:val="auto"/>
        </w:rPr>
      </w:pPr>
      <w:r>
        <w:rPr>
          <w:rFonts w:ascii="Times New Roman" w:cs="Times New Roman" w:eastAsia="Times New Roman" w:hAnsi="Times New Roman"/>
          <w:sz w:val="22"/>
          <w:szCs w:val="22"/>
          <w:color w:val="auto"/>
        </w:rPr>
        <w:t xml:space="preserve">Every replacement Note issued pursuant to this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xml:space="preserve"> will be an additional obligation of the Company and will be entitled to all of the benefits of this Indenture equally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18" w:right="339" w:bottom="1440" w:gutter="0" w:footer="0" w:header="0"/>
        </w:sectPr>
      </w:pPr>
    </w:p>
    <w:bookmarkStart w:id="40" w:name="page41"/>
    <w:bookmarkEnd w:id="40"/>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ratably with all other Notes issued under this Indenture, regardless of whether the related lost, destroyed or wrongfully taken Note is at any time enforceable by any Person.</w:t>
      </w:r>
    </w:p>
    <w:p>
      <w:pPr>
        <w:spacing w:after="0" w:line="18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2.14.</w:t>
      </w:r>
      <w:r>
        <w:rPr>
          <w:sz w:val="20"/>
          <w:szCs w:val="20"/>
          <w:color w:val="auto"/>
        </w:rPr>
        <w:tab/>
      </w:r>
      <w:r>
        <w:rPr>
          <w:rFonts w:ascii="Times New Roman" w:cs="Times New Roman" w:eastAsia="Times New Roman" w:hAnsi="Times New Roman"/>
          <w:sz w:val="21"/>
          <w:szCs w:val="21"/>
          <w:b w:val="1"/>
          <w:bCs w:val="1"/>
          <w:color w:val="auto"/>
        </w:rPr>
        <w:t>Registered Holders; Certain Rights with Respect to Global Notes.</w:t>
      </w:r>
    </w:p>
    <w:p>
      <w:pPr>
        <w:spacing w:after="0" w:line="237" w:lineRule="exact"/>
        <w:rPr>
          <w:sz w:val="20"/>
          <w:szCs w:val="20"/>
          <w:color w:val="auto"/>
        </w:rPr>
      </w:pPr>
    </w:p>
    <w:p>
      <w:pPr>
        <w:jc w:val="both"/>
        <w:ind w:firstLine="253"/>
        <w:spacing w:after="0" w:line="248" w:lineRule="auto"/>
        <w:rPr>
          <w:sz w:val="20"/>
          <w:szCs w:val="20"/>
          <w:color w:val="auto"/>
        </w:rPr>
      </w:pPr>
      <w:r>
        <w:rPr>
          <w:rFonts w:ascii="Times New Roman" w:cs="Times New Roman" w:eastAsia="Times New Roman" w:hAnsi="Times New Roman"/>
          <w:sz w:val="22"/>
          <w:szCs w:val="22"/>
          <w:color w:val="auto"/>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Guarantors, the Trustee and the Note Agents, and their respective agents, may treat the Depositary as the absolute owner of such Global Note for all purposes whatsoever;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20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2.15.</w:t>
      </w:r>
      <w:r>
        <w:rPr>
          <w:sz w:val="20"/>
          <w:szCs w:val="20"/>
          <w:color w:val="auto"/>
        </w:rPr>
        <w:tab/>
      </w:r>
      <w:r>
        <w:rPr>
          <w:rFonts w:ascii="Times New Roman" w:cs="Times New Roman" w:eastAsia="Times New Roman" w:hAnsi="Times New Roman"/>
          <w:sz w:val="21"/>
          <w:szCs w:val="21"/>
          <w:b w:val="1"/>
          <w:bCs w:val="1"/>
          <w:color w:val="auto"/>
        </w:rPr>
        <w:t>Cancellation.</w:t>
      </w:r>
    </w:p>
    <w:p>
      <w:pPr>
        <w:spacing w:after="0" w:line="224" w:lineRule="exact"/>
        <w:rPr>
          <w:sz w:val="20"/>
          <w:szCs w:val="20"/>
          <w:color w:val="auto"/>
        </w:rPr>
      </w:pPr>
    </w:p>
    <w:p>
      <w:pPr>
        <w:jc w:val="both"/>
        <w:ind w:firstLine="372"/>
        <w:spacing w:after="0" w:line="253" w:lineRule="auto"/>
        <w:rPr>
          <w:sz w:val="20"/>
          <w:szCs w:val="20"/>
          <w:color w:val="auto"/>
        </w:rPr>
      </w:pPr>
      <w:r>
        <w:rPr>
          <w:rFonts w:ascii="Times New Roman" w:cs="Times New Roman" w:eastAsia="Times New Roman" w:hAnsi="Times New Roman"/>
          <w:sz w:val="22"/>
          <w:szCs w:val="22"/>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 the Company may not originally issue new Notes to replace Notes that it has paid or that have been cancelled upon transfer, exchange, payment or Conversion.</w:t>
      </w:r>
    </w:p>
    <w:p>
      <w:pPr>
        <w:spacing w:after="0" w:line="20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2.16.</w:t>
      </w:r>
      <w:r>
        <w:rPr>
          <w:sz w:val="20"/>
          <w:szCs w:val="20"/>
          <w:color w:val="auto"/>
        </w:rPr>
        <w:tab/>
      </w:r>
      <w:r>
        <w:rPr>
          <w:rFonts w:ascii="Times New Roman" w:cs="Times New Roman" w:eastAsia="Times New Roman" w:hAnsi="Times New Roman"/>
          <w:sz w:val="21"/>
          <w:szCs w:val="21"/>
          <w:b w:val="1"/>
          <w:bCs w:val="1"/>
          <w:color w:val="auto"/>
        </w:rPr>
        <w:t>Notes Held by the Company or its Affiliates.</w:t>
      </w:r>
    </w:p>
    <w:p>
      <w:pPr>
        <w:spacing w:after="0" w:line="233" w:lineRule="exact"/>
        <w:rPr>
          <w:sz w:val="20"/>
          <w:szCs w:val="20"/>
          <w:color w:val="auto"/>
        </w:rPr>
      </w:pPr>
    </w:p>
    <w:p>
      <w:pPr>
        <w:jc w:val="both"/>
        <w:ind w:firstLine="218"/>
        <w:spacing w:after="0" w:line="251"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determining whether the Trustee is protected in relying on any such direction, waiver or consent, only Notes that a Responsible Officer of the Trustee actually knows are so owned will be so disregarded.</w:t>
      </w:r>
    </w:p>
    <w:p>
      <w:pPr>
        <w:spacing w:after="0" w:line="2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2.17.</w:t>
      </w:r>
      <w:r>
        <w:rPr>
          <w:sz w:val="20"/>
          <w:szCs w:val="20"/>
          <w:color w:val="auto"/>
        </w:rPr>
        <w:tab/>
      </w:r>
      <w:r>
        <w:rPr>
          <w:rFonts w:ascii="Times New Roman" w:cs="Times New Roman" w:eastAsia="Times New Roman" w:hAnsi="Times New Roman"/>
          <w:sz w:val="21"/>
          <w:szCs w:val="21"/>
          <w:b w:val="1"/>
          <w:bCs w:val="1"/>
          <w:color w:val="auto"/>
        </w:rPr>
        <w:t>Temporary Notes.</w:t>
      </w:r>
    </w:p>
    <w:p>
      <w:pPr>
        <w:spacing w:after="0" w:line="224" w:lineRule="exact"/>
        <w:rPr>
          <w:sz w:val="20"/>
          <w:szCs w:val="20"/>
          <w:color w:val="auto"/>
        </w:rPr>
      </w:pPr>
    </w:p>
    <w:p>
      <w:pPr>
        <w:jc w:val="both"/>
        <w:ind w:firstLine="228"/>
        <w:spacing w:after="0" w:line="250" w:lineRule="auto"/>
        <w:rPr>
          <w:sz w:val="20"/>
          <w:szCs w:val="20"/>
          <w:color w:val="auto"/>
        </w:rPr>
      </w:pPr>
      <w:r>
        <w:rPr>
          <w:rFonts w:ascii="Times New Roman" w:cs="Times New Roman" w:eastAsia="Times New Roman" w:hAnsi="Times New Roman"/>
          <w:sz w:val="22"/>
          <w:szCs w:val="22"/>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22"/>
          <w:szCs w:val="22"/>
          <w:b w:val="1"/>
          <w:bCs w:val="1"/>
          <w:color w:val="auto"/>
        </w:rPr>
        <w:t>Section 2.02</w:t>
      </w:r>
      <w:r>
        <w:rPr>
          <w:rFonts w:ascii="Times New Roman" w:cs="Times New Roman" w:eastAsia="Times New Roman" w:hAnsi="Times New Roman"/>
          <w:sz w:val="22"/>
          <w:szCs w:val="22"/>
          <w:color w:val="auto"/>
        </w:rPr>
        <w:t>, definitive Notes in exchange for temporary Notes. Until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exchanged, each temporary Note will in all respects be entitled to the same benefits under this Indenture as definitive Notes.</w:t>
      </w:r>
    </w:p>
    <w:p>
      <w:pPr>
        <w:spacing w:after="0" w:line="24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2.18.</w:t>
      </w:r>
      <w:r>
        <w:rPr>
          <w:sz w:val="20"/>
          <w:szCs w:val="20"/>
          <w:color w:val="auto"/>
        </w:rPr>
        <w:tab/>
      </w:r>
      <w:r>
        <w:rPr>
          <w:rFonts w:ascii="Times New Roman" w:cs="Times New Roman" w:eastAsia="Times New Roman" w:hAnsi="Times New Roman"/>
          <w:sz w:val="21"/>
          <w:szCs w:val="21"/>
          <w:b w:val="1"/>
          <w:bCs w:val="1"/>
          <w:color w:val="auto"/>
        </w:rPr>
        <w:t>Outstanding Notes.</w:t>
      </w:r>
    </w:p>
    <w:p>
      <w:pPr>
        <w:spacing w:after="0" w:line="220" w:lineRule="exact"/>
        <w:rPr>
          <w:sz w:val="20"/>
          <w:szCs w:val="20"/>
          <w:color w:val="auto"/>
        </w:rPr>
      </w:pPr>
    </w:p>
    <w:p>
      <w:pPr>
        <w:jc w:val="both"/>
        <w:ind w:firstLine="656"/>
        <w:spacing w:after="0" w:line="265" w:lineRule="auto"/>
        <w:tabs>
          <w:tab w:leader="none" w:pos="116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The Notes that are outstanding at any time will be deemed to be those Notes that, at such time, have been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duly executed and 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21"/>
          <w:szCs w:val="21"/>
          <w:b w:val="1"/>
          <w:bCs w:val="1"/>
          <w:color w:val="auto"/>
        </w:rPr>
        <w:t>Section 2.15</w:t>
      </w:r>
      <w:r>
        <w:rPr>
          <w:rFonts w:ascii="Times New Roman" w:cs="Times New Roman" w:eastAsia="Times New Roman" w:hAnsi="Times New Roman"/>
          <w:sz w:val="21"/>
          <w:szCs w:val="21"/>
          <w:color w:val="auto"/>
        </w:rPr>
        <w:t>; (ii) assigned a principal amount of zero by notation on the “Schedule of Exchanges of Interests in the Global Note” forming part of any Global Note representing such Note;</w:t>
      </w:r>
    </w:p>
    <w:p>
      <w:pPr>
        <w:ind w:right="20" w:firstLine="8"/>
        <w:spacing w:after="0" w:line="248" w:lineRule="auto"/>
        <w:tabs>
          <w:tab w:leader="none" w:pos="38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paid in full (including upon Conversion) in accordance with this Indenture; or (iv) deemed to cease to be outstanding to the extent provided in, and subject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firstLine="656"/>
        <w:spacing w:after="0" w:line="259" w:lineRule="auto"/>
        <w:tabs>
          <w:tab w:leader="none" w:pos="119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Replaced Notes</w:t>
      </w:r>
      <w:r>
        <w:rPr>
          <w:rFonts w:ascii="Times New Roman" w:cs="Times New Roman" w:eastAsia="Times New Roman" w:hAnsi="Times New Roman"/>
          <w:sz w:val="22"/>
          <w:szCs w:val="22"/>
          <w:color w:val="auto"/>
        </w:rPr>
        <w:t>. If a Note is replaced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then such Note will cease to be outstanding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of its replacement, unless the Trustee and the Company receive proof reasonably satisfactory to them that such Note is held by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 under applicable law.</w:t>
      </w:r>
    </w:p>
    <w:p>
      <w:pPr>
        <w:spacing w:after="0" w:line="166" w:lineRule="exact"/>
        <w:rPr>
          <w:rFonts w:ascii="Times New Roman" w:cs="Times New Roman" w:eastAsia="Times New Roman" w:hAnsi="Times New Roman"/>
          <w:sz w:val="22"/>
          <w:szCs w:val="22"/>
          <w:color w:val="auto"/>
        </w:rPr>
      </w:pPr>
    </w:p>
    <w:p>
      <w:pPr>
        <w:jc w:val="both"/>
        <w:ind w:firstLine="656"/>
        <w:spacing w:after="0" w:line="265" w:lineRule="auto"/>
        <w:tabs>
          <w:tab w:leader="none" w:pos="135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Maturing Notes and Notes Called for Redemption or Subject to Repurchase</w:t>
      </w:r>
      <w:r>
        <w:rPr>
          <w:rFonts w:ascii="Times New Roman" w:cs="Times New Roman" w:eastAsia="Times New Roman" w:hAnsi="Times New Roman"/>
          <w:sz w:val="21"/>
          <w:szCs w:val="21"/>
          <w:color w:val="auto"/>
        </w:rPr>
        <w:t>. If, on a Redemption Date,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Fundamental Change Repurchase Date or the Maturity Date, the Paying Agent holds money sufficient to pay the aggregate Redemption Price, Fundamental Change Repurchase Price or principal amount, respectively, together, in each case, with the aggregate interest (if any), in each case due on such date, then (unless there occurs a Default in the payment of any such amount)</w:t>
      </w:r>
    </w:p>
    <w:p>
      <w:pPr>
        <w:jc w:val="both"/>
        <w:ind w:firstLine="8"/>
        <w:spacing w:after="0" w:line="247" w:lineRule="auto"/>
        <w:tabs>
          <w:tab w:leader="none" w:pos="26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4.03(E)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if any, on, such Notes (or such portions thereof), in each case as provided in this Indenture.</w:t>
      </w:r>
    </w:p>
    <w:p>
      <w:pPr>
        <w:spacing w:after="0" w:line="182" w:lineRule="exact"/>
        <w:rPr>
          <w:rFonts w:ascii="Times New Roman" w:cs="Times New Roman" w:eastAsia="Times New Roman" w:hAnsi="Times New Roman"/>
          <w:sz w:val="22"/>
          <w:szCs w:val="22"/>
          <w:color w:val="auto"/>
        </w:rPr>
      </w:pPr>
    </w:p>
    <w:p>
      <w:pPr>
        <w:jc w:val="both"/>
        <w:ind w:firstLine="656"/>
        <w:spacing w:after="0" w:line="253" w:lineRule="auto"/>
        <w:tabs>
          <w:tab w:leader="none" w:pos="116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Notes to Be Converted</w:t>
      </w:r>
      <w:r>
        <w:rPr>
          <w:rFonts w:ascii="Times New Roman" w:cs="Times New Roman" w:eastAsia="Times New Roman" w:hAnsi="Times New Roman"/>
          <w:sz w:val="22"/>
          <w:szCs w:val="22"/>
          <w:color w:val="auto"/>
        </w:rPr>
        <w:t>. At the Close of Business on the Conversion Date for any Note (or any portion thereof)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Converted, such Note (or such portion) will (unless there occurs a Default in the delivery of the Conversion Consideration or any interest due, pursuant to </w:t>
      </w:r>
      <w:r>
        <w:rPr>
          <w:rFonts w:ascii="Times New Roman" w:cs="Times New Roman" w:eastAsia="Times New Roman" w:hAnsi="Times New Roman"/>
          <w:sz w:val="22"/>
          <w:szCs w:val="22"/>
          <w:b w:val="1"/>
          <w:bCs w:val="1"/>
          <w:color w:val="auto"/>
        </w:rPr>
        <w:t>Section 5.03(B)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upon such Conversion) be deemed to cease to be outstanding, except to the extent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5.08</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56"/>
        <w:spacing w:after="0" w:line="277" w:lineRule="auto"/>
        <w:tabs>
          <w:tab w:leader="none" w:pos="118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Cessation of Accrual of Interest</w:t>
      </w:r>
      <w:r>
        <w:rPr>
          <w:rFonts w:ascii="Times New Roman" w:cs="Times New Roman" w:eastAsia="Times New Roman" w:hAnsi="Times New Roman"/>
          <w:sz w:val="21"/>
          <w:szCs w:val="21"/>
          <w:color w:val="auto"/>
        </w:rPr>
        <w:t>. Except as provided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4.02(D)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4.03(E)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5.02(D)</w:t>
      </w:r>
      <w:r>
        <w:rPr>
          <w:rFonts w:ascii="Times New Roman" w:cs="Times New Roman" w:eastAsia="Times New Roman" w:hAnsi="Times New Roman"/>
          <w:sz w:val="21"/>
          <w:szCs w:val="21"/>
          <w:color w:val="auto"/>
        </w:rPr>
        <w:t>, no Special Interest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Additional Interest will accrue on any Note from and after the date that such Note is deemed, pursuant to this </w:t>
      </w:r>
      <w:r>
        <w:rPr>
          <w:rFonts w:ascii="Times New Roman" w:cs="Times New Roman" w:eastAsia="Times New Roman" w:hAnsi="Times New Roman"/>
          <w:sz w:val="21"/>
          <w:szCs w:val="21"/>
          <w:b w:val="1"/>
          <w:bCs w:val="1"/>
          <w:color w:val="auto"/>
        </w:rPr>
        <w:t>Section 2.18</w:t>
      </w:r>
      <w:r>
        <w:rPr>
          <w:rFonts w:ascii="Times New Roman" w:cs="Times New Roman" w:eastAsia="Times New Roman" w:hAnsi="Times New Roman"/>
          <w:sz w:val="21"/>
          <w:szCs w:val="21"/>
          <w:color w:val="auto"/>
        </w:rPr>
        <w:t>, to cease to be outstanding, unless there occurs a Default in the payment or delivery of any cash or other property due on such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42" w:name="page43"/>
    <w:bookmarkEnd w:id="42"/>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2.19.</w:t>
      </w:r>
      <w:r>
        <w:rPr>
          <w:sz w:val="20"/>
          <w:szCs w:val="20"/>
          <w:color w:val="auto"/>
        </w:rPr>
        <w:tab/>
      </w:r>
      <w:r>
        <w:rPr>
          <w:rFonts w:ascii="Times New Roman" w:cs="Times New Roman" w:eastAsia="Times New Roman" w:hAnsi="Times New Roman"/>
          <w:sz w:val="21"/>
          <w:szCs w:val="21"/>
          <w:b w:val="1"/>
          <w:bCs w:val="1"/>
          <w:color w:val="auto"/>
        </w:rPr>
        <w:t>Repurchases by the Company.</w:t>
      </w:r>
    </w:p>
    <w:p>
      <w:pPr>
        <w:spacing w:after="0" w:line="220" w:lineRule="exact"/>
        <w:rPr>
          <w:sz w:val="20"/>
          <w:szCs w:val="20"/>
          <w:color w:val="auto"/>
        </w:rPr>
      </w:pPr>
    </w:p>
    <w:p>
      <w:pPr>
        <w:jc w:val="both"/>
        <w:ind w:right="20" w:firstLine="338"/>
        <w:spacing w:after="0" w:line="275"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2.15</w:t>
      </w:r>
      <w:r>
        <w:rPr>
          <w:rFonts w:ascii="Times New Roman" w:cs="Times New Roman" w:eastAsia="Times New Roman" w:hAnsi="Times New Roman"/>
          <w:sz w:val="22"/>
          <w:szCs w:val="22"/>
          <w:color w:val="auto"/>
        </w:rPr>
        <w:t>, the Company may, from time to time, repurchase Notes in open market purchases or in negotiated transactions without delivering prior notice to Holders.</w:t>
      </w:r>
    </w:p>
    <w:p>
      <w:pPr>
        <w:spacing w:after="0" w:line="19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2.20.</w:t>
      </w:r>
      <w:r>
        <w:rPr>
          <w:sz w:val="20"/>
          <w:szCs w:val="20"/>
          <w:color w:val="auto"/>
        </w:rPr>
        <w:tab/>
      </w:r>
      <w:r>
        <w:rPr>
          <w:rFonts w:ascii="Times New Roman" w:cs="Times New Roman" w:eastAsia="Times New Roman" w:hAnsi="Times New Roman"/>
          <w:sz w:val="21"/>
          <w:szCs w:val="21"/>
          <w:b w:val="1"/>
          <w:bCs w:val="1"/>
          <w:color w:val="auto"/>
        </w:rPr>
        <w:t>CUSIP and ISIN Numbers.</w:t>
      </w:r>
    </w:p>
    <w:p>
      <w:pPr>
        <w:spacing w:after="0" w:line="220"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xml:space="preserv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200"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color w:val="auto"/>
        </w:rPr>
        <w:t>COVENANTS</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3.01.</w:t>
      </w:r>
      <w:r>
        <w:rPr>
          <w:sz w:val="20"/>
          <w:szCs w:val="20"/>
          <w:color w:val="auto"/>
        </w:rPr>
        <w:tab/>
      </w:r>
      <w:r>
        <w:rPr>
          <w:rFonts w:ascii="Times New Roman" w:cs="Times New Roman" w:eastAsia="Times New Roman" w:hAnsi="Times New Roman"/>
          <w:sz w:val="21"/>
          <w:szCs w:val="21"/>
          <w:b w:val="1"/>
          <w:bCs w:val="1"/>
          <w:color w:val="auto"/>
        </w:rPr>
        <w:t>Payment on Notes.</w:t>
      </w:r>
    </w:p>
    <w:p>
      <w:pPr>
        <w:spacing w:after="0" w:line="220" w:lineRule="exact"/>
        <w:rPr>
          <w:sz w:val="20"/>
          <w:szCs w:val="20"/>
          <w:color w:val="auto"/>
        </w:rPr>
      </w:pPr>
    </w:p>
    <w:p>
      <w:pPr>
        <w:jc w:val="both"/>
        <w:ind w:firstLine="656"/>
        <w:spacing w:after="0" w:line="259" w:lineRule="auto"/>
        <w:tabs>
          <w:tab w:leader="none" w:pos="124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pay or cause to be paid all the principal of, the Fundamental Change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and Redemption Price for, interest, if any, on, and other amounts due with respect to, the Notes on the dates and in the manner set forth in this Indenture.</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Deposit of Funds</w:t>
      </w:r>
      <w:r>
        <w:rPr>
          <w:rFonts w:ascii="Times New Roman" w:cs="Times New Roman" w:eastAsia="Times New Roman" w:hAnsi="Times New Roman"/>
          <w:sz w:val="22"/>
          <w:szCs w:val="22"/>
          <w:color w:val="auto"/>
        </w:rPr>
        <w:t>. Before 11:00 A.M., New York City time, on each Redemption Date, Fundamental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Repurchase Date or Interest Payment Date in respect of which any Special Interest or Additional Interest is payable,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1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3.02.</w:t>
      </w:r>
      <w:r>
        <w:rPr>
          <w:sz w:val="20"/>
          <w:szCs w:val="20"/>
          <w:color w:val="auto"/>
        </w:rPr>
        <w:tab/>
      </w:r>
      <w:r>
        <w:rPr>
          <w:rFonts w:ascii="Times New Roman" w:cs="Times New Roman" w:eastAsia="Times New Roman" w:hAnsi="Times New Roman"/>
          <w:sz w:val="21"/>
          <w:szCs w:val="21"/>
          <w:color w:val="auto"/>
        </w:rPr>
        <w:t>Exchange Act Reports.</w:t>
      </w:r>
    </w:p>
    <w:p>
      <w:pPr>
        <w:spacing w:after="0" w:line="220" w:lineRule="exact"/>
        <w:rPr>
          <w:sz w:val="20"/>
          <w:szCs w:val="20"/>
          <w:color w:val="auto"/>
        </w:rPr>
      </w:pPr>
    </w:p>
    <w:p>
      <w:pPr>
        <w:jc w:val="both"/>
        <w:ind w:firstLine="656"/>
        <w:spacing w:after="0" w:line="248" w:lineRule="auto"/>
        <w:tabs>
          <w:tab w:leader="none" w:pos="117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The Company will send to the Trustee copies of all reports that the Company is required to file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 pursuant to Section 13(a) or 15(d) of the Exchange Act (other than Form 8-K reports) within fifteen (15) calendar days after the date that the Company is required to file the same (after giving effect to all applicable grace periods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Company need not send to the Trustee any material for which the Company has received, or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seeking in good faith and has not been denied, confidential treatment by the SEC. Any such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 report that the Company has sent the Trustee pursuant to this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other than a report that is deemed to be sent to the Trustee pursuant to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18" w:right="339" w:bottom="1440" w:gutter="0" w:footer="0" w:header="0"/>
        </w:sectPr>
      </w:pPr>
    </w:p>
    <w:bookmarkStart w:id="43" w:name="page44"/>
    <w:bookmarkEnd w:id="43"/>
    <w:p>
      <w:pPr>
        <w:jc w:val="both"/>
        <w:ind w:firstLine="350"/>
        <w:spacing w:after="0" w:line="249" w:lineRule="auto"/>
        <w:rPr>
          <w:sz w:val="20"/>
          <w:szCs w:val="20"/>
          <w:color w:val="auto"/>
        </w:rPr>
      </w:pPr>
      <w:r>
        <w:rPr>
          <w:rFonts w:ascii="Times New Roman" w:cs="Times New Roman" w:eastAsia="Times New Roman" w:hAnsi="Times New Roman"/>
          <w:sz w:val="22"/>
          <w:szCs w:val="22"/>
          <w:color w:val="auto"/>
        </w:rPr>
        <w:t xml:space="preserve">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 For the avoidance of doubt, if the Company fails to file with the SEC any report pursuant to Section 13(a) or 15(d) of the Exchange Act (other than Form 8-K reports) on or before the date that the Company is required to file the same (after giving effect to all applicable grace periods under the Exchange Act), then such failure will not constitute a Default with respect to the covenant set forth in this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xml:space="preserve"> at any time before the lapsing of the fifteen (15) calendar days referred to in the first sentence of this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jc w:val="both"/>
        <w:ind w:firstLine="656"/>
        <w:spacing w:after="0" w:line="253" w:lineRule="auto"/>
        <w:tabs>
          <w:tab w:leader="none" w:pos="117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The Trustee need not determine whether the Company has filed any material via the EDGAR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system (or such successor). The sending or filing of reports pursuant to </w:t>
      </w:r>
      <w:r>
        <w:rPr>
          <w:rFonts w:ascii="Times New Roman" w:cs="Times New Roman" w:eastAsia="Times New Roman" w:hAnsi="Times New Roman"/>
          <w:sz w:val="22"/>
          <w:szCs w:val="22"/>
          <w:b w:val="1"/>
          <w:bCs w:val="1"/>
          <w:color w:val="auto"/>
        </w:rPr>
        <w:t>Section 3.02(A)</w:t>
      </w:r>
      <w:r>
        <w:rPr>
          <w:rFonts w:ascii="Times New Roman" w:cs="Times New Roman" w:eastAsia="Times New Roman" w:hAnsi="Times New Roman"/>
          <w:sz w:val="22"/>
          <w:szCs w:val="22"/>
          <w:color w:val="auto"/>
        </w:rPr>
        <w:t xml:space="preserve"> will not be deemed to constitute actual or constructive notice to the Trustee of any information contained, or determinable from information contained, therein, including the Company’s compliance with any of its covenants under this Indenture.</w:t>
      </w:r>
    </w:p>
    <w:p>
      <w:pPr>
        <w:spacing w:after="0" w:line="1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3.03.</w:t>
      </w:r>
      <w:r>
        <w:rPr>
          <w:sz w:val="20"/>
          <w:szCs w:val="20"/>
          <w:color w:val="auto"/>
        </w:rPr>
        <w:tab/>
      </w:r>
      <w:r>
        <w:rPr>
          <w:rFonts w:ascii="Times New Roman" w:cs="Times New Roman" w:eastAsia="Times New Roman" w:hAnsi="Times New Roman"/>
          <w:sz w:val="21"/>
          <w:szCs w:val="21"/>
          <w:b w:val="1"/>
          <w:bCs w:val="1"/>
          <w:color w:val="auto"/>
        </w:rPr>
        <w:t>Rule 144A Information.</w:t>
      </w:r>
    </w:p>
    <w:p>
      <w:pPr>
        <w:spacing w:after="0" w:line="224" w:lineRule="exact"/>
        <w:rPr>
          <w:sz w:val="20"/>
          <w:szCs w:val="20"/>
          <w:color w:val="auto"/>
        </w:rPr>
      </w:pPr>
    </w:p>
    <w:p>
      <w:pPr>
        <w:jc w:val="both"/>
        <w:ind w:firstLine="260"/>
        <w:spacing w:after="0" w:line="250" w:lineRule="auto"/>
        <w:rPr>
          <w:sz w:val="20"/>
          <w:szCs w:val="20"/>
          <w:color w:val="auto"/>
        </w:rPr>
      </w:pPr>
      <w:r>
        <w:rPr>
          <w:rFonts w:ascii="Times New Roman" w:cs="Times New Roman" w:eastAsia="Times New Roman" w:hAnsi="Times New Roman"/>
          <w:sz w:val="22"/>
          <w:szCs w:val="22"/>
          <w:color w:val="auto"/>
        </w:rPr>
        <w:t xml:space="preserve">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from and after the De-Legending Deadline Date of any Note, such information need not be provided with respect to such Note, or any share of Common Stock issued upon Conversion of such Note, if such Note or share, as applicable, is Freely Tradable (determined, with respect to any share of Common Stock, as each reference to any Note in the definition of “Freely Tradable” were instead a reference to shares of Common Stock).</w:t>
      </w:r>
    </w:p>
    <w:p>
      <w:pPr>
        <w:spacing w:after="0" w:line="20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3.04.</w:t>
      </w:r>
      <w:r>
        <w:rPr>
          <w:sz w:val="20"/>
          <w:szCs w:val="20"/>
          <w:color w:val="auto"/>
        </w:rPr>
        <w:tab/>
      </w:r>
      <w:r>
        <w:rPr>
          <w:rFonts w:ascii="Times New Roman" w:cs="Times New Roman" w:eastAsia="Times New Roman" w:hAnsi="Times New Roman"/>
          <w:sz w:val="21"/>
          <w:szCs w:val="21"/>
          <w:b w:val="1"/>
          <w:bCs w:val="1"/>
          <w:color w:val="auto"/>
        </w:rPr>
        <w:t>Additional Interest.</w:t>
      </w:r>
    </w:p>
    <w:p>
      <w:pPr>
        <w:spacing w:after="0" w:line="220" w:lineRule="exact"/>
        <w:rPr>
          <w:sz w:val="20"/>
          <w:szCs w:val="20"/>
          <w:color w:val="auto"/>
        </w:rPr>
      </w:pPr>
    </w:p>
    <w:p>
      <w:pPr>
        <w:ind w:left="1180" w:hanging="524"/>
        <w:spacing w:after="0"/>
        <w:tabs>
          <w:tab w:leader="none" w:pos="11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Accrual of Additional Interest</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793"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six (6) month period beginning on, and including, the date that is six (6) months after the Last Original Issue Date of any Note,</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5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fails to timely file any report (other than Form 8-K reports) that the Company is required to file with the SEC pursuant to Section 13 or 15(d) of the Exchange Act (after giving effect to all applicable grace periods thereunder); or</w:t>
      </w:r>
    </w:p>
    <w:p>
      <w:pPr>
        <w:spacing w:after="0" w:line="17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is not otherwise Freely Tradable,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2" w:right="339" w:bottom="1440" w:gutter="0" w:footer="0" w:header="0"/>
        </w:sectPr>
      </w:pPr>
    </w:p>
    <w:bookmarkStart w:id="44" w:name="page45"/>
    <w:bookmarkEnd w:id="44"/>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then Additional Interest will accrue on such Note for each day during such period on which such failure is continuing or such Note is not Freely Tradable. The “grace periods” referred to in the preceding sentence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spacing w:after="0" w:line="206" w:lineRule="exact"/>
        <w:rPr>
          <w:sz w:val="20"/>
          <w:szCs w:val="20"/>
          <w:color w:val="auto"/>
        </w:rPr>
      </w:pPr>
    </w:p>
    <w:p>
      <w:pPr>
        <w:ind w:left="660" w:firstLine="644"/>
        <w:spacing w:after="0" w:line="271" w:lineRule="auto"/>
        <w:tabs>
          <w:tab w:leader="none" w:pos="180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Additional Interest will accrue on a Note on each day on which such Note is not Freely Tradable on or after the De-Legending Deadline Date for such Note.</w:t>
      </w:r>
    </w:p>
    <w:p>
      <w:pPr>
        <w:spacing w:after="0" w:line="15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0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and Payment of Additional Interest</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 any Additional Interest that accrues on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Note pursuant to </w:t>
      </w:r>
      <w:r>
        <w:rPr>
          <w:rFonts w:ascii="Times New Roman" w:cs="Times New Roman" w:eastAsia="Times New Roman" w:hAnsi="Times New Roman"/>
          <w:sz w:val="22"/>
          <w:szCs w:val="22"/>
          <w:b w:val="1"/>
          <w:bCs w:val="1"/>
          <w:color w:val="auto"/>
        </w:rPr>
        <w:t>Section 3.04(A)</w:t>
      </w:r>
      <w:r>
        <w:rPr>
          <w:rFonts w:ascii="Times New Roman" w:cs="Times New Roman" w:eastAsia="Times New Roman" w:hAnsi="Times New Roman"/>
          <w:sz w:val="22"/>
          <w:szCs w:val="22"/>
          <w:color w:val="auto"/>
        </w:rPr>
        <w:t xml:space="preserve"> will accrue at a rate per annum equal to one quarter of one percent (0.25%) of the principal amount thereof for the first ninety (90) days on which Additional Interest accrues and, thereafter, at a rate per annum equal to one half of one percent (0.50%) of the principal amount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Additional Interest, together with any Special Interest accrue on any day on a Note at a combined rate per annum that exceeds one half of one percent (0.50%). For the avoidance of doubt, any Additional Interest that accrues on a Note will, subject to the proviso of the immediately preceding sentence, be in addition to any Special Interest that accrues on such Note.</w:t>
      </w:r>
    </w:p>
    <w:p>
      <w:pPr>
        <w:spacing w:after="0" w:line="19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Deferral of Additional Interest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5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Notwithstanding anything to the contrary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3.04</w:t>
      </w:r>
      <w:r>
        <w:rPr>
          <w:rFonts w:ascii="Times New Roman" w:cs="Times New Roman" w:eastAsia="Times New Roman" w:hAnsi="Times New Roman"/>
          <w:sz w:val="22"/>
          <w:szCs w:val="22"/>
          <w:color w:val="auto"/>
        </w:rPr>
        <w:t>, but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3.04(C)(iii)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Interest that accrues on any Note for any period on or after the De-Legending Deadline Date of such Note will not be payable on any Interest Payment Date occurring on or after such De-Legending Deadline Date unless (1) a Holder (or an owner of a beneficial interest in a Global Note) has delivered to the Company and the Trustee, no later than the fifth (5th) Business Day before the Interest Record Date immediately before such Interest Payment Date, a written notice (a “</w:t>
      </w:r>
      <w:r>
        <w:rPr>
          <w:rFonts w:ascii="Times New Roman" w:cs="Times New Roman" w:eastAsia="Times New Roman" w:hAnsi="Times New Roman"/>
          <w:sz w:val="22"/>
          <w:szCs w:val="22"/>
          <w:b w:val="1"/>
          <w:bCs w:val="1"/>
          <w:color w:val="auto"/>
        </w:rPr>
        <w:t>Deferred Additional Interest Demand Request</w:t>
      </w:r>
      <w:r>
        <w:rPr>
          <w:rFonts w:ascii="Times New Roman" w:cs="Times New Roman" w:eastAsia="Times New Roman" w:hAnsi="Times New Roman"/>
          <w:sz w:val="22"/>
          <w:szCs w:val="22"/>
          <w:color w:val="auto"/>
        </w:rPr>
        <w:t>”) demanding payment of Additional Interest; or (2) the Company, in its sole and absolute discretion, elects, by sending notice of such election (a “</w:t>
      </w:r>
      <w:r>
        <w:rPr>
          <w:rFonts w:ascii="Times New Roman" w:cs="Times New Roman" w:eastAsia="Times New Roman" w:hAnsi="Times New Roman"/>
          <w:sz w:val="22"/>
          <w:szCs w:val="22"/>
          <w:b w:val="1"/>
          <w:bCs w:val="1"/>
          <w:color w:val="auto"/>
        </w:rPr>
        <w:t>Notice of Election to Pay Deferred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to Holders before such Interest Record Date, to pay such Additional Interest on such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Date (any accrued and unpaid Additional Interest that, in accordance with this sentence, is not paid on such Interest Payment Date, “</w:t>
      </w:r>
      <w:r>
        <w:rPr>
          <w:rFonts w:ascii="Times New Roman" w:cs="Times New Roman" w:eastAsia="Times New Roman" w:hAnsi="Times New Roman"/>
          <w:sz w:val="22"/>
          <w:szCs w:val="22"/>
          <w:b w:val="1"/>
          <w:bCs w:val="1"/>
          <w:color w:val="auto"/>
        </w:rPr>
        <w:t>Deferred Additional Interest</w:t>
      </w:r>
      <w:r>
        <w:rPr>
          <w:rFonts w:ascii="Times New Roman" w:cs="Times New Roman" w:eastAsia="Times New Roman" w:hAnsi="Times New Roman"/>
          <w:sz w:val="22"/>
          <w:szCs w:val="22"/>
          <w:color w:val="auto"/>
        </w:rPr>
        <w:t xml:space="preserve">”). Once any accrued and unpaid Additional Interest becomes payable on an Interest Payment Date (whether as a result of the delivery of a written notice pursuant to </w:t>
      </w:r>
      <w:r>
        <w:rPr>
          <w:rFonts w:ascii="Times New Roman" w:cs="Times New Roman" w:eastAsia="Times New Roman" w:hAnsi="Times New Roman"/>
          <w:sz w:val="22"/>
          <w:szCs w:val="22"/>
          <w:b w:val="1"/>
          <w:bCs w:val="1"/>
          <w:color w:val="auto"/>
        </w:rPr>
        <w:t>clause (1)</w:t>
      </w:r>
      <w:r>
        <w:rPr>
          <w:rFonts w:ascii="Times New Roman" w:cs="Times New Roman" w:eastAsia="Times New Roman" w:hAnsi="Times New Roman"/>
          <w:sz w:val="22"/>
          <w:szCs w:val="22"/>
          <w:color w:val="auto"/>
        </w:rPr>
        <w:t xml:space="preserve"> above or, if earlier, the Company’s election to pay the same pursuant to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xml:space="preserve"> above), Additional Interest will thereafter not be subject to deferral pursuant to this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firstLine="644"/>
        <w:spacing w:after="0" w:line="275" w:lineRule="auto"/>
        <w:tabs>
          <w:tab w:leader="none" w:pos="178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Interpretive Provisions</w:t>
      </w:r>
      <w:r>
        <w:rPr>
          <w:rFonts w:ascii="Times New Roman" w:cs="Times New Roman" w:eastAsia="Times New Roman" w:hAnsi="Times New Roman"/>
          <w:sz w:val="22"/>
          <w:szCs w:val="22"/>
          <w:color w:val="auto"/>
        </w:rPr>
        <w:t>. Each reference in this Indenture or the Notes to any accrued interest (including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definitions of the Redemption Price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Fundamental Change Repurchase Price for any Note) includes, to the extent applicable, and without duplication, any Deferred Additional Interest. For the avoidance of doubt, the failure to pay any accrued and unpaid Additional Interest on an Interest Payment Date will not constitute a Default or an Event of Default under this Indenture or the Notes if such payment is deferred in accordance with </w:t>
      </w:r>
      <w:r>
        <w:rPr>
          <w:rFonts w:ascii="Times New Roman" w:cs="Times New Roman" w:eastAsia="Times New Roman" w:hAnsi="Times New Roman"/>
          <w:sz w:val="22"/>
          <w:szCs w:val="22"/>
          <w:b w:val="1"/>
          <w:bCs w:val="1"/>
          <w:color w:val="auto"/>
        </w:rPr>
        <w:t>Section 3.04(C)(i)</w:t>
      </w:r>
      <w:r>
        <w:rPr>
          <w:rFonts w:ascii="Times New Roman" w:cs="Times New Roman" w:eastAsia="Times New Roman" w:hAnsi="Times New Roman"/>
          <w:sz w:val="22"/>
          <w:szCs w:val="22"/>
          <w:color w:val="auto"/>
        </w:rPr>
        <w:t xml:space="preserve">. Otherwise, such a failure to pay will be subject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7.01(A)(ii)</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60" w:firstLine="644"/>
        <w:spacing w:after="0" w:line="248" w:lineRule="auto"/>
        <w:tabs>
          <w:tab w:leader="none" w:pos="190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or Extinguishment Upon Maturity</w:t>
      </w:r>
      <w:r>
        <w:rPr>
          <w:rFonts w:ascii="Times New Roman" w:cs="Times New Roman" w:eastAsia="Times New Roman" w:hAnsi="Times New Roman"/>
          <w:sz w:val="22"/>
          <w:szCs w:val="22"/>
          <w:color w:val="auto"/>
        </w:rPr>
        <w:t>. Notwithstanding anything to the contrary in this Indenture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Notes, if (1) any unpaid Deferred Additional Interest exists on any Notes as of the Close of Business on the Interest Record Date immediately preceding the Maturity Date; (2) no Holder (or owner of a beneficial interest in a Global Note) has delivered a Deferred Additional Interest Demand Request in the manner set forth in </w:t>
      </w:r>
      <w:r>
        <w:rPr>
          <w:rFonts w:ascii="Times New Roman" w:cs="Times New Roman" w:eastAsia="Times New Roman" w:hAnsi="Times New Roman"/>
          <w:sz w:val="22"/>
          <w:szCs w:val="22"/>
          <w:b w:val="1"/>
          <w:bCs w:val="1"/>
          <w:color w:val="auto"/>
        </w:rPr>
        <w:t>Section 3.04(C)(i)</w:t>
      </w:r>
      <w:r>
        <w:rPr>
          <w:rFonts w:ascii="Times New Roman" w:cs="Times New Roman" w:eastAsia="Times New Roman" w:hAnsi="Times New Roman"/>
          <w:sz w:val="22"/>
          <w:szCs w:val="22"/>
          <w:color w:val="auto"/>
        </w:rPr>
        <w:t xml:space="preserve"> on or before the fifth (5th) Business Day before such Interest Record Date; and (3) the Company has not sent a Notice of Election to Pay Deferred Additional Interest in the manner set forth in </w:t>
      </w:r>
      <w:r>
        <w:rPr>
          <w:rFonts w:ascii="Times New Roman" w:cs="Times New Roman" w:eastAsia="Times New Roman" w:hAnsi="Times New Roman"/>
          <w:sz w:val="22"/>
          <w:szCs w:val="22"/>
          <w:b w:val="1"/>
          <w:bCs w:val="1"/>
          <w:color w:val="auto"/>
        </w:rPr>
        <w:t>Section 3.04(C)(i)</w:t>
      </w:r>
      <w:r>
        <w:rPr>
          <w:rFonts w:ascii="Times New Roman" w:cs="Times New Roman" w:eastAsia="Times New Roman" w:hAnsi="Times New Roman"/>
          <w:sz w:val="22"/>
          <w:szCs w:val="22"/>
          <w:color w:val="auto"/>
        </w:rPr>
        <w:t xml:space="preserve"> before such Interest Record Date, then Deferred Additional Interest on each Note then outstanding will cease to accrue and all Deferred Additional Interest on such Note will be deemed to be extinguished on the following date: (a) if such Note is to be Converted, the Conversion Date for such Conversion (it being understood, for the avoidance of doubt, that the Conversion Consideration therefor need not include the payment of any such Deferred Additional Interest); and (b) in all other cases, the later of (x) the Maturity Date; and (y) the first date on which the Company has repaid the principal of, and accrued and unpaid interest (other than such Deferred Additional Interest) on, such Note in full.</w:t>
      </w:r>
    </w:p>
    <w:p>
      <w:pPr>
        <w:spacing w:after="0" w:line="184" w:lineRule="exact"/>
        <w:rPr>
          <w:rFonts w:ascii="Times New Roman" w:cs="Times New Roman" w:eastAsia="Times New Roman" w:hAnsi="Times New Roman"/>
          <w:sz w:val="22"/>
          <w:szCs w:val="22"/>
          <w:color w:val="auto"/>
        </w:rPr>
      </w:pPr>
    </w:p>
    <w:p>
      <w:pPr>
        <w:jc w:val="both"/>
        <w:ind w:firstLine="656"/>
        <w:spacing w:after="0" w:line="249" w:lineRule="auto"/>
        <w:tabs>
          <w:tab w:leader="none" w:pos="117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Accrual of Additional Interest; Trustee’s Disclaimer</w:t>
      </w:r>
      <w:r>
        <w:rPr>
          <w:rFonts w:ascii="Times New Roman" w:cs="Times New Roman" w:eastAsia="Times New Roman" w:hAnsi="Times New Roman"/>
          <w:sz w:val="22"/>
          <w:szCs w:val="22"/>
          <w:color w:val="auto"/>
        </w:rPr>
        <w:t>. The Company will send notice to the Holder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Note, and to the Trustee, of the commencement and termination of any period in which Additional Interest accrues on such Note, except that no such notice is required in respect of any Additional Interest that is deferred in accordance with </w:t>
      </w:r>
      <w:r>
        <w:rPr>
          <w:rFonts w:ascii="Times New Roman" w:cs="Times New Roman" w:eastAsia="Times New Roman" w:hAnsi="Times New Roman"/>
          <w:sz w:val="22"/>
          <w:szCs w:val="22"/>
          <w:b w:val="1"/>
          <w:bCs w:val="1"/>
          <w:color w:val="auto"/>
        </w:rPr>
        <w:t>Section 3.04(C)</w:t>
      </w:r>
      <w:r>
        <w:rPr>
          <w:rFonts w:ascii="Times New Roman" w:cs="Times New Roman" w:eastAsia="Times New Roman" w:hAnsi="Times New Roman"/>
          <w:sz w:val="22"/>
          <w:szCs w:val="22"/>
          <w:color w:val="auto"/>
        </w:rPr>
        <w:t>.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(x) will have no duty to determine whether any Additional Interest is payable (or whether the same is deferred or is accruing interest) or the amount thereof; and (y) may assume (without inquiry) that no Additional Interest is payable or has been deferred unless and until the Company delivers such Officer’s Certificate.</w:t>
      </w:r>
    </w:p>
    <w:p>
      <w:pPr>
        <w:spacing w:after="0" w:line="183" w:lineRule="exact"/>
        <w:rPr>
          <w:rFonts w:ascii="Times New Roman" w:cs="Times New Roman" w:eastAsia="Times New Roman" w:hAnsi="Times New Roman"/>
          <w:sz w:val="22"/>
          <w:szCs w:val="22"/>
          <w:color w:val="auto"/>
        </w:rPr>
      </w:pPr>
    </w:p>
    <w:p>
      <w:pPr>
        <w:ind w:right="20" w:firstLine="656"/>
        <w:spacing w:after="0" w:line="275" w:lineRule="auto"/>
        <w:tabs>
          <w:tab w:leader="none" w:pos="123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Exclusive Remedy</w:t>
      </w:r>
      <w:r>
        <w:rPr>
          <w:rFonts w:ascii="Times New Roman" w:cs="Times New Roman" w:eastAsia="Times New Roman" w:hAnsi="Times New Roman"/>
          <w:sz w:val="22"/>
          <w:szCs w:val="22"/>
          <w:color w:val="auto"/>
        </w:rPr>
        <w:t>. The accrual of Additional Interest will be the exclusive remedy available to Holders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failure of their Notes to become Freely Tradable.</w:t>
      </w:r>
    </w:p>
    <w:p>
      <w:pPr>
        <w:spacing w:after="0" w:line="14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3.05.</w:t>
      </w:r>
      <w:r>
        <w:rPr>
          <w:sz w:val="20"/>
          <w:szCs w:val="20"/>
          <w:color w:val="auto"/>
        </w:rPr>
        <w:tab/>
      </w:r>
      <w:r>
        <w:rPr>
          <w:rFonts w:ascii="Times New Roman" w:cs="Times New Roman" w:eastAsia="Times New Roman" w:hAnsi="Times New Roman"/>
          <w:sz w:val="21"/>
          <w:szCs w:val="21"/>
          <w:b w:val="1"/>
          <w:bCs w:val="1"/>
          <w:color w:val="auto"/>
        </w:rPr>
        <w:t>Compliance and Default Certificates.</w:t>
      </w:r>
    </w:p>
    <w:p>
      <w:pPr>
        <w:spacing w:after="0" w:line="233" w:lineRule="exact"/>
        <w:rPr>
          <w:sz w:val="20"/>
          <w:szCs w:val="20"/>
          <w:color w:val="auto"/>
        </w:rPr>
      </w:pPr>
    </w:p>
    <w:p>
      <w:pPr>
        <w:jc w:val="both"/>
        <w:ind w:firstLine="656"/>
        <w:spacing w:after="0" w:line="259" w:lineRule="auto"/>
        <w:tabs>
          <w:tab w:leader="none" w:pos="119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Compliance Certificate</w:t>
      </w:r>
      <w:r>
        <w:rPr>
          <w:rFonts w:ascii="Times New Roman" w:cs="Times New Roman" w:eastAsia="Times New Roman" w:hAnsi="Times New Roman"/>
          <w:sz w:val="22"/>
          <w:szCs w:val="22"/>
          <w:color w:val="auto"/>
        </w:rPr>
        <w:t>. Within one hundred and twenty (120) days after the last day of each fiscal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beginning with the first such fiscal year ending after the date of this Indenture, the Company will deliver an Officer’s Certificate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22"/>
          <w:szCs w:val="22"/>
          <w:color w:val="auto"/>
        </w:rPr>
        <w:t>stating (i) that the signatory thereto has supervised a review of the activities of the Company and its Subsidiaries during such fiscal year with a view towards determining whether any Default has occurred; and (ii) whether, to such signatory’s knowledge, a Default has occurred or is continuing (and, if so, describing all such Defaults and what action the Company is taking or proposes to take with respect thereto).</w:t>
      </w:r>
    </w:p>
    <w:p>
      <w:pPr>
        <w:spacing w:after="0" w:line="172" w:lineRule="exact"/>
        <w:rPr>
          <w:sz w:val="20"/>
          <w:szCs w:val="20"/>
          <w:color w:val="auto"/>
        </w:rPr>
      </w:pPr>
    </w:p>
    <w:p>
      <w:pPr>
        <w:jc w:val="both"/>
        <w:ind w:firstLine="656"/>
        <w:spacing w:after="0" w:line="253" w:lineRule="auto"/>
        <w:tabs>
          <w:tab w:leader="none" w:pos="123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 Certificate</w:t>
      </w:r>
      <w:r>
        <w:rPr>
          <w:rFonts w:ascii="Times New Roman" w:cs="Times New Roman" w:eastAsia="Times New Roman" w:hAnsi="Times New Roman"/>
          <w:sz w:val="22"/>
          <w:szCs w:val="22"/>
          <w:color w:val="auto"/>
        </w:rPr>
        <w:t>. If a Default occurs, then the Company will, within thirty (30) days after its first occurrence,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 an Officer’s Certificate to the Trustee describing the same and what action the Company is taking or proposes to take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will not be required to deliver such Officer’s Certificate at any time after such Default is cured or waived.</w:t>
      </w:r>
    </w:p>
    <w:p>
      <w:pPr>
        <w:spacing w:after="0" w:line="18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3.06.</w:t>
      </w:r>
      <w:r>
        <w:rPr>
          <w:sz w:val="20"/>
          <w:szCs w:val="20"/>
          <w:color w:val="auto"/>
        </w:rPr>
        <w:tab/>
      </w:r>
      <w:r>
        <w:rPr>
          <w:rFonts w:ascii="Times New Roman" w:cs="Times New Roman" w:eastAsia="Times New Roman" w:hAnsi="Times New Roman"/>
          <w:sz w:val="21"/>
          <w:szCs w:val="21"/>
          <w:b w:val="1"/>
          <w:bCs w:val="1"/>
          <w:color w:val="auto"/>
        </w:rPr>
        <w:t>Stay, Extension and Usury Laws.</w:t>
      </w:r>
    </w:p>
    <w:p>
      <w:pPr>
        <w:spacing w:after="0" w:line="224" w:lineRule="exact"/>
        <w:rPr>
          <w:sz w:val="20"/>
          <w:szCs w:val="20"/>
          <w:color w:val="auto"/>
        </w:rPr>
      </w:pPr>
    </w:p>
    <w:p>
      <w:pPr>
        <w:jc w:val="both"/>
        <w:ind w:firstLine="303"/>
        <w:spacing w:after="0" w:line="251" w:lineRule="auto"/>
        <w:rPr>
          <w:sz w:val="20"/>
          <w:szCs w:val="20"/>
          <w:color w:val="auto"/>
        </w:rPr>
      </w:pPr>
      <w:r>
        <w:rPr>
          <w:rFonts w:ascii="Times New Roman" w:cs="Times New Roman" w:eastAsia="Times New Roman" w:hAnsi="Times New Roman"/>
          <w:sz w:val="22"/>
          <w:szCs w:val="22"/>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20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3.07.</w:t>
      </w:r>
      <w:r>
        <w:rPr>
          <w:sz w:val="20"/>
          <w:szCs w:val="20"/>
          <w:color w:val="auto"/>
        </w:rPr>
        <w:tab/>
      </w:r>
      <w:r>
        <w:rPr>
          <w:rFonts w:ascii="Times New Roman" w:cs="Times New Roman" w:eastAsia="Times New Roman" w:hAnsi="Times New Roman"/>
          <w:sz w:val="21"/>
          <w:szCs w:val="21"/>
          <w:b w:val="1"/>
          <w:bCs w:val="1"/>
          <w:color w:val="auto"/>
        </w:rPr>
        <w:t>Acquisition of Notes by the Company and its Affiliates.</w:t>
      </w:r>
    </w:p>
    <w:p>
      <w:pPr>
        <w:spacing w:after="0" w:line="220" w:lineRule="exact"/>
        <w:rPr>
          <w:sz w:val="20"/>
          <w:szCs w:val="20"/>
          <w:color w:val="auto"/>
        </w:rPr>
      </w:pPr>
    </w:p>
    <w:p>
      <w:pPr>
        <w:jc w:val="both"/>
        <w:ind w:firstLine="212"/>
        <w:spacing w:after="0" w:line="258" w:lineRule="auto"/>
        <w:rPr>
          <w:sz w:val="20"/>
          <w:szCs w:val="20"/>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b w:val="1"/>
          <w:bCs w:val="1"/>
          <w:color w:val="auto"/>
        </w:rPr>
        <w:t>Section 2.18</w:t>
      </w:r>
      <w:r>
        <w:rPr>
          <w:rFonts w:ascii="Times New Roman" w:cs="Times New Roman" w:eastAsia="Times New Roman" w:hAnsi="Times New Roman"/>
          <w:sz w:val="22"/>
          <w:szCs w:val="22"/>
          <w:color w:val="auto"/>
        </w:rPr>
        <w:t xml:space="preserve">, Notes that the Company or any of its Subsidiaries have purchased or otherwise acquired will be deemed to remain outstanding (except to the extent provided in </w:t>
      </w:r>
      <w:r>
        <w:rPr>
          <w:rFonts w:ascii="Times New Roman" w:cs="Times New Roman" w:eastAsia="Times New Roman" w:hAnsi="Times New Roman"/>
          <w:sz w:val="22"/>
          <w:szCs w:val="22"/>
          <w:b w:val="1"/>
          <w:bCs w:val="1"/>
          <w:color w:val="auto"/>
        </w:rPr>
        <w:t>Section 2.16</w:t>
      </w:r>
      <w:r>
        <w:rPr>
          <w:rFonts w:ascii="Times New Roman" w:cs="Times New Roman" w:eastAsia="Times New Roman" w:hAnsi="Times New Roman"/>
          <w:sz w:val="22"/>
          <w:szCs w:val="22"/>
          <w:color w:val="auto"/>
        </w:rPr>
        <w:t>) until such time as such Notes are delivered to the Trustee for cancellation. The Company will use commercially reasonable efforts to prevent any of its controlled Affiliates from acquiring any Note (or any beneficial interest therein).</w:t>
      </w:r>
    </w:p>
    <w:p>
      <w:pPr>
        <w:spacing w:after="0" w:line="195"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color w:val="auto"/>
        </w:rPr>
        <w:t>REPURCHASE AND REDEMPTION</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4.01.</w:t>
      </w:r>
      <w:r>
        <w:rPr>
          <w:sz w:val="20"/>
          <w:szCs w:val="20"/>
          <w:color w:val="auto"/>
        </w:rPr>
        <w:tab/>
      </w:r>
      <w:r>
        <w:rPr>
          <w:rFonts w:ascii="Times New Roman" w:cs="Times New Roman" w:eastAsia="Times New Roman" w:hAnsi="Times New Roman"/>
          <w:sz w:val="21"/>
          <w:szCs w:val="21"/>
          <w:b w:val="1"/>
          <w:bCs w:val="1"/>
          <w:color w:val="auto"/>
        </w:rPr>
        <w:t>No Sinking Fund.</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 sinking fund is required to be provided for the Notes.</w:t>
      </w:r>
    </w:p>
    <w:p>
      <w:pPr>
        <w:spacing w:after="0" w:line="24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4.02.</w:t>
      </w:r>
      <w:r>
        <w:rPr>
          <w:sz w:val="20"/>
          <w:szCs w:val="20"/>
          <w:color w:val="auto"/>
        </w:rPr>
        <w:tab/>
      </w:r>
      <w:r>
        <w:rPr>
          <w:rFonts w:ascii="Times New Roman" w:cs="Times New Roman" w:eastAsia="Times New Roman" w:hAnsi="Times New Roman"/>
          <w:sz w:val="21"/>
          <w:szCs w:val="21"/>
          <w:b w:val="1"/>
          <w:bCs w:val="1"/>
          <w:color w:val="auto"/>
        </w:rPr>
        <w:t>Right of Holders to Require the Company to Repurchase Notes Upon a Fundamental Change.</w:t>
      </w:r>
    </w:p>
    <w:p>
      <w:pPr>
        <w:spacing w:after="0" w:line="233" w:lineRule="exact"/>
        <w:rPr>
          <w:sz w:val="20"/>
          <w:szCs w:val="20"/>
          <w:color w:val="auto"/>
        </w:rPr>
      </w:pPr>
    </w:p>
    <w:p>
      <w:pPr>
        <w:jc w:val="both"/>
        <w:ind w:firstLine="656"/>
        <w:spacing w:after="0" w:line="251" w:lineRule="auto"/>
        <w:tabs>
          <w:tab w:leader="none" w:pos="120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of Holders to Require the Company to Repurchase Notes Upon a Fundamental Change</w:t>
      </w:r>
      <w:r>
        <w:rPr>
          <w:rFonts w:ascii="Times New Roman" w:cs="Times New Roman" w:eastAsia="Times New Roman" w:hAnsi="Times New Roman"/>
          <w:sz w:val="22"/>
          <w:szCs w:val="22"/>
          <w:color w:val="auto"/>
        </w:rPr>
        <w:t>. Subject to the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of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if a Fundamental Change occurs, then each Holder will have the right (the “</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Repurchase Right</w:t>
      </w:r>
      <w:r>
        <w:rPr>
          <w:rFonts w:ascii="Times New Roman" w:cs="Times New Roman" w:eastAsia="Times New Roman" w:hAnsi="Times New Roman"/>
          <w:sz w:val="22"/>
          <w:szCs w:val="22"/>
          <w:color w:val="auto"/>
        </w:rPr>
        <w:t>”) to require the Company to repurchase such Holder’s Notes (or any portion thereof in an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Denomination) on the Fundamental Change Repurchase Date for such Fundamental Change for a cash purchase price equal to the Fundamental Change Repurchase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47" w:name="page48"/>
    <w:bookmarkEnd w:id="47"/>
    <w:p>
      <w:pPr>
        <w:jc w:val="both"/>
        <w:ind w:firstLine="656"/>
        <w:spacing w:after="0" w:line="249" w:lineRule="auto"/>
        <w:tabs>
          <w:tab w:leader="none" w:pos="123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 Prohibited in Certain Circumstances</w:t>
      </w:r>
      <w:r>
        <w:rPr>
          <w:rFonts w:ascii="Times New Roman" w:cs="Times New Roman" w:eastAsia="Times New Roman" w:hAnsi="Times New Roman"/>
          <w:sz w:val="22"/>
          <w:szCs w:val="22"/>
          <w:color w:val="auto"/>
        </w:rPr>
        <w:t>. If the principal amount of the Notes has been accelerated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 xml:space="preserve">, on such Fundamental Change Repurchase Date), then (i) the Company may not repurchase any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95" w:lineRule="exact"/>
        <w:rPr>
          <w:rFonts w:ascii="Times New Roman" w:cs="Times New Roman" w:eastAsia="Times New Roman" w:hAnsi="Times New Roman"/>
          <w:sz w:val="22"/>
          <w:szCs w:val="22"/>
          <w:color w:val="auto"/>
        </w:rPr>
      </w:pPr>
    </w:p>
    <w:p>
      <w:pPr>
        <w:jc w:val="both"/>
        <w:ind w:firstLine="656"/>
        <w:spacing w:after="0" w:line="259" w:lineRule="auto"/>
        <w:tabs>
          <w:tab w:leader="none" w:pos="120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Repurchase Date</w:t>
      </w:r>
      <w:r>
        <w:rPr>
          <w:rFonts w:ascii="Times New Roman" w:cs="Times New Roman" w:eastAsia="Times New Roman" w:hAnsi="Times New Roman"/>
          <w:sz w:val="22"/>
          <w:szCs w:val="22"/>
          <w:color w:val="auto"/>
        </w:rPr>
        <w:t>. The Fundamental Change Repurchase Date for any Fundamental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be a Business Day of the Company’s choosing that is no more than thirty five (35), nor less than twenty (20), Business Days after the date the Company sends the related Fundamental Change Notice pursuant to </w:t>
      </w:r>
      <w:r>
        <w:rPr>
          <w:rFonts w:ascii="Times New Roman" w:cs="Times New Roman" w:eastAsia="Times New Roman" w:hAnsi="Times New Roman"/>
          <w:sz w:val="22"/>
          <w:szCs w:val="22"/>
          <w:b w:val="1"/>
          <w:bCs w:val="1"/>
          <w:color w:val="auto"/>
        </w:rPr>
        <w:t>Section 4.02(E)</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jc w:val="both"/>
        <w:ind w:firstLine="656"/>
        <w:spacing w:after="0" w:line="247" w:lineRule="auto"/>
        <w:tabs>
          <w:tab w:leader="none" w:pos="140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Repurchase Price</w:t>
      </w:r>
      <w:r>
        <w:rPr>
          <w:rFonts w:ascii="Times New Roman" w:cs="Times New Roman" w:eastAsia="Times New Roman" w:hAnsi="Times New Roman"/>
          <w:sz w:val="22"/>
          <w:szCs w:val="22"/>
          <w:color w:val="auto"/>
        </w:rPr>
        <w:t>. The Fundamental Change Repurchase Price for any Note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repurchased upon a Repurchase Upon Fundamental Change following a Fundamental Change is an amount in cash equal to the principal amount of such Note plus accrued and unpaid Special Interest and Additional Interest, if any, on such Note to, but excluding, the Fundamental Change Repurchase Date for such Fundamental Change;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any payment of Special Interest or Additional Interest is due in respect of any Interest Payment Date and such Fundamental Change Repurchase Date is after the related Interest Record Date and on or before such Interest Payment Date, then (i) the Holder of such Note at the Close of Business on such Interest Record Date will be entitled, notwithstanding such Repurchase Upon Fundamental Change, to receive, on or, at the Company’s election, before such Interest Payment Date, such payment of Special Interest or Additional Interest, as applicable (assuming, solely for these purposes, that such Note remained outstanding through such Interest Payment Date, if such Fundamental Change Repurchase Date is before such Interest Payment Date); and (ii) the Fundamental Change Repurchase Price will not include any accrued and unpaid Special Interest or Additional Interest on such Note included in such payment referred to in clause (i) above. For the avoidance of doubt, if such Interest Payment Date is not a Business Day within the meaning of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xml:space="preserve"> and such Fundamental Change Repurchase Date occurs on the Business Day immediately after such Interest Payment Date, then (x) accrued and unpaid Special Interest or Additional Interest, if any, as applicable, to, but excluding, such Interest Payment Date will be paid, in accordance with </w:t>
      </w:r>
      <w:r>
        <w:rPr>
          <w:rFonts w:ascii="Times New Roman" w:cs="Times New Roman" w:eastAsia="Times New Roman" w:hAnsi="Times New Roman"/>
          <w:sz w:val="22"/>
          <w:szCs w:val="22"/>
          <w:b w:val="1"/>
          <w:bCs w:val="1"/>
          <w:color w:val="auto"/>
        </w:rPr>
        <w:t>Section 2.05(C)</w:t>
      </w:r>
      <w:r>
        <w:rPr>
          <w:rFonts w:ascii="Times New Roman" w:cs="Times New Roman" w:eastAsia="Times New Roman" w:hAnsi="Times New Roman"/>
          <w:sz w:val="22"/>
          <w:szCs w:val="22"/>
          <w:color w:val="auto"/>
        </w:rPr>
        <w:t>, on the next Business Day to Holders as of the Close of Business on the immediately preceding Interest Record Date; and (y) the Fundamental Change Repurchase Price will include Special Interest and Additional Interest, if any, on the Notes to be repurchased from, and including, such Interest Payment Date.</w:t>
      </w:r>
    </w:p>
    <w:p>
      <w:pPr>
        <w:spacing w:after="0" w:line="187" w:lineRule="exact"/>
        <w:rPr>
          <w:rFonts w:ascii="Times New Roman" w:cs="Times New Roman" w:eastAsia="Times New Roman" w:hAnsi="Times New Roman"/>
          <w:sz w:val="22"/>
          <w:szCs w:val="22"/>
          <w:color w:val="auto"/>
        </w:rPr>
      </w:pPr>
    </w:p>
    <w:p>
      <w:pPr>
        <w:jc w:val="both"/>
        <w:ind w:right="20" w:firstLine="656"/>
        <w:spacing w:after="0" w:line="265" w:lineRule="auto"/>
        <w:tabs>
          <w:tab w:leader="none" w:pos="135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Fundamental Change Notice</w:t>
      </w:r>
      <w:r>
        <w:rPr>
          <w:rFonts w:ascii="Times New Roman" w:cs="Times New Roman" w:eastAsia="Times New Roman" w:hAnsi="Times New Roman"/>
          <w:sz w:val="22"/>
          <w:szCs w:val="22"/>
          <w:color w:val="auto"/>
        </w:rPr>
        <w:t>. On or before the twentieth (20th) calendar day after the effective date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the Company will send to each Holder, the Trustee, the Conversion Agent and the Paying Agent a notice of such Fundamental Change (a “</w:t>
      </w:r>
      <w:r>
        <w:rPr>
          <w:rFonts w:ascii="Times New Roman" w:cs="Times New Roman" w:eastAsia="Times New Roman" w:hAnsi="Times New Roman"/>
          <w:sz w:val="22"/>
          <w:szCs w:val="22"/>
          <w:b w:val="1"/>
          <w:bCs w:val="1"/>
          <w:color w:val="auto"/>
        </w:rPr>
        <w:t>Fundamental Change Notice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18" w:right="339" w:bottom="1440" w:gutter="0" w:footer="0" w:header="0"/>
        </w:sectPr>
      </w:pPr>
    </w:p>
    <w:bookmarkStart w:id="48" w:name="page49"/>
    <w:bookmarkEnd w:id="48"/>
    <w:p>
      <w:pPr>
        <w:ind w:left="220"/>
        <w:spacing w:after="0"/>
        <w:rPr>
          <w:sz w:val="20"/>
          <w:szCs w:val="20"/>
          <w:color w:val="auto"/>
        </w:rPr>
      </w:pPr>
      <w:r>
        <w:rPr>
          <w:rFonts w:ascii="Times New Roman" w:cs="Times New Roman" w:eastAsia="Times New Roman" w:hAnsi="Times New Roman"/>
          <w:sz w:val="22"/>
          <w:szCs w:val="22"/>
          <w:color w:val="auto"/>
        </w:rPr>
        <w:t>Such Fundamental Change Notice must state:</w:t>
      </w:r>
    </w:p>
    <w:p>
      <w:pPr>
        <w:spacing w:after="0" w:line="220" w:lineRule="exact"/>
        <w:rPr>
          <w:sz w:val="20"/>
          <w:szCs w:val="20"/>
          <w:color w:val="auto"/>
        </w:rPr>
      </w:pPr>
    </w:p>
    <w:p>
      <w:pPr>
        <w:ind w:left="1720" w:hanging="416"/>
        <w:spacing w:after="0"/>
        <w:tabs>
          <w:tab w:leader="none" w:pos="17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briefly, the events causing such Fundamental Change;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such Fundamental Change;</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1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procedures that a Holder must follow to require the Company to repurchase its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including the deadline for exercising the Fundamental Change Repurchase Right and the procedures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submitting and withdrawing a Fundamental Change Repurchase Notice;</w:t>
      </w:r>
    </w:p>
    <w:p>
      <w:pPr>
        <w:spacing w:after="0" w:line="17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Fundamental Change Repurchase Date for such Fundamental Change;</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9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Fundamental Change Repurchase Price per $1,000 principal amount of Notes for such Fundamental Change (and, if any Special Interest or Additional Interest is payable in respect of an Interest Payment Date and such Fundamental Change Repurchase Date is after the related Interest Record Date and on or before such Interest Payment Date, the amount, manner and timing of the interest payment payable pursuant to the proviso to the first sentence of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03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8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for which a Fundamental Change Repurchase Notice has been duly tendered and not duly withdrawn must be delivered to the Paying Agent for the Holder thereof to be entitled to receive the Fundamental Change Repurchase Price;</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Notes (or any portion thereof) that are subject to a Fundamental Change Repurchase Notice that has been duly tendered may be Converted only if such Fundamental Change Repurchase Notice is withdrawn in accordance with this Indenture; and</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and ISIN numbers, if any, of the Notes.</w:t>
      </w:r>
    </w:p>
    <w:p>
      <w:pPr>
        <w:spacing w:after="0" w:line="22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22"/>
          <w:szCs w:val="22"/>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90" w:lineRule="exact"/>
        <w:rPr>
          <w:sz w:val="20"/>
          <w:szCs w:val="20"/>
          <w:color w:val="auto"/>
        </w:rPr>
      </w:pPr>
    </w:p>
    <w:p>
      <w:pPr>
        <w:ind w:left="1140" w:hanging="484"/>
        <w:spacing w:after="0"/>
        <w:tabs>
          <w:tab w:leader="none" w:pos="11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Procedures to Exercise the Fundamental Change Repurchase Right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3"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644"/>
        <w:spacing w:after="0" w:line="259" w:lineRule="auto"/>
        <w:tabs>
          <w:tab w:leader="none" w:pos="129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Fundamental Change Repurchase Notice and Notes to Be Repurchased</w:t>
      </w:r>
      <w:r>
        <w:rPr>
          <w:rFonts w:ascii="Times New Roman" w:cs="Times New Roman" w:eastAsia="Times New Roman" w:hAnsi="Times New Roman"/>
          <w:sz w:val="22"/>
          <w:szCs w:val="22"/>
          <w:color w:val="auto"/>
        </w:rPr>
        <w:t>. To exercise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Repurchase Right for a Note following a Fundamental Change, the Holder thereof must deliver to the Paying Agent:</w:t>
      </w:r>
    </w:p>
    <w:p>
      <w:pPr>
        <w:spacing w:after="0" w:line="183"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90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72" w:lineRule="exact"/>
        <w:rPr>
          <w:rFonts w:ascii="Times New Roman" w:cs="Times New Roman" w:eastAsia="Times New Roman" w:hAnsi="Times New Roman"/>
          <w:sz w:val="22"/>
          <w:szCs w:val="22"/>
          <w:color w:val="auto"/>
        </w:rPr>
      </w:pPr>
    </w:p>
    <w:p>
      <w:pPr>
        <w:ind w:left="640" w:firstLine="652"/>
        <w:spacing w:after="0" w:line="271" w:lineRule="auto"/>
        <w:tabs>
          <w:tab w:leader="none" w:pos="180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duly endorsed for transfer (if such Note is a Physical Note) or by book-entry transfer (if such Note is a Global Note).</w:t>
      </w:r>
    </w:p>
    <w:p>
      <w:pPr>
        <w:spacing w:after="0" w:line="17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Paying Agent will promptly deliver to the Company a copy of each Fundamental Change Repurchase Notice that it receives.</w:t>
      </w:r>
    </w:p>
    <w:p>
      <w:pPr>
        <w:spacing w:after="0" w:line="181" w:lineRule="exact"/>
        <w:rPr>
          <w:sz w:val="20"/>
          <w:szCs w:val="20"/>
          <w:color w:val="auto"/>
        </w:rPr>
      </w:pPr>
    </w:p>
    <w:p>
      <w:pPr>
        <w:ind w:right="20" w:firstLine="644"/>
        <w:spacing w:after="0" w:line="275" w:lineRule="auto"/>
        <w:tabs>
          <w:tab w:leader="none" w:pos="11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Contents of Fundamental Change Repurchase Notices</w:t>
      </w:r>
      <w:r>
        <w:rPr>
          <w:rFonts w:ascii="Times New Roman" w:cs="Times New Roman" w:eastAsia="Times New Roman" w:hAnsi="Times New Roman"/>
          <w:sz w:val="22"/>
          <w:szCs w:val="22"/>
          <w:color w:val="auto"/>
        </w:rPr>
        <w:t>. Each Fundamental Change Repurchase Notice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 Note must state:</w:t>
      </w:r>
    </w:p>
    <w:p>
      <w:pPr>
        <w:spacing w:after="0" w:line="15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Physical Note, the certificate number of such Note;</w:t>
      </w:r>
    </w:p>
    <w:p>
      <w:pPr>
        <w:spacing w:after="0" w:line="219" w:lineRule="exact"/>
        <w:rPr>
          <w:rFonts w:ascii="Times New Roman" w:cs="Times New Roman" w:eastAsia="Times New Roman" w:hAnsi="Times New Roman"/>
          <w:sz w:val="22"/>
          <w:szCs w:val="22"/>
          <w:color w:val="auto"/>
        </w:rPr>
      </w:pPr>
    </w:p>
    <w:p>
      <w:pPr>
        <w:ind w:left="1820" w:hanging="528"/>
        <w:spacing w:after="0"/>
        <w:tabs>
          <w:tab w:leader="none" w:pos="18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 to be repurchased, which must be an Authorized Denomination;</w:t>
      </w:r>
    </w:p>
    <w:p>
      <w:pPr>
        <w:spacing w:after="0" w:line="29"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207" w:lineRule="exact"/>
        <w:rPr>
          <w:rFonts w:ascii="Times New Roman" w:cs="Times New Roman" w:eastAsia="Times New Roman" w:hAnsi="Times New Roman"/>
          <w:sz w:val="22"/>
          <w:szCs w:val="22"/>
          <w:color w:val="auto"/>
        </w:rPr>
      </w:pPr>
    </w:p>
    <w:p>
      <w:pPr>
        <w:ind w:left="640" w:right="20" w:firstLine="652"/>
        <w:spacing w:after="0" w:line="271" w:lineRule="auto"/>
        <w:tabs>
          <w:tab w:leader="none" w:pos="192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Holder is exercising its Fundamental Change Repurchase Right with respect to such principal amount of such Note;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Note is a Global Note, then such Fundamental Change Repurchase Notice must comply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with the Depositary 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644"/>
        <w:spacing w:after="0" w:line="253" w:lineRule="auto"/>
        <w:tabs>
          <w:tab w:leader="none" w:pos="118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Withdrawal of Fundamental Change Repurchase Notice</w:t>
      </w:r>
      <w:r>
        <w:rPr>
          <w:rFonts w:ascii="Times New Roman" w:cs="Times New Roman" w:eastAsia="Times New Roman" w:hAnsi="Times New Roman"/>
          <w:sz w:val="22"/>
          <w:szCs w:val="22"/>
          <w:color w:val="auto"/>
        </w:rPr>
        <w:t>. A Holder that has delivered a Fundamental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92"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Physical Note, the certificate number of such Note;</w:t>
      </w:r>
    </w:p>
    <w:p>
      <w:pPr>
        <w:spacing w:after="0" w:line="21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of such Note to be withdrawn, which must be an Authorized Denomination;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580"/>
          </w:cols>
          <w:pgMar w:left="980" w:top="1418" w:right="339" w:bottom="1440" w:gutter="0" w:footer="0" w:header="0"/>
        </w:sectPr>
      </w:pPr>
    </w:p>
    <w:bookmarkStart w:id="50" w:name="page51"/>
    <w:bookmarkEnd w:id="50"/>
    <w:p>
      <w:pPr>
        <w:ind w:left="1292" w:firstLine="652"/>
        <w:spacing w:after="0" w:line="271" w:lineRule="auto"/>
        <w:tabs>
          <w:tab w:leader="none" w:pos="260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Note, if any, that remains subject to such Fundamental Change Repurchase Notice, which must be an Authorized Denomination;</w:t>
      </w:r>
    </w:p>
    <w:p>
      <w:pPr>
        <w:spacing w:after="0" w:line="154" w:lineRule="exact"/>
        <w:rPr>
          <w:sz w:val="20"/>
          <w:szCs w:val="20"/>
          <w:color w:val="auto"/>
        </w:rPr>
      </w:pPr>
    </w:p>
    <w:p>
      <w:pPr>
        <w:jc w:val="both"/>
        <w:ind w:left="652"/>
        <w:spacing w:after="0" w:line="26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Note is a Global Note, then such withdrawal notice must comply with the Depositary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Procedures (and any such withdrawal notice delivered in compliance with the Depositary Procedures will be deemed to satisfy the requirements of this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left="652"/>
        <w:spacing w:after="0" w:line="250" w:lineRule="auto"/>
        <w:rPr>
          <w:sz w:val="20"/>
          <w:szCs w:val="20"/>
          <w:color w:val="auto"/>
        </w:rPr>
      </w:pPr>
      <w:r>
        <w:rPr>
          <w:rFonts w:ascii="Times New Roman" w:cs="Times New Roman" w:eastAsia="Times New Roman" w:hAnsi="Times New Roman"/>
          <w:sz w:val="22"/>
          <w:szCs w:val="22"/>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22"/>
          <w:szCs w:val="22"/>
          <w:b w:val="1"/>
          <w:bCs w:val="1"/>
          <w:color w:val="auto"/>
        </w:rPr>
        <w:t>Section 2.11</w:t>
      </w:r>
      <w:r>
        <w:rPr>
          <w:rFonts w:ascii="Times New Roman" w:cs="Times New Roman" w:eastAsia="Times New Roman" w:hAnsi="Times New Roman"/>
          <w:sz w:val="22"/>
          <w:szCs w:val="22"/>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203" w:lineRule="exact"/>
        <w:rPr>
          <w:sz w:val="20"/>
          <w:szCs w:val="20"/>
          <w:color w:val="auto"/>
        </w:rPr>
      </w:pPr>
    </w:p>
    <w:p>
      <w:pPr>
        <w:jc w:val="both"/>
        <w:ind w:left="-8" w:firstLine="656"/>
        <w:spacing w:after="0" w:line="265" w:lineRule="auto"/>
        <w:tabs>
          <w:tab w:leader="none" w:pos="119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Payment of the Fundamental Change Repurchase Price</w:t>
      </w:r>
      <w:r>
        <w:rPr>
          <w:rFonts w:ascii="Times New Roman" w:cs="Times New Roman" w:eastAsia="Times New Roman" w:hAnsi="Times New Roman"/>
          <w:sz w:val="21"/>
          <w:szCs w:val="21"/>
          <w:color w:val="auto"/>
        </w:rPr>
        <w:t>. Without limiting the Company’s obligation to deposit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Fundamental Change Repurchase Price within the time proscribed by </w:t>
      </w:r>
      <w:r>
        <w:rPr>
          <w:rFonts w:ascii="Times New Roman" w:cs="Times New Roman" w:eastAsia="Times New Roman" w:hAnsi="Times New Roman"/>
          <w:sz w:val="21"/>
          <w:szCs w:val="21"/>
          <w:b w:val="1"/>
          <w:bCs w:val="1"/>
          <w:color w:val="auto"/>
        </w:rPr>
        <w:t>Section 3.01(B)</w:t>
      </w:r>
      <w:r>
        <w:rPr>
          <w:rFonts w:ascii="Times New Roman" w:cs="Times New Roman" w:eastAsia="Times New Roman" w:hAnsi="Times New Roman"/>
          <w:sz w:val="21"/>
          <w:szCs w:val="21"/>
          <w:color w:val="auto"/>
        </w:rPr>
        <w:t>,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w:t>
      </w:r>
    </w:p>
    <w:p>
      <w:pPr>
        <w:jc w:val="both"/>
        <w:ind w:left="-8" w:firstLine="8"/>
        <w:spacing w:after="0" w:line="246" w:lineRule="auto"/>
        <w:tabs>
          <w:tab w:leader="none" w:pos="3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22"/>
          <w:szCs w:val="22"/>
          <w:b w:val="1"/>
          <w:bCs w:val="1"/>
          <w:color w:val="auto"/>
        </w:rPr>
        <w:t>Section 4.02(D)</w:t>
      </w:r>
      <w:r>
        <w:rPr>
          <w:rFonts w:ascii="Times New Roman" w:cs="Times New Roman" w:eastAsia="Times New Roman" w:hAnsi="Times New Roman"/>
          <w:sz w:val="22"/>
          <w:szCs w:val="22"/>
          <w:color w:val="auto"/>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 w:cs="Times New Roman" w:eastAsia="Times New Roman" w:hAnsi="Times New Roman"/>
          <w:sz w:val="22"/>
          <w:szCs w:val="22"/>
          <w:b w:val="1"/>
          <w:bCs w:val="1"/>
          <w:color w:val="auto"/>
        </w:rPr>
        <w:t>Section 4.02(G)</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left="-8" w:firstLine="656"/>
        <w:spacing w:after="0" w:line="252" w:lineRule="auto"/>
        <w:tabs>
          <w:tab w:leader="none" w:pos="121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 Party May Conduct Repurchase Offer In Lieu of the Company</w:t>
      </w:r>
      <w:r>
        <w:rPr>
          <w:rFonts w:ascii="Times New Roman" w:cs="Times New Roman" w:eastAsia="Times New Roman" w:hAnsi="Times New Roman"/>
          <w:sz w:val="22"/>
          <w:szCs w:val="22"/>
          <w:color w:val="auto"/>
        </w:rPr>
        <w:t>. Notwithstanding anything to the contrary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the Company will be deemed to satisfy its obligations under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if (i) one or more third parties conduct any Repurchase Upon Fundamental Change and related offer to repurchase Notes otherwise required by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4.02 </w:t>
      </w:r>
      <w:r>
        <w:rPr>
          <w:rFonts w:ascii="Times New Roman" w:cs="Times New Roman" w:eastAsia="Times New Roman" w:hAnsi="Times New Roman"/>
          <w:sz w:val="22"/>
          <w:szCs w:val="22"/>
          <w:color w:val="auto"/>
        </w:rPr>
        <w:t>in a manner that would have satisfied the requirements of this</w:t>
      </w:r>
      <w:r>
        <w:rPr>
          <w:rFonts w:ascii="Times New Roman" w:cs="Times New Roman" w:eastAsia="Times New Roman" w:hAnsi="Times New Roman"/>
          <w:sz w:val="22"/>
          <w:szCs w:val="22"/>
          <w:b w:val="1"/>
          <w:bCs w:val="1"/>
          <w:color w:val="auto"/>
        </w:rPr>
        <w:t xml:space="preserve"> Section 4.02 </w:t>
      </w:r>
      <w:r>
        <w:rPr>
          <w:rFonts w:ascii="Times New Roman" w:cs="Times New Roman" w:eastAsia="Times New Roman" w:hAnsi="Times New Roman"/>
          <w:sz w:val="22"/>
          <w:szCs w:val="22"/>
          <w:color w:val="auto"/>
        </w:rPr>
        <w:t>if conducted directly by the Company; and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owner of a beneficial interest in any Note repurchased by such third party or parties will not receive a lesser amount (as a result of withholding or other similar taxes) than such owner would have received had the Company repurchased such Note.</w:t>
      </w:r>
    </w:p>
    <w:p>
      <w:pPr>
        <w:spacing w:after="0" w:line="174" w:lineRule="exact"/>
        <w:rPr>
          <w:rFonts w:ascii="Times New Roman" w:cs="Times New Roman" w:eastAsia="Times New Roman" w:hAnsi="Times New Roman"/>
          <w:sz w:val="22"/>
          <w:szCs w:val="22"/>
          <w:color w:val="auto"/>
        </w:rPr>
      </w:pPr>
    </w:p>
    <w:p>
      <w:pPr>
        <w:ind w:left="-8" w:right="20" w:firstLine="656"/>
        <w:spacing w:after="0" w:line="275" w:lineRule="auto"/>
        <w:tabs>
          <w:tab w:leader="none" w:pos="107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Requirement to Conduct an Offer to Repurchase Notes if the Fundamental Change Results in the Notes Becoming Convertible into an Amount of Cash Exceeding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32"/>
          </w:cols>
          <w:pgMar w:left="328" w:top="1422" w:right="339" w:bottom="1440" w:gutter="0" w:footer="0" w:header="0"/>
        </w:sectPr>
      </w:pPr>
    </w:p>
    <w:bookmarkStart w:id="51" w:name="page52"/>
    <w:bookmarkEnd w:id="51"/>
    <w:p>
      <w:pPr>
        <w:jc w:val="both"/>
        <w:spacing w:after="0" w:line="247" w:lineRule="auto"/>
        <w:rPr>
          <w:sz w:val="20"/>
          <w:szCs w:val="20"/>
          <w:color w:val="auto"/>
        </w:rPr>
      </w:pPr>
      <w:r>
        <w:rPr>
          <w:rFonts w:ascii="Times New Roman" w:cs="Times New Roman" w:eastAsia="Times New Roman" w:hAnsi="Times New Roman"/>
          <w:sz w:val="22"/>
          <w:szCs w:val="22"/>
          <w:i w:val="1"/>
          <w:iCs w:val="1"/>
          <w:color w:val="auto"/>
        </w:rPr>
        <w:t>Fundamental Change Repurchase Price</w:t>
      </w:r>
      <w:r>
        <w:rPr>
          <w:rFonts w:ascii="Times New Roman" w:cs="Times New Roman" w:eastAsia="Times New Roman" w:hAnsi="Times New Roman"/>
          <w:sz w:val="22"/>
          <w:szCs w:val="22"/>
          <w:color w:val="auto"/>
        </w:rPr>
        <w:t>. Notwithstanding anything to the contrary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the Company will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required to send a Fundamental Change Notice pursuant to </w:t>
      </w:r>
      <w:r>
        <w:rPr>
          <w:rFonts w:ascii="Times New Roman" w:cs="Times New Roman" w:eastAsia="Times New Roman" w:hAnsi="Times New Roman"/>
          <w:sz w:val="22"/>
          <w:szCs w:val="22"/>
          <w:b w:val="1"/>
          <w:bCs w:val="1"/>
          <w:color w:val="auto"/>
        </w:rPr>
        <w:t>Section 4.02(E)</w:t>
      </w:r>
      <w:r>
        <w:rPr>
          <w:rFonts w:ascii="Times New Roman" w:cs="Times New Roman" w:eastAsia="Times New Roman" w:hAnsi="Times New Roman"/>
          <w:sz w:val="22"/>
          <w:szCs w:val="22"/>
          <w:color w:val="auto"/>
        </w:rPr>
        <w:t xml:space="preserve">, or offer to repurchase or repurchase any Notes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in connection with a Common Stock Change Event that constitutes a Fundamental Change pursuant to </w:t>
      </w:r>
      <w:r>
        <w:rPr>
          <w:rFonts w:ascii="Times New Roman" w:cs="Times New Roman" w:eastAsia="Times New Roman" w:hAnsi="Times New Roman"/>
          <w:sz w:val="22"/>
          <w:szCs w:val="22"/>
          <w:b w:val="1"/>
          <w:bCs w:val="1"/>
          <w:color w:val="auto"/>
        </w:rPr>
        <w:t>clause (B)(ii)</w:t>
      </w:r>
      <w:r>
        <w:rPr>
          <w:rFonts w:ascii="Times New Roman" w:cs="Times New Roman" w:eastAsia="Times New Roman" w:hAnsi="Times New Roman"/>
          <w:sz w:val="22"/>
          <w:szCs w:val="22"/>
          <w:color w:val="auto"/>
        </w:rPr>
        <w:t xml:space="preserve"> of the definition thereof (regardless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 w:cs="Times New Roman" w:eastAsia="Times New Roman" w:hAnsi="Times New Roman"/>
          <w:sz w:val="22"/>
          <w:szCs w:val="22"/>
          <w:b w:val="1"/>
          <w:bCs w:val="1"/>
          <w:color w:val="auto"/>
        </w:rPr>
        <w:t>Section 5.09(A)</w:t>
      </w:r>
      <w:r>
        <w:rPr>
          <w:rFonts w:ascii="Times New Roman" w:cs="Times New Roman" w:eastAsia="Times New Roman" w:hAnsi="Times New Roman"/>
          <w:sz w:val="22"/>
          <w:szCs w:val="22"/>
          <w:color w:val="auto"/>
        </w:rPr>
        <w:t xml:space="preserve"> and, if applicable,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xml:space="preserve">, into consideration that consists solely of U.S. dollars in an amount per $1,000 aggregate principal amount of Notes that equals or exceeds the Fundamental Change Repurchase Price per $1,000 aggregate principal amount of Notes (which Fundamental Change Repurchase Price will, if any Special Interest or Additional Interest is accruing on the Notes as of the effective date of such Fundamental Change, be calculated assuming that such Fundamental Change Repurchase Price includes accrued and unpaid Special Interest or Additional Interest, as applicable, to, but excluding, the latest possible Fundamental Change Repurchase Date for such Fundamental Change); and (iii) the Company timely sends the notice relating to such Fundamental Change required pursuant to </w:t>
      </w:r>
      <w:r>
        <w:rPr>
          <w:rFonts w:ascii="Times New Roman" w:cs="Times New Roman" w:eastAsia="Times New Roman" w:hAnsi="Times New Roman"/>
          <w:sz w:val="22"/>
          <w:szCs w:val="22"/>
          <w:b w:val="1"/>
          <w:bCs w:val="1"/>
          <w:color w:val="auto"/>
        </w:rPr>
        <w:t>Section 5.01(C)(i)(3)(b)</w:t>
      </w:r>
      <w:r>
        <w:rPr>
          <w:rFonts w:ascii="Times New Roman" w:cs="Times New Roman" w:eastAsia="Times New Roman" w:hAnsi="Times New Roman"/>
          <w:sz w:val="22"/>
          <w:szCs w:val="22"/>
          <w:color w:val="auto"/>
        </w:rPr>
        <w:t xml:space="preserve"> and includes, in such notice, a statement that the Company is relying on this </w:t>
      </w:r>
      <w:r>
        <w:rPr>
          <w:rFonts w:ascii="Times New Roman" w:cs="Times New Roman" w:eastAsia="Times New Roman" w:hAnsi="Times New Roman"/>
          <w:sz w:val="22"/>
          <w:szCs w:val="22"/>
          <w:b w:val="1"/>
          <w:bCs w:val="1"/>
          <w:color w:val="auto"/>
        </w:rPr>
        <w:t>Section 4.02(I)</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656"/>
        <w:spacing w:after="0" w:line="248" w:lineRule="auto"/>
        <w:tabs>
          <w:tab w:leader="none" w:pos="117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Applicable Securities Laws</w:t>
      </w:r>
      <w:r>
        <w:rPr>
          <w:rFonts w:ascii="Times New Roman" w:cs="Times New Roman" w:eastAsia="Times New Roman" w:hAnsi="Times New Roman"/>
          <w:sz w:val="22"/>
          <w:szCs w:val="22"/>
          <w:color w:val="auto"/>
        </w:rPr>
        <w:t>. To the extent applicable, the Company will comply, in all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respects,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to the extent that the Company’s obligations pursuant to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repurchase Notes upon a Fundamental Change in accordance with this Indenture, modified as necessary by the Company in good faith to permit compliance with such law or regulation.</w:t>
      </w:r>
    </w:p>
    <w:p>
      <w:pPr>
        <w:spacing w:after="0" w:line="185" w:lineRule="exact"/>
        <w:rPr>
          <w:rFonts w:ascii="Times New Roman" w:cs="Times New Roman" w:eastAsia="Times New Roman" w:hAnsi="Times New Roman"/>
          <w:sz w:val="22"/>
          <w:szCs w:val="22"/>
          <w:color w:val="auto"/>
        </w:rPr>
      </w:pPr>
    </w:p>
    <w:p>
      <w:pPr>
        <w:jc w:val="both"/>
        <w:ind w:firstLine="656"/>
        <w:spacing w:after="0" w:line="265" w:lineRule="auto"/>
        <w:tabs>
          <w:tab w:leader="none" w:pos="11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 in Part</w:t>
      </w:r>
      <w:r>
        <w:rPr>
          <w:rFonts w:ascii="Times New Roman" w:cs="Times New Roman" w:eastAsia="Times New Roman" w:hAnsi="Times New Roman"/>
          <w:sz w:val="22"/>
          <w:szCs w:val="22"/>
          <w:color w:val="auto"/>
        </w:rPr>
        <w:t>. Subject to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Notes may be repurchased pursuant to a Repurchase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Upon Fundamental Change in part, but only in Authorized Denominations. Provisions of this </w:t>
      </w:r>
      <w:r>
        <w:rPr>
          <w:rFonts w:ascii="Times New Roman" w:cs="Times New Roman" w:eastAsia="Times New Roman" w:hAnsi="Times New Roman"/>
          <w:sz w:val="22"/>
          <w:szCs w:val="22"/>
          <w:b w:val="1"/>
          <w:bCs w:val="1"/>
          <w:color w:val="auto"/>
        </w:rPr>
        <w:t>Section 4.02</w:t>
      </w:r>
      <w:r>
        <w:rPr>
          <w:rFonts w:ascii="Times New Roman" w:cs="Times New Roman" w:eastAsia="Times New Roman" w:hAnsi="Times New Roman"/>
          <w:sz w:val="22"/>
          <w:szCs w:val="22"/>
          <w:color w:val="auto"/>
        </w:rPr>
        <w:t xml:space="preserve"> applying to the repurchase of a Note in whole will equally apply to the repurchase of a permitted portion of a Note.</w:t>
      </w:r>
    </w:p>
    <w:p>
      <w:pPr>
        <w:spacing w:after="0" w:line="16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4.03.</w:t>
      </w:r>
      <w:r>
        <w:rPr>
          <w:sz w:val="20"/>
          <w:szCs w:val="20"/>
          <w:color w:val="auto"/>
        </w:rPr>
        <w:tab/>
      </w:r>
      <w:r>
        <w:rPr>
          <w:rFonts w:ascii="Times New Roman" w:cs="Times New Roman" w:eastAsia="Times New Roman" w:hAnsi="Times New Roman"/>
          <w:sz w:val="21"/>
          <w:szCs w:val="21"/>
          <w:b w:val="1"/>
          <w:bCs w:val="1"/>
          <w:color w:val="auto"/>
        </w:rPr>
        <w:t>Right of the Company to Redeem the Notes.</w:t>
      </w:r>
    </w:p>
    <w:p>
      <w:pPr>
        <w:spacing w:after="0" w:line="220" w:lineRule="exact"/>
        <w:rPr>
          <w:sz w:val="20"/>
          <w:szCs w:val="20"/>
          <w:color w:val="auto"/>
        </w:rPr>
      </w:pPr>
    </w:p>
    <w:p>
      <w:pPr>
        <w:ind w:firstLine="656"/>
        <w:spacing w:after="0" w:line="275" w:lineRule="auto"/>
        <w:tabs>
          <w:tab w:leader="none" w:pos="12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Redeem Before May 15, 2029. </w:t>
      </w:r>
      <w:r>
        <w:rPr>
          <w:rFonts w:ascii="Times New Roman" w:cs="Times New Roman" w:eastAsia="Times New Roman" w:hAnsi="Times New Roman"/>
          <w:sz w:val="22"/>
          <w:szCs w:val="22"/>
          <w:color w:val="auto"/>
        </w:rPr>
        <w:t>The Company may not redeem the Notes at its option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4.03 </w:t>
      </w:r>
      <w:r>
        <w:rPr>
          <w:rFonts w:ascii="Times New Roman" w:cs="Times New Roman" w:eastAsia="Times New Roman" w:hAnsi="Times New Roman"/>
          <w:sz w:val="22"/>
          <w:szCs w:val="22"/>
          <w:color w:val="auto"/>
        </w:rPr>
        <w:t>at any time before May 15, 2029.</w:t>
      </w:r>
    </w:p>
    <w:p>
      <w:pPr>
        <w:spacing w:after="0" w:line="149" w:lineRule="exact"/>
        <w:rPr>
          <w:rFonts w:ascii="Times New Roman" w:cs="Times New Roman" w:eastAsia="Times New Roman" w:hAnsi="Times New Roman"/>
          <w:sz w:val="22"/>
          <w:szCs w:val="22"/>
          <w:color w:val="auto"/>
        </w:rPr>
      </w:pPr>
    </w:p>
    <w:p>
      <w:pPr>
        <w:jc w:val="both"/>
        <w:ind w:right="20" w:firstLine="656"/>
        <w:spacing w:after="0" w:line="265" w:lineRule="auto"/>
        <w:tabs>
          <w:tab w:leader="none" w:pos="115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Right to Redeem the Notes on or After May 15, 2029. </w:t>
      </w:r>
      <w:r>
        <w:rPr>
          <w:rFonts w:ascii="Times New Roman" w:cs="Times New Roman" w:eastAsia="Times New Roman" w:hAnsi="Times New Roman"/>
          <w:sz w:val="22"/>
          <w:szCs w:val="22"/>
          <w:color w:val="auto"/>
        </w:rPr>
        <w:t>Subject to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the Company has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 at its election, to redeem all, or any portion in an Authorized Denomination, of the Notes, at any time, and from time to time, on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18"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Date on or after May 15, 2029 and on or before the twentieth (20th) Scheduled Trading Day immediately before the Maturity Date, for a cash purchase price equal to the Redemption Price, but only if (i) the Notes are Freely Tradable as of the Redemption Notice Date for such Redemption and all accrued and unpaid Additional Interest, if any, has been paid in full, as of the first Interest Payment Date occurring on or before such Redemption Notice Date; and (ii)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such Redemption Notice Date; and (y) the Trading Day immediately before such Redemption Notice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Company will not call less than all of the outstanding Notes for Redemption unless the excess of the principal amount of Notes outstanding as of the time the Company sends the related Redemption Notice over the aggregate principal amount of Notes set forth in such Redemption Notice as being subject to such Redemption is at least one hundred fifty million dollars ($150,000,000). For the avoidance of doubt, the calling of any Notes for Redemption will constitute a Make-Whole Fundamental Change with respect to such Notes pursuant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of the definition thereof.</w:t>
      </w:r>
    </w:p>
    <w:p>
      <w:pPr>
        <w:spacing w:after="0" w:line="166" w:lineRule="exact"/>
        <w:rPr>
          <w:sz w:val="20"/>
          <w:szCs w:val="20"/>
          <w:color w:val="auto"/>
        </w:rPr>
      </w:pPr>
    </w:p>
    <w:p>
      <w:pPr>
        <w:jc w:val="both"/>
        <w:ind w:firstLine="656"/>
        <w:spacing w:after="0" w:line="250" w:lineRule="auto"/>
        <w:tabs>
          <w:tab w:leader="none" w:pos="123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Prohibited in Certain Circumstances</w:t>
      </w:r>
      <w:r>
        <w:rPr>
          <w:rFonts w:ascii="Times New Roman" w:cs="Times New Roman" w:eastAsia="Times New Roman" w:hAnsi="Times New Roman"/>
          <w:sz w:val="22"/>
          <w:szCs w:val="22"/>
          <w:color w:val="auto"/>
        </w:rPr>
        <w:t>. If the principal amount of the Notes has been accelerated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acceleration has not been rescinded on or before the Redemption Date (including as a result of the payment of the related Redemption Price, and any related interest pursuant to the proviso to the first sentence of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 xml:space="preserve">, on such Redemption Date), then (i) the Company may not call for Redemption or otherwise redeem any Notes pursuant to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93" w:lineRule="exact"/>
        <w:rPr>
          <w:rFonts w:ascii="Times New Roman" w:cs="Times New Roman" w:eastAsia="Times New Roman" w:hAnsi="Times New Roman"/>
          <w:sz w:val="22"/>
          <w:szCs w:val="22"/>
          <w:color w:val="auto"/>
        </w:rPr>
      </w:pPr>
    </w:p>
    <w:p>
      <w:pPr>
        <w:jc w:val="both"/>
        <w:ind w:firstLine="656"/>
        <w:spacing w:after="0" w:line="259" w:lineRule="auto"/>
        <w:tabs>
          <w:tab w:leader="none" w:pos="121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The Redemption Date for any Redemption will be a Business Day of the Company’s choosing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is no more than forty five (45), nor less than twenty five (25), Scheduled Trading Days after the Redemption Notice Date for such Redemption.</w:t>
      </w:r>
    </w:p>
    <w:p>
      <w:pPr>
        <w:spacing w:after="0" w:line="166" w:lineRule="exact"/>
        <w:rPr>
          <w:rFonts w:ascii="Times New Roman" w:cs="Times New Roman" w:eastAsia="Times New Roman" w:hAnsi="Times New Roman"/>
          <w:sz w:val="22"/>
          <w:szCs w:val="22"/>
          <w:color w:val="auto"/>
        </w:rPr>
      </w:pPr>
    </w:p>
    <w:p>
      <w:pPr>
        <w:jc w:val="both"/>
        <w:ind w:firstLine="656"/>
        <w:spacing w:after="0" w:line="260" w:lineRule="auto"/>
        <w:tabs>
          <w:tab w:leader="none" w:pos="1221"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Redemption Price</w:t>
      </w:r>
      <w:r>
        <w:rPr>
          <w:rFonts w:ascii="Times New Roman" w:cs="Times New Roman" w:eastAsia="Times New Roman" w:hAnsi="Times New Roman"/>
          <w:sz w:val="21"/>
          <w:szCs w:val="21"/>
          <w:color w:val="auto"/>
        </w:rPr>
        <w:t>. The Redemption Price for any Note called for Redemption is an amount in cash equal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principal amount of such Note plus accrued and unpaid Special Interest and Additional Interest, if any, on such Note to, but excluding, the Redemption Date for such Redemption;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any payment of Special Interest or Additional Interest is due in respect of any Interest Payment Date and such Redemption Date is after the related Interest Record Date and on or before such Interest Payment Date, then (i) the Holder of such Note at the Close of Business on such Interest Record Date will be entitled, notwithstanding such Redemption, to receive, on or, at the Company’s election, before such Interest Payment Date, such payment of Special Interest or Additional Interest, as applicable (assuming, solely for these purposes, that such Note remained outstanding through such Interest Payment Date, if such Redemption Date is before such Interest Payment Date); and</w:t>
      </w:r>
    </w:p>
    <w:p>
      <w:pPr>
        <w:spacing w:after="0" w:line="2" w:lineRule="exact"/>
        <w:rPr>
          <w:rFonts w:ascii="Times New Roman" w:cs="Times New Roman" w:eastAsia="Times New Roman" w:hAnsi="Times New Roman"/>
          <w:sz w:val="21"/>
          <w:szCs w:val="21"/>
          <w:color w:val="auto"/>
        </w:rPr>
      </w:pPr>
    </w:p>
    <w:p>
      <w:pPr>
        <w:ind w:right="20" w:firstLine="8"/>
        <w:spacing w:after="0" w:line="259" w:lineRule="auto"/>
        <w:tabs>
          <w:tab w:leader="none" w:pos="35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 will not include accrued and unpaid Special Interest or Additional Interest on such Note to, but excluding, such Redemption Date. For the avoidance of doubt, if such Interest Payment Date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not a Business Day within the meaning of </w:t>
      </w:r>
      <w:r>
        <w:rPr>
          <w:rFonts w:ascii="Times New Roman" w:cs="Times New Roman" w:eastAsia="Times New Roman" w:hAnsi="Times New Roman"/>
          <w:sz w:val="21"/>
          <w:szCs w:val="21"/>
          <w:b w:val="1"/>
          <w:bCs w:val="1"/>
          <w:color w:val="auto"/>
        </w:rPr>
        <w:t>Section 2.05(C)</w:t>
      </w:r>
      <w:r>
        <w:rPr>
          <w:rFonts w:ascii="Times New Roman" w:cs="Times New Roman" w:eastAsia="Times New Roman" w:hAnsi="Times New Roman"/>
          <w:sz w:val="21"/>
          <w:szCs w:val="21"/>
          <w:color w:val="auto"/>
        </w:rPr>
        <w:t xml:space="preserve"> and such Redemption Date occurs on the Business Day immediately after such Interest Payment Date, then (x) such accrued and unpaid Special Interest or Additional Interest, as applicable to, but excluding, such Interest Payment Date will be paid, in accordance with </w:t>
      </w:r>
      <w:r>
        <w:rPr>
          <w:rFonts w:ascii="Times New Roman" w:cs="Times New Roman" w:eastAsia="Times New Roman" w:hAnsi="Times New Roman"/>
          <w:sz w:val="21"/>
          <w:szCs w:val="21"/>
          <w:b w:val="1"/>
          <w:bCs w:val="1"/>
          <w:color w:val="auto"/>
        </w:rPr>
        <w:t>Section 2.05(C)</w:t>
      </w:r>
      <w:r>
        <w:rPr>
          <w:rFonts w:ascii="Times New Roman" w:cs="Times New Roman" w:eastAsia="Times New Roman" w:hAnsi="Times New Roman"/>
          <w:sz w:val="21"/>
          <w:szCs w:val="21"/>
          <w:color w:val="auto"/>
        </w:rPr>
        <w:t>, on the next Business Day to Holders as of the Close of Business on the immediately preceding Interest Record Date; and (y) the Redemption Price will include Special Interest and Additional Interest, if any, on Notes to be repurchased from, and including, such Interest Payment Date.</w:t>
      </w:r>
    </w:p>
    <w:p>
      <w:pPr>
        <w:spacing w:after="0" w:line="159" w:lineRule="exact"/>
        <w:rPr>
          <w:sz w:val="20"/>
          <w:szCs w:val="20"/>
          <w:color w:val="auto"/>
        </w:rPr>
      </w:pPr>
    </w:p>
    <w:p>
      <w:pPr>
        <w:ind w:firstLine="656"/>
        <w:spacing w:after="0" w:line="275" w:lineRule="auto"/>
        <w:tabs>
          <w:tab w:leader="none" w:pos="120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 Notice</w:t>
      </w:r>
      <w:r>
        <w:rPr>
          <w:rFonts w:ascii="Times New Roman" w:cs="Times New Roman" w:eastAsia="Times New Roman" w:hAnsi="Times New Roman"/>
          <w:sz w:val="22"/>
          <w:szCs w:val="22"/>
          <w:color w:val="auto"/>
        </w:rPr>
        <w:t>. To call any Notes for Redemption, the Company must send to each Holder of such Notes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written notice of such Redemption (a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Such Redemption Notice must state:</w:t>
      </w:r>
    </w:p>
    <w:p>
      <w:pPr>
        <w:spacing w:after="0" w:line="233" w:lineRule="exact"/>
        <w:rPr>
          <w:sz w:val="20"/>
          <w:szCs w:val="20"/>
          <w:color w:val="auto"/>
        </w:rPr>
      </w:pPr>
    </w:p>
    <w:p>
      <w:pPr>
        <w:ind w:left="660" w:firstLine="644"/>
        <w:spacing w:after="0" w:line="271" w:lineRule="auto"/>
        <w:tabs>
          <w:tab w:leader="none" w:pos="176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Notes have been called for Redemption, briefly describing the Company’s Redemption right under this Indenture;</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 for such Redemption;</w:t>
      </w:r>
    </w:p>
    <w:p>
      <w:pPr>
        <w:spacing w:after="0" w:line="219" w:lineRule="exact"/>
        <w:rPr>
          <w:rFonts w:ascii="Times New Roman" w:cs="Times New Roman" w:eastAsia="Times New Roman" w:hAnsi="Times New Roman"/>
          <w:sz w:val="22"/>
          <w:szCs w:val="22"/>
          <w:color w:val="auto"/>
        </w:rPr>
      </w:pPr>
    </w:p>
    <w:p>
      <w:pPr>
        <w:jc w:val="both"/>
        <w:ind w:left="660" w:right="20" w:firstLine="644"/>
        <w:spacing w:after="0" w:line="256" w:lineRule="auto"/>
        <w:tabs>
          <w:tab w:leader="none" w:pos="197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Redemption Price per $1,000 principal amount of Notes for such Redemption (and, if any Special Interest or Additional Interest is payable in respect of an Interest Payment Date and the Redemption Date is after the related Interest Record Date and on or before such Interest Payment Date, the amount, manner and timing of the interest payment payable pursuant to the proviso to the first sentence of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 and the Conversion Agent;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80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Notes called for Redemption may be Converted at any time before the Close of Business on the second (2nd) Business Day immediately before the Redemption Date (or, if the Company fails to pay the Redemption Price due on such Redemption Date in full, at any time until such time as the Company pays such Redemption Price in full);</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90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660" w:firstLine="644"/>
        <w:spacing w:after="0" w:line="295" w:lineRule="auto"/>
        <w:tabs>
          <w:tab w:leader="none" w:pos="1906"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Method that will apply to all Conversions of Notes with a Conversion Date that occurs on or after such Redemption Notice Date and on or before the second (2nd) Business Day before such Redemption Date; and</w:t>
      </w:r>
    </w:p>
    <w:p>
      <w:pPr>
        <w:spacing w:after="0" w:line="148"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and ISIN numbers, if any, of the Notes.</w:t>
      </w:r>
    </w:p>
    <w:p>
      <w:pPr>
        <w:spacing w:after="0" w:line="220" w:lineRule="exact"/>
        <w:rPr>
          <w:sz w:val="20"/>
          <w:szCs w:val="20"/>
          <w:color w:val="auto"/>
        </w:rPr>
      </w:pPr>
    </w:p>
    <w:p>
      <w:pPr>
        <w:ind w:firstLine="322"/>
        <w:spacing w:after="0" w:line="271" w:lineRule="auto"/>
        <w:rPr>
          <w:sz w:val="20"/>
          <w:szCs w:val="20"/>
          <w:color w:val="auto"/>
        </w:rPr>
      </w:pPr>
      <w:r>
        <w:rPr>
          <w:rFonts w:ascii="Times New Roman" w:cs="Times New Roman" w:eastAsia="Times New Roman" w:hAnsi="Times New Roman"/>
          <w:sz w:val="22"/>
          <w:szCs w:val="22"/>
          <w:color w:val="auto"/>
        </w:rPr>
        <w:t>On or before the Redemption Notice Date, the Company will send a copy of such Redemption Notice to the Trustee, the Conversion Agent and the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18" w:right="339" w:bottom="1440" w:gutter="0" w:footer="0" w:header="0"/>
        </w:sectPr>
      </w:pPr>
    </w:p>
    <w:bookmarkStart w:id="54" w:name="page55"/>
    <w:bookmarkEnd w:id="54"/>
    <w:p>
      <w:pPr>
        <w:ind w:left="1180" w:hanging="524"/>
        <w:spacing w:after="0"/>
        <w:tabs>
          <w:tab w:leader="none" w:pos="11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Selection and Conversion of Notes to Be Redeemed in Part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83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less than all Notes then outstanding are called for Redemption, then the Notes to be redeemed will be selected by the Company as follows: (1) in the case of Global Notes, in accordance with the Depositary Procedures; and</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in the case of Physical Notes, pro rata, by lot or by such other method the Company considers fair and appropriate.</w:t>
      </w:r>
    </w:p>
    <w:p>
      <w:pPr>
        <w:spacing w:after="0" w:line="20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1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a portion of a Note is subject to Redemption and such Note is Converted in part, then the Converted portion of such Note will be deemed to be from the portion of such Note that was subject to Redemption.</w:t>
      </w:r>
    </w:p>
    <w:p>
      <w:pPr>
        <w:spacing w:after="0" w:line="15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0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Payment of the Redemption Price</w:t>
      </w:r>
      <w:r>
        <w:rPr>
          <w:rFonts w:ascii="Times New Roman" w:cs="Times New Roman" w:eastAsia="Times New Roman" w:hAnsi="Times New Roman"/>
          <w:sz w:val="22"/>
          <w:szCs w:val="22"/>
          <w:color w:val="auto"/>
        </w:rPr>
        <w:t>. Without limiting the Company’s obligation to deposit the Redemption Price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time proscribed by </w:t>
      </w:r>
      <w:r>
        <w:rPr>
          <w:rFonts w:ascii="Times New Roman" w:cs="Times New Roman" w:eastAsia="Times New Roman" w:hAnsi="Times New Roman"/>
          <w:sz w:val="22"/>
          <w:szCs w:val="22"/>
          <w:b w:val="1"/>
          <w:bCs w:val="1"/>
          <w:color w:val="auto"/>
        </w:rPr>
        <w:t>Section 3.01(B)</w:t>
      </w:r>
      <w:r>
        <w:rPr>
          <w:rFonts w:ascii="Times New Roman" w:cs="Times New Roman" w:eastAsia="Times New Roman" w:hAnsi="Times New Roman"/>
          <w:sz w:val="22"/>
          <w:szCs w:val="22"/>
          <w:color w:val="auto"/>
        </w:rPr>
        <w:t xml:space="preserve">, the Company will cause the Redemption Price for a Note (or portion thereof) subject to Redemption to be paid to the Holder thereof on or before the applicable Redemption Date. For the avoidance of doubt, interest payable, if any, pursuant to the proviso to the first sentence of </w:t>
      </w:r>
      <w:r>
        <w:rPr>
          <w:rFonts w:ascii="Times New Roman" w:cs="Times New Roman" w:eastAsia="Times New Roman" w:hAnsi="Times New Roman"/>
          <w:sz w:val="22"/>
          <w:szCs w:val="22"/>
          <w:b w:val="1"/>
          <w:bCs w:val="1"/>
          <w:color w:val="auto"/>
        </w:rPr>
        <w:t>Section 4.03(E)</w:t>
      </w:r>
      <w:r>
        <w:rPr>
          <w:rFonts w:ascii="Times New Roman" w:cs="Times New Roman" w:eastAsia="Times New Roman" w:hAnsi="Times New Roman"/>
          <w:sz w:val="22"/>
          <w:szCs w:val="22"/>
          <w:color w:val="auto"/>
        </w:rPr>
        <w:t xml:space="preserve"> on any Note (or portion thereof) subject to Redemption must be paid pursuant to such proviso.</w:t>
      </w:r>
    </w:p>
    <w:p>
      <w:pPr>
        <w:spacing w:after="0" w:line="173" w:lineRule="exact"/>
        <w:rPr>
          <w:rFonts w:ascii="Times New Roman" w:cs="Times New Roman" w:eastAsia="Times New Roman" w:hAnsi="Times New Roman"/>
          <w:sz w:val="22"/>
          <w:szCs w:val="22"/>
          <w:color w:val="auto"/>
        </w:rPr>
      </w:pPr>
    </w:p>
    <w:p>
      <w:pPr>
        <w:jc w:val="both"/>
        <w:ind w:firstLine="656"/>
        <w:spacing w:after="0" w:line="249" w:lineRule="auto"/>
        <w:tabs>
          <w:tab w:leader="none" w:pos="10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Provisions for Partial Calls</w:t>
      </w:r>
      <w:r>
        <w:rPr>
          <w:rFonts w:ascii="Times New Roman" w:cs="Times New Roman" w:eastAsia="Times New Roman" w:hAnsi="Times New Roman"/>
          <w:sz w:val="22"/>
          <w:szCs w:val="22"/>
          <w:color w:val="auto"/>
        </w:rPr>
        <w:t>. If the Company elects to redeem less than all of the outstanding Notes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xml:space="preserve">, and the Holder of any Note, or any owner of a beneficial interest in any Global Note, is reasonably not able to determine, before the Close of Business on the twenty second (22nd)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second (2nd) Business Day immediately before such Redemption Date, and each such Conversion will be deemed to be of a Note called for Redemption for purposes of 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 xml:space="preserve">Sections 5.01(C)(i)(4)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5.07</w:t>
      </w:r>
      <w:r>
        <w:rPr>
          <w:rFonts w:ascii="Times New Roman" w:cs="Times New Roman" w:eastAsia="Times New Roman" w:hAnsi="Times New Roman"/>
          <w:sz w:val="22"/>
          <w:szCs w:val="22"/>
          <w:color w:val="auto"/>
        </w:rPr>
        <w:t>. For the avoidance of doubt, each reference in this Indenture or the Notes to (x) any Note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called for Redemption (or similar language) includes any Note that is deemed to be called for Redemption pursuant to this </w:t>
      </w:r>
      <w:r>
        <w:rPr>
          <w:rFonts w:ascii="Times New Roman" w:cs="Times New Roman" w:eastAsia="Times New Roman" w:hAnsi="Times New Roman"/>
          <w:sz w:val="22"/>
          <w:szCs w:val="22"/>
          <w:b w:val="1"/>
          <w:bCs w:val="1"/>
          <w:color w:val="auto"/>
        </w:rPr>
        <w:t>Section 4.03(I)</w:t>
      </w:r>
      <w:r>
        <w:rPr>
          <w:rFonts w:ascii="Times New Roman" w:cs="Times New Roman" w:eastAsia="Times New Roman" w:hAnsi="Times New Roman"/>
          <w:sz w:val="22"/>
          <w:szCs w:val="22"/>
          <w:color w:val="auto"/>
        </w:rPr>
        <w:t>; and (y) any Note that is not called for Redemption (or similar language) excludes any Note that is deemed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called for Redemption pursuant to this </w:t>
      </w:r>
      <w:r>
        <w:rPr>
          <w:rFonts w:ascii="Times New Roman" w:cs="Times New Roman" w:eastAsia="Times New Roman" w:hAnsi="Times New Roman"/>
          <w:sz w:val="22"/>
          <w:szCs w:val="22"/>
          <w:b w:val="1"/>
          <w:bCs w:val="1"/>
          <w:color w:val="auto"/>
        </w:rPr>
        <w:t>Section 4.03(I)</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656"/>
        <w:spacing w:after="0" w:line="258" w:lineRule="auto"/>
        <w:tabs>
          <w:tab w:leader="none" w:pos="111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Repurchases or Other Acquisitions Other Than by Redemption Not Affected</w:t>
      </w:r>
      <w:r>
        <w:rPr>
          <w:rFonts w:ascii="Times New Roman" w:cs="Times New Roman" w:eastAsia="Times New Roman" w:hAnsi="Times New Roman"/>
          <w:sz w:val="22"/>
          <w:szCs w:val="22"/>
          <w:color w:val="auto"/>
        </w:rPr>
        <w:t>. For the avoidance of doubt, nothing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xml:space="preserve"> will limit or otherwise apply to any repurchase or other acquisition, by the Company or its Affiliates, or any other Person, of any Notes not by Redemption (including in open market transactions, private or public tender or exchange offers or otherwise).</w:t>
      </w:r>
    </w:p>
    <w:p>
      <w:pPr>
        <w:spacing w:after="0" w:line="168"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color w:val="auto"/>
        </w:rPr>
        <w:t>THE CONVERSION OF NOTES</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5.01.</w:t>
      </w:r>
      <w:r>
        <w:rPr>
          <w:sz w:val="20"/>
          <w:szCs w:val="20"/>
          <w:color w:val="auto"/>
        </w:rPr>
        <w:tab/>
      </w:r>
      <w:r>
        <w:rPr>
          <w:rFonts w:ascii="Times New Roman" w:cs="Times New Roman" w:eastAsia="Times New Roman" w:hAnsi="Times New Roman"/>
          <w:sz w:val="21"/>
          <w:szCs w:val="21"/>
          <w:b w:val="1"/>
          <w:bCs w:val="1"/>
          <w:color w:val="auto"/>
        </w:rPr>
        <w:t>Right to Convert.</w:t>
      </w:r>
    </w:p>
    <w:p>
      <w:pPr>
        <w:spacing w:after="0" w:line="220" w:lineRule="exact"/>
        <w:rPr>
          <w:sz w:val="20"/>
          <w:szCs w:val="20"/>
          <w:color w:val="auto"/>
        </w:rPr>
      </w:pPr>
    </w:p>
    <w:p>
      <w:pPr>
        <w:ind w:right="20" w:firstLine="656"/>
        <w:spacing w:after="0" w:line="275" w:lineRule="auto"/>
        <w:tabs>
          <w:tab w:leader="none" w:pos="11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each Holder may, at its option, Convert such Holder’s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into Conversion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18" w:right="339" w:bottom="1440" w:gutter="0" w:footer="0" w:header="0"/>
        </w:sectPr>
      </w:pPr>
    </w:p>
    <w:bookmarkStart w:id="55" w:name="page56"/>
    <w:bookmarkEnd w:id="55"/>
    <w:p>
      <w:pPr>
        <w:jc w:val="both"/>
        <w:ind w:firstLine="656"/>
        <w:spacing w:after="0" w:line="259" w:lineRule="auto"/>
        <w:tabs>
          <w:tab w:leader="none" w:pos="116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Conversions in Part</w:t>
      </w:r>
      <w:r>
        <w:rPr>
          <w:rFonts w:ascii="Times New Roman" w:cs="Times New Roman" w:eastAsia="Times New Roman" w:hAnsi="Times New Roman"/>
          <w:sz w:val="22"/>
          <w:szCs w:val="22"/>
          <w:color w:val="auto"/>
        </w:rPr>
        <w:t>. Subject to the terms of this Indenture, Notes may be Converted in part, but only in Authorized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Denominations. Provisions of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applying to the Conversion of a Note in whole will equally apply to Conversions of a permitted portion of a Note.</w:t>
      </w:r>
    </w:p>
    <w:p>
      <w:pPr>
        <w:spacing w:after="0" w:line="17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When Notes May Be Converted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5.01(C)(ii)</w:t>
      </w:r>
      <w:r>
        <w:rPr>
          <w:rFonts w:ascii="Times New Roman" w:cs="Times New Roman" w:eastAsia="Times New Roman" w:hAnsi="Times New Roman"/>
          <w:sz w:val="22"/>
          <w:szCs w:val="22"/>
          <w:color w:val="auto"/>
        </w:rPr>
        <w:t>, a Note may be Converted only in the following circumstances:</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1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Satisfaction of Common Stock Sale Price Condition</w:t>
      </w:r>
      <w:r>
        <w:rPr>
          <w:rFonts w:ascii="Times New Roman" w:cs="Times New Roman" w:eastAsia="Times New Roman" w:hAnsi="Times New Roman"/>
          <w:sz w:val="22"/>
          <w:szCs w:val="22"/>
          <w:color w:val="auto"/>
        </w:rPr>
        <w:t>. A Holder may Convert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Notes during any calendar quarter (and only during such calendar quarter) commencing after the calendar quarter ending on June 30, 2026, if the Last Reported Sale Price per share of Common Stock exceeds (x) before July 15, 2030, one hundred and fifty percent (150%) and (y) on or after July 15, 2030, one hundred and thirty percent (130%), in each case, of the Conversion Price for each of at least twenty (20) Trading Days (whether or not consecutive) during the thirty (30) consecutive Trading Days ending on, and including, the last Trading Day of the immediately preceding calendar quarter.</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510"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Satisfaction of Note Trading Price Condition</w:t>
      </w:r>
      <w:r>
        <w:rPr>
          <w:rFonts w:ascii="Times New Roman" w:cs="Times New Roman" w:eastAsia="Times New Roman" w:hAnsi="Times New Roman"/>
          <w:sz w:val="22"/>
          <w:szCs w:val="22"/>
          <w:color w:val="auto"/>
        </w:rPr>
        <w:t>. A Holder may Convert its Notes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the five (5) consecutive Business Days immediately after any ten (10) consecutive Trading Day period (such ten (10) consecutive Trading Day period, the “</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22"/>
          <w:szCs w:val="22"/>
          <w:b w:val="1"/>
          <w:bCs w:val="1"/>
          <w:color w:val="auto"/>
        </w:rPr>
        <w:t>Trading Price Condition</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 xml:space="preserve">The Trading Price will be determined by the Bid Solicitation Agent pursuant to this </w:t>
      </w:r>
      <w:r>
        <w:rPr>
          <w:rFonts w:ascii="Times New Roman" w:cs="Times New Roman" w:eastAsia="Times New Roman" w:hAnsi="Times New Roman"/>
          <w:sz w:val="22"/>
          <w:szCs w:val="22"/>
          <w:b w:val="1"/>
          <w:bCs w:val="1"/>
          <w:color w:val="auto"/>
        </w:rPr>
        <w:t>Section 5.01(C)(i)(2)</w:t>
      </w:r>
      <w:r>
        <w:rPr>
          <w:rFonts w:ascii="Times New Roman" w:cs="Times New Roman" w:eastAsia="Times New Roman" w:hAnsi="Times New Roman"/>
          <w:sz w:val="22"/>
          <w:szCs w:val="22"/>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18" w:right="339" w:bottom="1440" w:gutter="0" w:footer="0" w:header="0"/>
        </w:sectPr>
      </w:pPr>
    </w:p>
    <w:bookmarkStart w:id="56" w:name="page57"/>
    <w:bookmarkEnd w:id="56"/>
    <w:p>
      <w:pPr>
        <w:jc w:val="both"/>
        <w:ind w:left="180"/>
        <w:spacing w:after="0" w:line="250" w:lineRule="auto"/>
        <w:rPr>
          <w:sz w:val="20"/>
          <w:szCs w:val="20"/>
          <w:color w:val="auto"/>
        </w:rPr>
      </w:pPr>
      <w:r>
        <w:rPr>
          <w:rFonts w:ascii="Times New Roman" w:cs="Times New Roman" w:eastAsia="Times New Roman" w:hAnsi="Times New Roman"/>
          <w:sz w:val="22"/>
          <w:szCs w:val="22"/>
          <w:color w:val="auto"/>
        </w:rPr>
        <w:t>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203" w:lineRule="exact"/>
        <w:rPr>
          <w:sz w:val="20"/>
          <w:szCs w:val="20"/>
          <w:color w:val="auto"/>
        </w:rPr>
      </w:pPr>
    </w:p>
    <w:p>
      <w:pPr>
        <w:ind w:left="1300" w:hanging="468"/>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Specified Corporate Events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940" w:hanging="460"/>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Distributions</w:t>
      </w:r>
      <w:r>
        <w:rPr>
          <w:rFonts w:ascii="Times New Roman" w:cs="Times New Roman" w:eastAsia="Times New Roman" w:hAnsi="Times New Roman"/>
          <w:sz w:val="22"/>
          <w:szCs w:val="22"/>
          <w:color w:val="auto"/>
        </w:rPr>
        <w:t>. If, before April 15, 2031, the Company elects to:</w:t>
      </w:r>
    </w:p>
    <w:p>
      <w:pPr>
        <w:spacing w:after="0" w:line="223" w:lineRule="exact"/>
        <w:rPr>
          <w:rFonts w:ascii="Times New Roman" w:cs="Times New Roman" w:eastAsia="Times New Roman" w:hAnsi="Times New Roman"/>
          <w:sz w:val="22"/>
          <w:szCs w:val="22"/>
          <w:color w:val="auto"/>
        </w:rPr>
      </w:pPr>
    </w:p>
    <w:p>
      <w:pPr>
        <w:jc w:val="both"/>
        <w:ind w:left="1480" w:firstLine="648"/>
        <w:spacing w:after="0" w:line="260" w:lineRule="auto"/>
        <w:tabs>
          <w:tab w:leader="none" w:pos="2623" w:val="left"/>
        </w:tabs>
        <w:numPr>
          <w:ilvl w:val="2"/>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cs="Times New Roman" w:eastAsia="Times New Roman" w:hAnsi="Times New Roman"/>
          <w:sz w:val="21"/>
          <w:szCs w:val="21"/>
          <w:b w:val="1"/>
          <w:bCs w:val="1"/>
          <w:color w:val="auto"/>
        </w:rPr>
        <w:t>clause (I)</w:t>
      </w:r>
      <w:r>
        <w:rPr>
          <w:rFonts w:ascii="Times New Roman" w:cs="Times New Roman" w:eastAsia="Times New Roman" w:hAnsi="Times New Roman"/>
          <w:sz w:val="21"/>
          <w:szCs w:val="21"/>
          <w:color w:val="auto"/>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21"/>
          <w:szCs w:val="21"/>
          <w:b w:val="1"/>
          <w:bCs w:val="1"/>
          <w:color w:val="auto"/>
        </w:rPr>
        <w:t>Section 5.05(A)(ii)</w:t>
      </w:r>
      <w:r>
        <w:rPr>
          <w:rFonts w:ascii="Times New Roman" w:cs="Times New Roman" w:eastAsia="Times New Roman" w:hAnsi="Times New Roman"/>
          <w:sz w:val="21"/>
          <w:szCs w:val="21"/>
          <w:color w:val="auto"/>
        </w:rPr>
        <w:t>); or</w:t>
      </w:r>
    </w:p>
    <w:p>
      <w:pPr>
        <w:spacing w:after="0" w:line="192" w:lineRule="exact"/>
        <w:rPr>
          <w:sz w:val="20"/>
          <w:szCs w:val="20"/>
          <w:color w:val="auto"/>
        </w:rPr>
      </w:pPr>
    </w:p>
    <w:p>
      <w:pPr>
        <w:jc w:val="both"/>
        <w:ind w:left="1480" w:firstLine="648"/>
        <w:spacing w:after="0" w:line="250" w:lineRule="auto"/>
        <w:tabs>
          <w:tab w:leader="none" w:pos="267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spacing w:after="0" w:line="194" w:lineRule="exact"/>
        <w:rPr>
          <w:sz w:val="20"/>
          <w:szCs w:val="20"/>
          <w:color w:val="auto"/>
        </w:rPr>
      </w:pPr>
    </w:p>
    <w:p>
      <w:pPr>
        <w:jc w:val="both"/>
        <w:ind w:left="840"/>
        <w:spacing w:after="0" w:line="252" w:lineRule="auto"/>
        <w:rPr>
          <w:sz w:val="20"/>
          <w:szCs w:val="20"/>
          <w:color w:val="auto"/>
        </w:rPr>
      </w:pPr>
      <w:r>
        <w:rPr>
          <w:rFonts w:ascii="Times New Roman" w:cs="Times New Roman" w:eastAsia="Times New Roman" w:hAnsi="Times New Roman"/>
          <w:sz w:val="22"/>
          <w:szCs w:val="22"/>
          <w:color w:val="auto"/>
        </w:rPr>
        <w:t>then, in either case, (x) the Company will send notice of such distribution, and of the related right to Convert Notes, to Holders, the Trustee and the Conversion Agent at least twenty five (25) Scheduled Trading Days before the Ex-Dividend Date for such distribution (or, if later in the case of any such separation of rights issued pursuant to a stockholder rights plan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120"/>
          </w:cols>
          <w:pgMar w:left="1440" w:top="1422" w:right="339" w:bottom="1440" w:gutter="0" w:footer="0" w:header="0"/>
        </w:sectPr>
      </w:pPr>
    </w:p>
    <w:bookmarkStart w:id="57" w:name="page58"/>
    <w:bookmarkEnd w:id="57"/>
    <w:p>
      <w:pPr>
        <w:ind w:left="840"/>
        <w:spacing w:after="0" w:line="266" w:lineRule="auto"/>
        <w:rPr>
          <w:sz w:val="20"/>
          <w:szCs w:val="20"/>
          <w:color w:val="auto"/>
        </w:rPr>
      </w:pPr>
      <w:r>
        <w:rPr>
          <w:rFonts w:ascii="Times New Roman" w:cs="Times New Roman" w:eastAsia="Times New Roman" w:hAnsi="Times New Roman"/>
          <w:sz w:val="21"/>
          <w:szCs w:val="21"/>
          <w:color w:val="auto"/>
        </w:rPr>
        <w:t>occurrence of any such triggering event under a stockholder rights plan, as soon as reasonably practicable after the Company becomes aware that such separation or triggering event has occurred or will occur); and</w:t>
      </w:r>
    </w:p>
    <w:p>
      <w:pPr>
        <w:spacing w:after="0" w:line="2" w:lineRule="exact"/>
        <w:rPr>
          <w:sz w:val="20"/>
          <w:szCs w:val="20"/>
          <w:color w:val="auto"/>
        </w:rPr>
      </w:pPr>
    </w:p>
    <w:p>
      <w:pPr>
        <w:jc w:val="both"/>
        <w:ind w:left="840" w:hanging="8"/>
        <w:spacing w:after="0" w:line="246" w:lineRule="auto"/>
        <w:tabs>
          <w:tab w:leader="none" w:pos="115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Notes will not become Convertible pursuant to </w:t>
      </w:r>
      <w:r>
        <w:rPr>
          <w:rFonts w:ascii="Times New Roman" w:cs="Times New Roman" w:eastAsia="Times New Roman" w:hAnsi="Times New Roman"/>
          <w:sz w:val="22"/>
          <w:szCs w:val="22"/>
          <w:b w:val="1"/>
          <w:bCs w:val="1"/>
          <w:color w:val="auto"/>
        </w:rPr>
        <w:t>clause (y)</w:t>
      </w:r>
      <w:r>
        <w:rPr>
          <w:rFonts w:ascii="Times New Roman" w:cs="Times New Roman" w:eastAsia="Times New Roman" w:hAnsi="Times New Roman"/>
          <w:sz w:val="22"/>
          <w:szCs w:val="22"/>
          <w:color w:val="auto"/>
        </w:rPr>
        <w:t xml:space="preserve"> above (but the Company will be required to send notice of such distribution pursuant to </w:t>
      </w:r>
      <w:r>
        <w:rPr>
          <w:rFonts w:ascii="Times New Roman" w:cs="Times New Roman" w:eastAsia="Times New Roman" w:hAnsi="Times New Roman"/>
          <w:sz w:val="22"/>
          <w:szCs w:val="22"/>
          <w:b w:val="1"/>
          <w:bCs w:val="1"/>
          <w:color w:val="auto"/>
        </w:rPr>
        <w:t>clause (x)</w:t>
      </w:r>
      <w:r>
        <w:rPr>
          <w:rFonts w:ascii="Times New Roman" w:cs="Times New Roman" w:eastAsia="Times New Roman" w:hAnsi="Times New Roman"/>
          <w:sz w:val="22"/>
          <w:szCs w:val="22"/>
          <w:color w:val="auto"/>
        </w:rPr>
        <w:t xml:space="preserve">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record date.</w:t>
      </w:r>
    </w:p>
    <w:p>
      <w:pPr>
        <w:spacing w:after="0" w:line="213" w:lineRule="exact"/>
        <w:rPr>
          <w:rFonts w:ascii="Times New Roman" w:cs="Times New Roman" w:eastAsia="Times New Roman" w:hAnsi="Times New Roman"/>
          <w:sz w:val="22"/>
          <w:szCs w:val="22"/>
          <w:color w:val="auto"/>
        </w:rPr>
      </w:pPr>
    </w:p>
    <w:p>
      <w:pPr>
        <w:jc w:val="both"/>
        <w:ind w:left="840" w:firstLine="640"/>
        <w:spacing w:after="0" w:line="260" w:lineRule="auto"/>
        <w:tabs>
          <w:tab w:leader="none" w:pos="2104"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Certain Corporate Events</w:t>
      </w:r>
      <w:r>
        <w:rPr>
          <w:rFonts w:ascii="Times New Roman" w:cs="Times New Roman" w:eastAsia="Times New Roman" w:hAnsi="Times New Roman"/>
          <w:sz w:val="21"/>
          <w:szCs w:val="21"/>
          <w:color w:val="auto"/>
        </w:rPr>
        <w:t>. If a Fundamental Change, Make-Whole Fundamental Change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(other than a Make-Whole Fundamental Change pursuant to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Company does not provide the notice referred to in the immediately following sentence by the second (2nd) Business Day after such effective date, then the last day on which the Notes are Convertible pursuant to this sentence will be extended by the number of Business Days from, and including, the second (2nd) Business Day after such effective date to, but excluding, the date the Company provides such notice. No later than the second (2nd) Business Day after such effective date, the Company will send notice to the Holders, the Trustee and the Conversion Agent of such transaction or event, such effective date and the related right to Convert Notes.</w:t>
      </w:r>
    </w:p>
    <w:p>
      <w:pPr>
        <w:spacing w:after="0" w:line="180" w:lineRule="exact"/>
        <w:rPr>
          <w:sz w:val="20"/>
          <w:szCs w:val="20"/>
          <w:color w:val="auto"/>
        </w:rPr>
      </w:pPr>
    </w:p>
    <w:p>
      <w:pPr>
        <w:jc w:val="both"/>
        <w:ind w:left="180" w:firstLine="652"/>
        <w:spacing w:after="0" w:line="259" w:lineRule="auto"/>
        <w:tabs>
          <w:tab w:leader="none" w:pos="136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Upon Redemption</w:t>
      </w:r>
      <w:r>
        <w:rPr>
          <w:rFonts w:ascii="Times New Roman" w:cs="Times New Roman" w:eastAsia="Times New Roman" w:hAnsi="Times New Roman"/>
          <w:sz w:val="22"/>
          <w:szCs w:val="22"/>
          <w:color w:val="auto"/>
        </w:rPr>
        <w:t>. If the Company calls any Note for Redemption, then the Holder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Note may Convert such Note at any time before the Close of Business on the second (2nd) Business Day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120"/>
          </w:cols>
          <w:pgMar w:left="1440" w:top="1422" w:right="339" w:bottom="1440" w:gutter="0" w:footer="0" w:header="0"/>
        </w:sectPr>
      </w:pPr>
    </w:p>
    <w:bookmarkStart w:id="58" w:name="page59"/>
    <w:bookmarkEnd w:id="58"/>
    <w:p>
      <w:pPr>
        <w:ind w:left="1300" w:right="20"/>
        <w:spacing w:after="0" w:line="271" w:lineRule="auto"/>
        <w:rPr>
          <w:sz w:val="20"/>
          <w:szCs w:val="20"/>
          <w:color w:val="auto"/>
        </w:rPr>
      </w:pPr>
      <w:r>
        <w:rPr>
          <w:rFonts w:ascii="Times New Roman" w:cs="Times New Roman" w:eastAsia="Times New Roman" w:hAnsi="Times New Roman"/>
          <w:sz w:val="22"/>
          <w:szCs w:val="22"/>
          <w:color w:val="auto"/>
        </w:rPr>
        <w:t>before the related Redemption Date (or, if the Company fails to pay the Redemption Price due on such Redemption Date in full, at any time until such time as the Company pays such Redemption Price in full).</w:t>
      </w:r>
    </w:p>
    <w:p>
      <w:pPr>
        <w:spacing w:after="0" w:line="154" w:lineRule="exact"/>
        <w:rPr>
          <w:sz w:val="20"/>
          <w:szCs w:val="20"/>
          <w:color w:val="auto"/>
        </w:rPr>
      </w:pPr>
    </w:p>
    <w:p>
      <w:pPr>
        <w:jc w:val="both"/>
        <w:ind w:left="1300" w:firstLine="652"/>
        <w:spacing w:after="0" w:line="265" w:lineRule="auto"/>
        <w:tabs>
          <w:tab w:leader="none" w:pos="247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Conversions During Free Convertibility Period</w:t>
      </w:r>
      <w:r>
        <w:rPr>
          <w:rFonts w:ascii="Times New Roman" w:cs="Times New Roman" w:eastAsia="Times New Roman" w:hAnsi="Times New Roman"/>
          <w:sz w:val="22"/>
          <w:szCs w:val="22"/>
          <w:color w:val="auto"/>
        </w:rPr>
        <w:t>. A Holder may Convert its Notes at any time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including, April 15, 2031 until the Close of Business on the second (2nd) Scheduled Trading Day immediately before the Maturity Date.</w:t>
      </w:r>
    </w:p>
    <w:p>
      <w:pPr>
        <w:spacing w:after="0" w:line="16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22"/>
          <w:szCs w:val="22"/>
          <w:b w:val="1"/>
          <w:bCs w:val="1"/>
          <w:color w:val="auto"/>
        </w:rPr>
        <w:t>Section 5.01(C)(i)</w:t>
      </w:r>
      <w:r>
        <w:rPr>
          <w:rFonts w:ascii="Times New Roman" w:cs="Times New Roman" w:eastAsia="Times New Roman" w:hAnsi="Times New Roman"/>
          <w:sz w:val="22"/>
          <w:szCs w:val="22"/>
          <w:color w:val="auto"/>
        </w:rPr>
        <w:t xml:space="preserve"> and the Notes ceasing to be Convertible pursuant to a particular sub-paragraph of this </w:t>
      </w:r>
      <w:r>
        <w:rPr>
          <w:rFonts w:ascii="Times New Roman" w:cs="Times New Roman" w:eastAsia="Times New Roman" w:hAnsi="Times New Roman"/>
          <w:sz w:val="22"/>
          <w:szCs w:val="22"/>
          <w:b w:val="1"/>
          <w:bCs w:val="1"/>
          <w:color w:val="auto"/>
        </w:rPr>
        <w:t>Section 5.01(C)(i)</w:t>
      </w:r>
      <w:r>
        <w:rPr>
          <w:rFonts w:ascii="Times New Roman" w:cs="Times New Roman" w:eastAsia="Times New Roman" w:hAnsi="Times New Roman"/>
          <w:sz w:val="22"/>
          <w:szCs w:val="22"/>
          <w:color w:val="auto"/>
        </w:rPr>
        <w:t xml:space="preserve"> will not preclude the Notes from being Convertible pursuant to any other sub-paragraph of this </w:t>
      </w:r>
      <w:r>
        <w:rPr>
          <w:rFonts w:ascii="Times New Roman" w:cs="Times New Roman" w:eastAsia="Times New Roman" w:hAnsi="Times New Roman"/>
          <w:sz w:val="22"/>
          <w:szCs w:val="22"/>
          <w:b w:val="1"/>
          <w:bCs w:val="1"/>
          <w:color w:val="auto"/>
        </w:rPr>
        <w:t>Section 5.01(C)(i)</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ind w:left="1780" w:hanging="476"/>
        <w:spacing w:after="0"/>
        <w:tabs>
          <w:tab w:leader="none" w:pos="17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and Closed Periods</w:t>
      </w:r>
      <w:r>
        <w:rPr>
          <w:rFonts w:ascii="Times New Roman" w:cs="Times New Roman" w:eastAsia="Times New Roman" w:hAnsi="Times New Roman"/>
          <w:sz w:val="22"/>
          <w:szCs w:val="22"/>
          <w:color w:val="auto"/>
        </w:rPr>
        <w:t>. Notwithstanding anything to the contrary in this Indenture or the Notes:</w:t>
      </w:r>
    </w:p>
    <w:p>
      <w:pPr>
        <w:spacing w:after="0" w:line="223"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8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may be surrendered for Conversion only after the Open of Business and before the Close of Business on a day that is a Business Day;</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7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may any Note be Converted after the Close of Business on the second (2nd) Scheduled Trading Day immediately before the Maturity Date;</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0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Company calls any Note for Redemption pursuant to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then the Holder of such Note may not Convert such Note after the Close of Business on the second (2nd) Business Day immediately before the applicable Redemption Date, except to the extent the Company fails to pay the Redemption Price for such Note in accordance with this Indenture; and</w:t>
      </w:r>
    </w:p>
    <w:p>
      <w:pPr>
        <w:spacing w:after="0" w:line="175"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49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Fundamental Change Repurchase Notice is validly delivered pursuant to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 xml:space="preserve"> with respect to any Note, then such Note may not be Converted, except to the extent (a) such Note is not subject to such notice; (b) such notice is withdrawn in accordance with </w:t>
      </w:r>
      <w:r>
        <w:rPr>
          <w:rFonts w:ascii="Times New Roman" w:cs="Times New Roman" w:eastAsia="Times New Roman" w:hAnsi="Times New Roman"/>
          <w:sz w:val="22"/>
          <w:szCs w:val="22"/>
          <w:b w:val="1"/>
          <w:bCs w:val="1"/>
          <w:color w:val="auto"/>
        </w:rPr>
        <w:t>Section 4.02(F)</w:t>
      </w:r>
      <w:r>
        <w:rPr>
          <w:rFonts w:ascii="Times New Roman" w:cs="Times New Roman" w:eastAsia="Times New Roman" w:hAnsi="Times New Roman"/>
          <w:sz w:val="22"/>
          <w:szCs w:val="22"/>
          <w:color w:val="auto"/>
        </w:rPr>
        <w:t>; or (c) the Company fails to pay the Fundamental Change Repurchase Price for such Note in accordance with this Indenture.</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5.02.</w:t>
      </w:r>
      <w:r>
        <w:rPr>
          <w:sz w:val="20"/>
          <w:szCs w:val="20"/>
          <w:color w:val="auto"/>
        </w:rPr>
        <w:tab/>
      </w:r>
      <w:r>
        <w:rPr>
          <w:rFonts w:ascii="Times New Roman" w:cs="Times New Roman" w:eastAsia="Times New Roman" w:hAnsi="Times New Roman"/>
          <w:sz w:val="21"/>
          <w:szCs w:val="21"/>
          <w:b w:val="1"/>
          <w:bCs w:val="1"/>
          <w:color w:val="auto"/>
        </w:rPr>
        <w:t>Conversion Procedures.</w:t>
      </w:r>
    </w:p>
    <w:p>
      <w:pPr>
        <w:spacing w:after="0" w:line="220" w:lineRule="exact"/>
        <w:rPr>
          <w:sz w:val="20"/>
          <w:szCs w:val="20"/>
          <w:color w:val="auto"/>
        </w:rPr>
      </w:pPr>
    </w:p>
    <w:p>
      <w:pPr>
        <w:ind w:left="1180" w:hanging="524"/>
        <w:spacing w:after="0"/>
        <w:tabs>
          <w:tab w:leader="none" w:pos="11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84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Global Notes</w:t>
      </w:r>
      <w:r>
        <w:rPr>
          <w:rFonts w:ascii="Times New Roman" w:cs="Times New Roman" w:eastAsia="Times New Roman" w:hAnsi="Times New Roman"/>
          <w:sz w:val="22"/>
          <w:szCs w:val="22"/>
          <w:color w:val="auto"/>
        </w:rPr>
        <w:t>. To Convert a beneficial interest in a Global Note that is Convertible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5.01(C)</w:t>
      </w:r>
      <w:r>
        <w:rPr>
          <w:rFonts w:ascii="Times New Roman" w:cs="Times New Roman" w:eastAsia="Times New Roman" w:hAnsi="Times New Roman"/>
          <w:sz w:val="22"/>
          <w:szCs w:val="22"/>
          <w:color w:val="auto"/>
        </w:rPr>
        <w:t>, the owner of such beneficial interest must (1) comply with the Depositary Procedures for Converting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interest (at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2"/>
          <w:szCs w:val="22"/>
          <w:color w:val="auto"/>
        </w:rPr>
        <w:t xml:space="preserve">time such Conversion will become irrevocable); and (2) pay any amounts due pursuant to </w:t>
      </w:r>
      <w:r>
        <w:rPr>
          <w:rFonts w:ascii="Times New Roman" w:cs="Times New Roman" w:eastAsia="Times New Roman" w:hAnsi="Times New Roman"/>
          <w:sz w:val="22"/>
          <w:szCs w:val="22"/>
          <w:b w:val="1"/>
          <w:bCs w:val="1"/>
          <w:color w:val="auto"/>
        </w:rPr>
        <w:t>Section 5.02(E)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4"/>
        <w:spacing w:after="0" w:line="252" w:lineRule="auto"/>
        <w:tabs>
          <w:tab w:leader="none" w:pos="192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Physical Notes</w:t>
      </w:r>
      <w:r>
        <w:rPr>
          <w:rFonts w:ascii="Times New Roman" w:cs="Times New Roman" w:eastAsia="Times New Roman" w:hAnsi="Times New Roman"/>
          <w:sz w:val="22"/>
          <w:szCs w:val="22"/>
          <w:color w:val="auto"/>
        </w:rPr>
        <w:t>. To Convert all or a portion of a Physical Note that is Convertible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5.01(C)</w:t>
      </w:r>
      <w:r>
        <w:rPr>
          <w:rFonts w:ascii="Times New Roman" w:cs="Times New Roman" w:eastAsia="Times New Roman" w:hAnsi="Times New Roman"/>
          <w:sz w:val="22"/>
          <w:szCs w:val="22"/>
          <w:color w:val="auto"/>
        </w:rPr>
        <w:t>, the Holder of such Note must (1) complete, manually sign and deliver to the Conversion Agent the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 require; and (4) pay any amounts due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5.02(E)</w:t>
      </w:r>
      <w:r>
        <w:rPr>
          <w:rFonts w:ascii="Times New Roman" w:cs="Times New Roman" w:eastAsia="Times New Roman" w:hAnsi="Times New Roman"/>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firstLine="656"/>
        <w:spacing w:after="0" w:line="254" w:lineRule="auto"/>
        <w:tabs>
          <w:tab w:leader="none" w:pos="116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Converting a Note</w:t>
      </w:r>
      <w:r>
        <w:rPr>
          <w:rFonts w:ascii="Times New Roman" w:cs="Times New Roman" w:eastAsia="Times New Roman" w:hAnsi="Times New Roman"/>
          <w:sz w:val="22"/>
          <w:szCs w:val="22"/>
          <w:color w:val="auto"/>
        </w:rPr>
        <w:t>. At the Close of Business on the Conversion Date for a Note (or any portion thereof)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be Converted, such Note (or such portion) will (unless there occurs a Default in the delivery of the Conversion Consideration or interest, if any, due, pursuant to </w:t>
      </w:r>
      <w:r>
        <w:rPr>
          <w:rFonts w:ascii="Times New Roman" w:cs="Times New Roman" w:eastAsia="Times New Roman" w:hAnsi="Times New Roman"/>
          <w:sz w:val="22"/>
          <w:szCs w:val="22"/>
          <w:b w:val="1"/>
          <w:bCs w:val="1"/>
          <w:color w:val="auto"/>
        </w:rPr>
        <w:t>Section 5.03(B)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5.02(D)</w:t>
      </w:r>
      <w:r>
        <w:rPr>
          <w:rFonts w:ascii="Times New Roman" w:cs="Times New Roman" w:eastAsia="Times New Roman" w:hAnsi="Times New Roman"/>
          <w:sz w:val="22"/>
          <w:szCs w:val="22"/>
          <w:color w:val="auto"/>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65" w:lineRule="auto"/>
        <w:tabs>
          <w:tab w:leader="none" w:pos="119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Holder of Record of Conversion Shares</w:t>
      </w:r>
      <w:r>
        <w:rPr>
          <w:rFonts w:ascii="Times New Roman" w:cs="Times New Roman" w:eastAsia="Times New Roman" w:hAnsi="Times New Roman"/>
          <w:sz w:val="22"/>
          <w:szCs w:val="22"/>
          <w:color w:val="auto"/>
        </w:rPr>
        <w:t>. The Person in whose name any share of Common Stock is issuable upon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of any Note will be deemed to become the holder of record of such share as of the Close of Business on the last VWAP Trading Day of the Observation Period for such Conversion.</w:t>
      </w:r>
    </w:p>
    <w:p>
      <w:pPr>
        <w:spacing w:after="0" w:line="16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8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Payable Upon Conversion in Certain Circumstances</w:t>
      </w:r>
      <w:r>
        <w:rPr>
          <w:rFonts w:ascii="Times New Roman" w:cs="Times New Roman" w:eastAsia="Times New Roman" w:hAnsi="Times New Roman"/>
          <w:sz w:val="22"/>
          <w:szCs w:val="22"/>
          <w:color w:val="auto"/>
        </w:rPr>
        <w:t>. If any payment of Special Interest or Additional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is due in respect of any Interest Payment Date and the Conversion Date of a Note is after the related Interest Record Date and before such Interest Payment Date, then the Holder of such Note at the Close of Business on such Interest Record Date will be entitled, notwithstanding such conversion, to receive, on or, at the Company’s election, before such Interest Payment Date, such payment of Special Interest or Additional Interest, as applicable (assuming, solely for these purposes, that such Note remained outstanding through such Interest Payment Date). For the avoidance of doubt, if the Conversion Date of a Note to be converted is on an Interest Payment Date in respect of which any Special Interest or Additional Interest is payable, then the Holder of such Note at the Close of Business on the Interest Record Date immediately before such Interest Payment Date will be entitled to receive, on such Interest Payment Date, such Special Interest or Additional Interest, as applicable.</w:t>
      </w:r>
    </w:p>
    <w:p>
      <w:pPr>
        <w:spacing w:after="0" w:line="198" w:lineRule="exact"/>
        <w:rPr>
          <w:rFonts w:ascii="Times New Roman" w:cs="Times New Roman" w:eastAsia="Times New Roman" w:hAnsi="Times New Roman"/>
          <w:sz w:val="22"/>
          <w:szCs w:val="22"/>
          <w:color w:val="auto"/>
        </w:rPr>
      </w:pPr>
    </w:p>
    <w:p>
      <w:pPr>
        <w:jc w:val="both"/>
        <w:ind w:firstLine="656"/>
        <w:spacing w:after="0" w:line="251" w:lineRule="auto"/>
        <w:tabs>
          <w:tab w:leader="none" w:pos="119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Taxes and Duties</w:t>
      </w:r>
      <w:r>
        <w:rPr>
          <w:rFonts w:ascii="Times New Roman" w:cs="Times New Roman" w:eastAsia="Times New Roman" w:hAnsi="Times New Roman"/>
          <w:sz w:val="22"/>
          <w:szCs w:val="22"/>
          <w:color w:val="auto"/>
        </w:rPr>
        <w:t>. If a Holder Converts a Note, the Company will pay any documentary, stamp or similar issue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 tax or duty due on the issue or delivery of any shares of Common Stock upon such Conversion;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18" w:right="339" w:bottom="1440" w:gutter="0" w:footer="0" w:header="0"/>
        </w:sectPr>
      </w:pPr>
    </w:p>
    <w:bookmarkStart w:id="60" w:name="page61"/>
    <w:bookmarkEnd w:id="60"/>
    <w:p>
      <w:pPr>
        <w:jc w:val="both"/>
        <w:ind w:firstLine="656"/>
        <w:spacing w:after="0" w:line="258" w:lineRule="auto"/>
        <w:tabs>
          <w:tab w:leader="none" w:pos="119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Agent to Notify Company of Conversions</w:t>
      </w:r>
      <w:r>
        <w:rPr>
          <w:rFonts w:ascii="Times New Roman" w:cs="Times New Roman" w:eastAsia="Times New Roman" w:hAnsi="Times New Roman"/>
          <w:sz w:val="22"/>
          <w:szCs w:val="22"/>
          <w:color w:val="auto"/>
        </w:rPr>
        <w:t>. If any Note is submitted for Conversion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5.03.</w:t>
      </w:r>
      <w:r>
        <w:rPr>
          <w:sz w:val="20"/>
          <w:szCs w:val="20"/>
          <w:color w:val="auto"/>
        </w:rPr>
        <w:tab/>
      </w:r>
      <w:r>
        <w:rPr>
          <w:rFonts w:ascii="Times New Roman" w:cs="Times New Roman" w:eastAsia="Times New Roman" w:hAnsi="Times New Roman"/>
          <w:sz w:val="21"/>
          <w:szCs w:val="21"/>
          <w:b w:val="1"/>
          <w:bCs w:val="1"/>
          <w:color w:val="auto"/>
        </w:rPr>
        <w:t>Settlement Upon Conversion.</w:t>
      </w:r>
    </w:p>
    <w:p>
      <w:pPr>
        <w:spacing w:after="0" w:line="220" w:lineRule="exact"/>
        <w:rPr>
          <w:sz w:val="20"/>
          <w:szCs w:val="20"/>
          <w:color w:val="auto"/>
        </w:rPr>
      </w:pPr>
    </w:p>
    <w:p>
      <w:pPr>
        <w:jc w:val="both"/>
        <w:ind w:firstLine="656"/>
        <w:spacing w:after="0" w:line="258" w:lineRule="auto"/>
        <w:tabs>
          <w:tab w:leader="none" w:pos="128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Settlement Method</w:t>
      </w:r>
      <w:r>
        <w:rPr>
          <w:rFonts w:ascii="Times New Roman" w:cs="Times New Roman" w:eastAsia="Times New Roman" w:hAnsi="Times New Roman"/>
          <w:sz w:val="22"/>
          <w:szCs w:val="22"/>
          <w:color w:val="auto"/>
        </w:rPr>
        <w:t>. Upon the Conversion of any Note, the Company will settle such Conversion by paying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delivering, as applicable and as provided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either (x) solely cash as provided in </w:t>
      </w:r>
      <w:r>
        <w:rPr>
          <w:rFonts w:ascii="Times New Roman" w:cs="Times New Roman" w:eastAsia="Times New Roman" w:hAnsi="Times New Roman"/>
          <w:sz w:val="22"/>
          <w:szCs w:val="22"/>
          <w:b w:val="1"/>
          <w:bCs w:val="1"/>
          <w:color w:val="auto"/>
        </w:rPr>
        <w:t>Section 5.03(B)(i)(1)</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or (y) a combination of cash and shares of Common Stock, together, if applicable, with cash in lieu of fractional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shares as provided in </w:t>
      </w:r>
      <w:r>
        <w:rPr>
          <w:rFonts w:ascii="Times New Roman" w:cs="Times New Roman" w:eastAsia="Times New Roman" w:hAnsi="Times New Roman"/>
          <w:sz w:val="22"/>
          <w:szCs w:val="22"/>
          <w:b w:val="1"/>
          <w:bCs w:val="1"/>
          <w:color w:val="auto"/>
        </w:rPr>
        <w:t>Section 5.03(B)(i)(2)</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660" w:firstLine="644"/>
        <w:spacing w:after="0" w:line="275" w:lineRule="auto"/>
        <w:tabs>
          <w:tab w:leader="none" w:pos="178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Company’s Right to Elect Settlement Method</w:t>
      </w:r>
      <w:r>
        <w:rPr>
          <w:rFonts w:ascii="Times New Roman" w:cs="Times New Roman" w:eastAsia="Times New Roman" w:hAnsi="Times New Roman"/>
          <w:sz w:val="22"/>
          <w:szCs w:val="22"/>
          <w:color w:val="auto"/>
        </w:rPr>
        <w:t>. The Company will have the right to elect the Settlement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Method applicable to any Conversion of a Note;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pacing w:after="0" w:line="149" w:lineRule="exact"/>
        <w:rPr>
          <w:rFonts w:ascii="Times New Roman" w:cs="Times New Roman" w:eastAsia="Times New Roman" w:hAnsi="Times New Roman"/>
          <w:sz w:val="22"/>
          <w:szCs w:val="22"/>
          <w:color w:val="auto"/>
        </w:rPr>
      </w:pPr>
    </w:p>
    <w:p>
      <w:pPr>
        <w:jc w:val="both"/>
        <w:ind w:left="1300" w:firstLine="652"/>
        <w:spacing w:after="0" w:line="259" w:lineRule="auto"/>
        <w:tabs>
          <w:tab w:leader="none" w:pos="2452"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clause (3)</w:t>
      </w:r>
      <w:r>
        <w:rPr>
          <w:rFonts w:ascii="Times New Roman" w:cs="Times New Roman" w:eastAsia="Times New Roman" w:hAnsi="Times New Roman"/>
          <w:sz w:val="22"/>
          <w:szCs w:val="22"/>
          <w:color w:val="auto"/>
        </w:rPr>
        <w:t xml:space="preserve"> below, all Conversions of Notes with a Conversion Date that occurs on or after April 15, 2031 will be settled using the same Settlement Method, and the Company will send notice of such Settlement Method to Holders no later than the Open of Business on April 15, 2031;</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623"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clause (3)</w:t>
      </w:r>
      <w:r>
        <w:rPr>
          <w:rFonts w:ascii="Times New Roman" w:cs="Times New Roman" w:eastAsia="Times New Roman" w:hAnsi="Times New Roman"/>
          <w:sz w:val="22"/>
          <w:szCs w:val="22"/>
          <w:color w:val="auto"/>
        </w:rPr>
        <w:t xml:space="preserve"> below, if the Company elects a Settlement Method with respect to the Conversion of any Note whose Conversion Date occurs before April 15, 2031, then the Company will send notice of such Settlement Method to the Holder of such Note no later than the Close of Business on the Business Day immediately after such Conversion Date;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29"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 xml:space="preserve">, the Settlement Method that will apply to all Conversions of Notes with a Conversion Date that occurs on or after the related Redemption Notice Date and on or before the second (2nd) Business Day before the related Redemption Date; and (b) if such Redemption Date occurs on or after April 15, 2031, then such Settlement Method must be the same Settlement Method that, pursuant to </w:t>
      </w:r>
      <w:r>
        <w:rPr>
          <w:rFonts w:ascii="Times New Roman" w:cs="Times New Roman" w:eastAsia="Times New Roman" w:hAnsi="Times New Roman"/>
          <w:sz w:val="22"/>
          <w:szCs w:val="22"/>
          <w:b w:val="1"/>
          <w:bCs w:val="1"/>
          <w:color w:val="auto"/>
        </w:rPr>
        <w:t>clause (1)</w:t>
      </w:r>
      <w:r>
        <w:rPr>
          <w:rFonts w:ascii="Times New Roman" w:cs="Times New Roman" w:eastAsia="Times New Roman" w:hAnsi="Times New Roman"/>
          <w:sz w:val="22"/>
          <w:szCs w:val="22"/>
          <w:color w:val="auto"/>
        </w:rPr>
        <w:t xml:space="preserve"> above, applies to all Conversions of Notes with a Conversion Date that occurs on or after April 15, 2031;</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52"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use the same Settlement Method for all Conversions of Notes with the same Conversion Date (and, for the avoidance of doubt, the Company will not be obligated to use the same Settlement Method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18" w:right="33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22"/>
          <w:szCs w:val="22"/>
          <w:color w:val="auto"/>
        </w:rPr>
        <w:t xml:space="preserve">respect to Conversions of Notes with different Conversion Dates, except as provided in </w:t>
      </w:r>
      <w:r>
        <w:rPr>
          <w:rFonts w:ascii="Times New Roman" w:cs="Times New Roman" w:eastAsia="Times New Roman" w:hAnsi="Times New Roman"/>
          <w:sz w:val="22"/>
          <w:szCs w:val="22"/>
          <w:b w:val="1"/>
          <w:bCs w:val="1"/>
          <w:color w:val="auto"/>
        </w:rPr>
        <w:t>clause (1)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above);</w:t>
      </w:r>
    </w:p>
    <w:p>
      <w:pPr>
        <w:spacing w:after="0" w:line="224" w:lineRule="exact"/>
        <w:rPr>
          <w:sz w:val="20"/>
          <w:szCs w:val="20"/>
          <w:color w:val="auto"/>
        </w:rPr>
      </w:pPr>
    </w:p>
    <w:p>
      <w:pPr>
        <w:jc w:val="both"/>
        <w:ind w:left="640" w:firstLine="652"/>
        <w:spacing w:after="0" w:line="263" w:lineRule="auto"/>
        <w:tabs>
          <w:tab w:leader="none" w:pos="178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53" w:lineRule="auto"/>
        <w:tabs>
          <w:tab w:leader="none" w:pos="18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At or before the time the Company sends any notice referred to in the preceding sentence, the Company will send a copy of such notice to the Trustee and the Conversion Agent, but the failure to timely send such copy will not affect the validity of any Settlement Method election.</w:t>
      </w:r>
    </w:p>
    <w:p>
      <w:pPr>
        <w:spacing w:after="0" w:line="196" w:lineRule="exact"/>
        <w:rPr>
          <w:sz w:val="20"/>
          <w:szCs w:val="20"/>
          <w:color w:val="auto"/>
        </w:rPr>
      </w:pPr>
    </w:p>
    <w:p>
      <w:pPr>
        <w:jc w:val="both"/>
        <w:ind w:firstLine="644"/>
        <w:spacing w:after="0" w:line="247" w:lineRule="auto"/>
        <w:tabs>
          <w:tab w:leader="none" w:pos="11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The Company’s Right to Irrevocably Fix or Eliminate Settlement Methods</w:t>
      </w:r>
      <w:r>
        <w:rPr>
          <w:rFonts w:ascii="Times New Roman" w:cs="Times New Roman" w:eastAsia="Times New Roman" w:hAnsi="Times New Roman"/>
          <w:sz w:val="22"/>
          <w:szCs w:val="22"/>
          <w:color w:val="auto"/>
        </w:rPr>
        <w:t>. The Company will have the right,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each case, that (v) in no event will the Company elect (whether directly or by eliminating all other Settlement Methods) Combination Settlement with a Specified Dollar Amount that is less than $1,000 per $1,000 principal amount of Notes; (w) the Settlement Method so elected pursuant to </w:t>
      </w:r>
      <w:r>
        <w:rPr>
          <w:rFonts w:ascii="Times New Roman" w:cs="Times New Roman" w:eastAsia="Times New Roman" w:hAnsi="Times New Roman"/>
          <w:sz w:val="22"/>
          <w:szCs w:val="22"/>
          <w:b w:val="1"/>
          <w:bCs w:val="1"/>
          <w:color w:val="auto"/>
        </w:rPr>
        <w:t>clause (1)</w:t>
      </w:r>
      <w:r>
        <w:rPr>
          <w:rFonts w:ascii="Times New Roman" w:cs="Times New Roman" w:eastAsia="Times New Roman" w:hAnsi="Times New Roman"/>
          <w:sz w:val="22"/>
          <w:szCs w:val="22"/>
          <w:color w:val="auto"/>
        </w:rPr>
        <w:t xml:space="preserve"> above, or the Settlement Method(s) remaining after any elimination pursuant to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 xml:space="preserve">); (x) no such irrevocable election will affect any Settlement Method theretofore elected (or deemed to be elected) with respect to any Note pursuant to this Indenture (including pursuant to </w:t>
      </w:r>
      <w:r>
        <w:rPr>
          <w:rFonts w:ascii="Times New Roman" w:cs="Times New Roman" w:eastAsia="Times New Roman" w:hAnsi="Times New Roman"/>
          <w:sz w:val="22"/>
          <w:szCs w:val="22"/>
          <w:b w:val="1"/>
          <w:bCs w:val="1"/>
          <w:color w:val="auto"/>
        </w:rPr>
        <w:t>Section 8.01(G)</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 xml:space="preserve">); (y) upon any such irrevocable election pursuant to </w:t>
      </w:r>
      <w:r>
        <w:rPr>
          <w:rFonts w:ascii="Times New Roman" w:cs="Times New Roman" w:eastAsia="Times New Roman" w:hAnsi="Times New Roman"/>
          <w:sz w:val="22"/>
          <w:szCs w:val="22"/>
          <w:b w:val="1"/>
          <w:bCs w:val="1"/>
          <w:color w:val="auto"/>
        </w:rPr>
        <w:t>clause (1)</w:t>
      </w:r>
      <w:r>
        <w:rPr>
          <w:rFonts w:ascii="Times New Roman" w:cs="Times New Roman" w:eastAsia="Times New Roman" w:hAnsi="Times New Roman"/>
          <w:sz w:val="22"/>
          <w:szCs w:val="22"/>
          <w:color w:val="auto"/>
        </w:rPr>
        <w:t xml:space="preserve"> above, the Default Settlement Method will automatically be deemed to be set to the Settlement Method so fixed; and (z) upon any such irrevocable election pursuant to </w:t>
      </w:r>
      <w:r>
        <w:rPr>
          <w:rFonts w:ascii="Times New Roman" w:cs="Times New Roman" w:eastAsia="Times New Roman" w:hAnsi="Times New Roman"/>
          <w:sz w:val="22"/>
          <w:szCs w:val="22"/>
          <w:b w:val="1"/>
          <w:bCs w:val="1"/>
          <w:color w:val="auto"/>
        </w:rPr>
        <w:t>clause (2)</w:t>
      </w:r>
      <w:r>
        <w:rPr>
          <w:rFonts w:ascii="Times New Roman" w:cs="Times New Roman" w:eastAsia="Times New Roman" w:hAnsi="Times New Roman"/>
          <w:sz w:val="22"/>
          <w:szCs w:val="22"/>
          <w:color w:val="auto"/>
        </w:rPr>
        <w:t xml:space="preserve"> above, the Company will, if needed, simultaneously change the Default Settlement Method to a Settlement Method that is consistent with such irrevocable election. Such notice, if sent, must set forth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0580"/>
          </w:cols>
          <w:pgMar w:left="980" w:top="1418" w:right="339" w:bottom="1440" w:gutter="0" w:footer="0" w:header="0"/>
        </w:sectPr>
      </w:pPr>
    </w:p>
    <w:bookmarkStart w:id="62" w:name="page63"/>
    <w:bookmarkEnd w:id="62"/>
    <w:p>
      <w:pPr>
        <w:jc w:val="both"/>
        <w:ind w:left="4"/>
        <w:spacing w:after="0" w:line="251" w:lineRule="auto"/>
        <w:rPr>
          <w:sz w:val="20"/>
          <w:szCs w:val="20"/>
          <w:color w:val="auto"/>
        </w:rPr>
      </w:pPr>
      <w:r>
        <w:rPr>
          <w:rFonts w:ascii="Times New Roman" w:cs="Times New Roman" w:eastAsia="Times New Roman" w:hAnsi="Times New Roman"/>
          <w:sz w:val="22"/>
          <w:szCs w:val="22"/>
          <w:color w:val="auto"/>
        </w:rPr>
        <w:t xml:space="preserve">applicable Settlement Method(s) so elected or eliminated, as applicable, and the Default Settlement Method applicable immediately after such election, and expressly state that the election is 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 w:cs="Times New Roman" w:eastAsia="Times New Roman" w:hAnsi="Times New Roman"/>
          <w:sz w:val="22"/>
          <w:szCs w:val="22"/>
          <w:b w:val="1"/>
          <w:bCs w:val="1"/>
          <w:color w:val="auto"/>
        </w:rPr>
        <w:t>Section 8.01(G)</w:t>
      </w:r>
      <w:r>
        <w:rPr>
          <w:rFonts w:ascii="Times New Roman" w:cs="Times New Roman" w:eastAsia="Times New Roman" w:hAnsi="Times New Roman"/>
          <w:sz w:val="22"/>
          <w:szCs w:val="22"/>
          <w:color w:val="auto"/>
        </w:rPr>
        <w:t xml:space="preserve"> (it being understood, however, that the Company may nonetheless choose to execute such an amendment at its option).</w:t>
      </w:r>
    </w:p>
    <w:p>
      <w:pPr>
        <w:spacing w:after="0" w:line="177" w:lineRule="exact"/>
        <w:rPr>
          <w:sz w:val="20"/>
          <w:szCs w:val="20"/>
          <w:color w:val="auto"/>
        </w:rPr>
      </w:pPr>
    </w:p>
    <w:p>
      <w:pPr>
        <w:jc w:val="both"/>
        <w:ind w:left="4" w:firstLine="644"/>
        <w:spacing w:after="0" w:line="254" w:lineRule="auto"/>
        <w:tabs>
          <w:tab w:leader="none" w:pos="130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Requirement to Publicly Disclose the Fixed or Default Settlement Method. </w:t>
      </w:r>
      <w:r>
        <w:rPr>
          <w:rFonts w:ascii="Times New Roman" w:cs="Times New Roman" w:eastAsia="Times New Roman" w:hAnsi="Times New Roman"/>
          <w:sz w:val="22"/>
          <w:szCs w:val="22"/>
          <w:color w:val="auto"/>
        </w:rPr>
        <w:t>If the Company changes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Default Settlement Method pursuant to </w:t>
      </w:r>
      <w:r>
        <w:rPr>
          <w:rFonts w:ascii="Times New Roman" w:cs="Times New Roman" w:eastAsia="Times New Roman" w:hAnsi="Times New Roman"/>
          <w:sz w:val="22"/>
          <w:szCs w:val="22"/>
          <w:b w:val="1"/>
          <w:bCs w:val="1"/>
          <w:color w:val="auto"/>
        </w:rPr>
        <w:t>clause (x)</w:t>
      </w:r>
      <w:r>
        <w:rPr>
          <w:rFonts w:ascii="Times New Roman" w:cs="Times New Roman" w:eastAsia="Times New Roman" w:hAnsi="Times New Roman"/>
          <w:sz w:val="22"/>
          <w:szCs w:val="22"/>
          <w:color w:val="auto"/>
        </w:rPr>
        <w:t xml:space="preserve"> of the proviso to the definition of such term or irrevocably fixes the Settlement Method(s) pursuant to </w:t>
      </w:r>
      <w:r>
        <w:rPr>
          <w:rFonts w:ascii="Times New Roman" w:cs="Times New Roman" w:eastAsia="Times New Roman" w:hAnsi="Times New Roman"/>
          <w:sz w:val="22"/>
          <w:szCs w:val="22"/>
          <w:b w:val="1"/>
          <w:bCs w:val="1"/>
          <w:color w:val="auto"/>
        </w:rPr>
        <w:t>Section 5.03(A)(ii)</w:t>
      </w:r>
      <w:r>
        <w:rPr>
          <w:rFonts w:ascii="Times New Roman" w:cs="Times New Roman" w:eastAsia="Times New Roman" w:hAnsi="Times New Roman"/>
          <w:sz w:val="22"/>
          <w:szCs w:val="22"/>
          <w:color w:val="auto"/>
        </w:rPr>
        <w:t>, then the Company will, substantially concurrently therewith, either post the Default Settlement Method or fixed Settlement Method(s), as applicable, on its website or disclose the same in a Current Report on Form 8-K (or any successor form) that is filed with, or furnished to, the SEC.</w:t>
      </w:r>
    </w:p>
    <w:p>
      <w:pPr>
        <w:spacing w:after="0" w:line="173" w:lineRule="exact"/>
        <w:rPr>
          <w:rFonts w:ascii="Times New Roman" w:cs="Times New Roman" w:eastAsia="Times New Roman" w:hAnsi="Times New Roman"/>
          <w:sz w:val="22"/>
          <w:szCs w:val="22"/>
          <w:color w:val="auto"/>
        </w:rPr>
      </w:pPr>
    </w:p>
    <w:p>
      <w:pPr>
        <w:ind w:left="504" w:hanging="504"/>
        <w:spacing w:after="0"/>
        <w:tabs>
          <w:tab w:leader="none" w:pos="50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Consideration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5" w:lineRule="auto"/>
        <w:tabs>
          <w:tab w:leader="none" w:pos="109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5.03(B)(ii)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5.03(B)(iii)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5.09(A)(2)</w:t>
      </w:r>
      <w:r>
        <w:rPr>
          <w:rFonts w:ascii="Times New Roman" w:cs="Times New Roman" w:eastAsia="Times New Roman" w:hAnsi="Times New Roman"/>
          <w:sz w:val="22"/>
          <w:szCs w:val="22"/>
          <w:color w:val="auto"/>
        </w:rPr>
        <w:t>, the type and amount of consideration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Conversion Consideration</w:t>
      </w:r>
      <w:r>
        <w:rPr>
          <w:rFonts w:ascii="Times New Roman" w:cs="Times New Roman" w:eastAsia="Times New Roman" w:hAnsi="Times New Roman"/>
          <w:sz w:val="22"/>
          <w:szCs w:val="22"/>
          <w:color w:val="auto"/>
        </w:rPr>
        <w:t>”) due in respect of each $1,000 principal amount of a Note to be Converted will be as follows:</w:t>
      </w:r>
    </w:p>
    <w:p>
      <w:pPr>
        <w:spacing w:after="0" w:line="165" w:lineRule="exact"/>
        <w:rPr>
          <w:rFonts w:ascii="Times New Roman" w:cs="Times New Roman" w:eastAsia="Times New Roman" w:hAnsi="Times New Roman"/>
          <w:sz w:val="22"/>
          <w:szCs w:val="22"/>
          <w:color w:val="auto"/>
        </w:rPr>
      </w:pPr>
    </w:p>
    <w:p>
      <w:pPr>
        <w:ind w:left="644" w:firstLine="652"/>
        <w:spacing w:after="0" w:line="271" w:lineRule="auto"/>
        <w:tabs>
          <w:tab w:leader="none" w:pos="1873"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Cash Settlement applies to such Conversion, cash in an amount equal to the sum of the Daily Conversion Values for each VWAP Trading Day in the Observation Period for such Conversion; or</w:t>
      </w:r>
    </w:p>
    <w:p>
      <w:pPr>
        <w:spacing w:after="0" w:line="157" w:lineRule="exact"/>
        <w:rPr>
          <w:rFonts w:ascii="Times New Roman" w:cs="Times New Roman" w:eastAsia="Times New Roman" w:hAnsi="Times New Roman"/>
          <w:sz w:val="22"/>
          <w:szCs w:val="22"/>
          <w:color w:val="auto"/>
        </w:rPr>
      </w:pPr>
    </w:p>
    <w:p>
      <w:pPr>
        <w:jc w:val="both"/>
        <w:ind w:left="644" w:firstLine="652"/>
        <w:spacing w:after="0" w:line="256" w:lineRule="auto"/>
        <w:tabs>
          <w:tab w:leader="none" w:pos="1833"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72" w:lineRule="exact"/>
        <w:rPr>
          <w:rFonts w:ascii="Times New Roman" w:cs="Times New Roman" w:eastAsia="Times New Roman" w:hAnsi="Times New Roman"/>
          <w:sz w:val="22"/>
          <w:szCs w:val="22"/>
          <w:color w:val="auto"/>
        </w:rPr>
      </w:pPr>
    </w:p>
    <w:p>
      <w:pPr>
        <w:jc w:val="both"/>
        <w:ind w:left="4" w:firstLine="644"/>
        <w:spacing w:after="0" w:line="252" w:lineRule="auto"/>
        <w:tabs>
          <w:tab w:leader="none" w:pos="1145"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in Lieu of Fractional Shares</w:t>
      </w:r>
      <w:r>
        <w:rPr>
          <w:rFonts w:ascii="Times New Roman" w:cs="Times New Roman" w:eastAsia="Times New Roman" w:hAnsi="Times New Roman"/>
          <w:sz w:val="22"/>
          <w:szCs w:val="22"/>
          <w:color w:val="auto"/>
        </w:rPr>
        <w:t>. If Combination Settlement applies to the Conversion of any Note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number of shares of Common Stock deliverable pursuant to </w:t>
      </w:r>
      <w:r>
        <w:rPr>
          <w:rFonts w:ascii="Times New Roman" w:cs="Times New Roman" w:eastAsia="Times New Roman" w:hAnsi="Times New Roman"/>
          <w:sz w:val="22"/>
          <w:szCs w:val="22"/>
          <w:b w:val="1"/>
          <w:bCs w:val="1"/>
          <w:color w:val="auto"/>
        </w:rPr>
        <w:t>Section 5.03(B)(i)</w:t>
      </w:r>
      <w:r>
        <w:rPr>
          <w:rFonts w:ascii="Times New Roman" w:cs="Times New Roman" w:eastAsia="Times New Roman" w:hAnsi="Times New Roman"/>
          <w:sz w:val="22"/>
          <w:szCs w:val="22"/>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the Daily VWAP on the last VWAP Trading Day of the Observation Period for such Conversion.</w:t>
      </w:r>
    </w:p>
    <w:p>
      <w:pPr>
        <w:spacing w:after="0" w:line="174" w:lineRule="exact"/>
        <w:rPr>
          <w:rFonts w:ascii="Times New Roman" w:cs="Times New Roman" w:eastAsia="Times New Roman" w:hAnsi="Times New Roman"/>
          <w:sz w:val="22"/>
          <w:szCs w:val="22"/>
          <w:color w:val="auto"/>
        </w:rPr>
      </w:pPr>
    </w:p>
    <w:p>
      <w:pPr>
        <w:jc w:val="both"/>
        <w:ind w:left="4" w:firstLine="644"/>
        <w:spacing w:after="0" w:line="259" w:lineRule="auto"/>
        <w:tabs>
          <w:tab w:leader="none" w:pos="1219"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of Multiple Notes by a Single Holder</w:t>
      </w:r>
      <w:r>
        <w:rPr>
          <w:rFonts w:ascii="Times New Roman" w:cs="Times New Roman" w:eastAsia="Times New Roman" w:hAnsi="Times New Roman"/>
          <w:sz w:val="22"/>
          <w:szCs w:val="22"/>
          <w:color w:val="auto"/>
        </w:rPr>
        <w:t>. If a Holder Converts more than one (1) Note on a single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Date, then the Conversion Consideration due in respect of such Conversion will (in the case of any Global Note,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0584"/>
          </w:cols>
          <w:pgMar w:left="976" w:top="1422" w:right="339" w:bottom="1440" w:gutter="0" w:footer="0" w:header="0"/>
        </w:sectPr>
      </w:pPr>
    </w:p>
    <w:bookmarkStart w:id="63" w:name="page64"/>
    <w:bookmarkEnd w:id="63"/>
    <w:p>
      <w:pPr>
        <w:ind w:left="660"/>
        <w:spacing w:after="0" w:line="271" w:lineRule="auto"/>
        <w:rPr>
          <w:sz w:val="20"/>
          <w:szCs w:val="20"/>
          <w:color w:val="auto"/>
        </w:rPr>
      </w:pPr>
      <w:r>
        <w:rPr>
          <w:rFonts w:ascii="Times New Roman" w:cs="Times New Roman" w:eastAsia="Times New Roman" w:hAnsi="Times New Roman"/>
          <w:sz w:val="22"/>
          <w:szCs w:val="22"/>
          <w:color w:val="auto"/>
        </w:rPr>
        <w:t>permitted by, and practicable under, the Depositary Procedures) be computed based on the total principal amount of Notes Converted on such Conversion Date by such Holder.</w:t>
      </w:r>
    </w:p>
    <w:p>
      <w:pPr>
        <w:spacing w:after="0" w:line="154" w:lineRule="exact"/>
        <w:rPr>
          <w:sz w:val="20"/>
          <w:szCs w:val="20"/>
          <w:color w:val="auto"/>
        </w:rPr>
      </w:pPr>
    </w:p>
    <w:p>
      <w:pPr>
        <w:jc w:val="both"/>
        <w:ind w:left="660" w:firstLine="644"/>
        <w:spacing w:after="0" w:line="254" w:lineRule="auto"/>
        <w:tabs>
          <w:tab w:leader="none" w:pos="186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Calculation of Conversion Consideration</w:t>
      </w:r>
      <w:r>
        <w:rPr>
          <w:rFonts w:ascii="Times New Roman" w:cs="Times New Roman" w:eastAsia="Times New Roman" w:hAnsi="Times New Roman"/>
          <w:sz w:val="22"/>
          <w:szCs w:val="22"/>
          <w:color w:val="auto"/>
        </w:rPr>
        <w:t>. If any Note is to be Converted, then the Company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nor the Conversion Agent will have any duty to make any such determination.</w:t>
      </w:r>
    </w:p>
    <w:p>
      <w:pPr>
        <w:spacing w:after="0" w:line="173" w:lineRule="exact"/>
        <w:rPr>
          <w:rFonts w:ascii="Times New Roman" w:cs="Times New Roman" w:eastAsia="Times New Roman" w:hAnsi="Times New Roman"/>
          <w:sz w:val="22"/>
          <w:szCs w:val="22"/>
          <w:color w:val="auto"/>
        </w:rPr>
      </w:pPr>
    </w:p>
    <w:p>
      <w:pPr>
        <w:jc w:val="both"/>
        <w:ind w:firstLine="656"/>
        <w:spacing w:after="0" w:line="265" w:lineRule="auto"/>
        <w:tabs>
          <w:tab w:leader="none" w:pos="117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the Conversion Consideration</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5.05(D)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5.09</w:t>
      </w:r>
      <w:r>
        <w:rPr>
          <w:rFonts w:ascii="Times New Roman" w:cs="Times New Roman" w:eastAsia="Times New Roman" w:hAnsi="Times New Roman"/>
          <w:sz w:val="22"/>
          <w:szCs w:val="22"/>
          <w:color w:val="auto"/>
        </w:rPr>
        <w:t>, the Company will pay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deliver, as applicable, the Conversion Consideration due upon the Conversion of any Note to the Holder on the second (2nd) Business Day immediately after the last VWAP Trading Day of the Observation Period for such Conversion.</w:t>
      </w:r>
    </w:p>
    <w:p>
      <w:pPr>
        <w:spacing w:after="0" w:line="161" w:lineRule="exact"/>
        <w:rPr>
          <w:rFonts w:ascii="Times New Roman" w:cs="Times New Roman" w:eastAsia="Times New Roman" w:hAnsi="Times New Roman"/>
          <w:sz w:val="22"/>
          <w:szCs w:val="22"/>
          <w:color w:val="auto"/>
        </w:rPr>
      </w:pPr>
    </w:p>
    <w:p>
      <w:pPr>
        <w:jc w:val="both"/>
        <w:ind w:firstLine="656"/>
        <w:spacing w:after="0" w:line="249" w:lineRule="auto"/>
        <w:tabs>
          <w:tab w:leader="none" w:pos="11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Deemed Payment of Principal and Interest; Settlement of Accrued Interest Notwithstanding Conversion</w:t>
      </w:r>
      <w:r>
        <w:rPr>
          <w:rFonts w:ascii="Times New Roman" w:cs="Times New Roman" w:eastAsia="Times New Roman" w:hAnsi="Times New Roman"/>
          <w:sz w:val="22"/>
          <w:szCs w:val="22"/>
          <w:color w:val="auto"/>
        </w:rPr>
        <w:t>. If a Holder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Converts a Note, then the Company will not adjust the Conversion Rate to account for any accrued and unpaid Special Interest or Additional Interest on such Note, and, except as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the Company’s delivery of the Conversion Consideration due in respect of such Conversion will be deemed to fully satisfy and discharge the Company’s obligation to pay the principal of, and accrued and unpaid Special Interest and Additional Interest, if any, on, such Note to, but excluding the Conversion Date. As a result, except as provided in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xml:space="preserve">, any accrued and unpaid Special Interest and Additional Interest, if any, on a Converted Note will be deemed to be paid in full rather than cancelled, extinguished or forfeited. In addition, subject to </w:t>
      </w:r>
      <w:r>
        <w:rPr>
          <w:rFonts w:ascii="Times New Roman" w:cs="Times New Roman" w:eastAsia="Times New Roman" w:hAnsi="Times New Roman"/>
          <w:sz w:val="22"/>
          <w:szCs w:val="22"/>
          <w:b w:val="1"/>
          <w:bCs w:val="1"/>
          <w:color w:val="auto"/>
        </w:rPr>
        <w:t>Section 5.02(D)</w:t>
      </w:r>
      <w:r>
        <w:rPr>
          <w:rFonts w:ascii="Times New Roman" w:cs="Times New Roman" w:eastAsia="Times New Roman" w:hAnsi="Times New Roman"/>
          <w:sz w:val="22"/>
          <w:szCs w:val="22"/>
          <w:color w:val="auto"/>
        </w:rPr>
        <w:t>, if the Conversion Consideration for a Note consists of both cash and shares of Common Stock, then the accrued and unpaid Special Interest and Additional Interest, if any, that is deemed to be paid therewith will be deemed to be paid first out of such cash.</w:t>
      </w:r>
    </w:p>
    <w:p>
      <w:pPr>
        <w:spacing w:after="0" w:line="18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5.04.</w:t>
      </w:r>
      <w:r>
        <w:rPr>
          <w:sz w:val="20"/>
          <w:szCs w:val="20"/>
          <w:color w:val="auto"/>
        </w:rPr>
        <w:tab/>
      </w:r>
      <w:r>
        <w:rPr>
          <w:rFonts w:ascii="Times New Roman" w:cs="Times New Roman" w:eastAsia="Times New Roman" w:hAnsi="Times New Roman"/>
          <w:sz w:val="21"/>
          <w:szCs w:val="21"/>
          <w:b w:val="1"/>
          <w:bCs w:val="1"/>
          <w:color w:val="auto"/>
        </w:rPr>
        <w:t>Reserve and Status of Common Stock Issued Upon Conversion.</w:t>
      </w:r>
    </w:p>
    <w:p>
      <w:pPr>
        <w:spacing w:after="0" w:line="220" w:lineRule="exact"/>
        <w:rPr>
          <w:sz w:val="20"/>
          <w:szCs w:val="20"/>
          <w:color w:val="auto"/>
        </w:rPr>
      </w:pPr>
    </w:p>
    <w:p>
      <w:pPr>
        <w:jc w:val="both"/>
        <w:ind w:firstLine="656"/>
        <w:spacing w:after="0" w:line="264" w:lineRule="auto"/>
        <w:tabs>
          <w:tab w:leader="none" w:pos="116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Reserve</w:t>
      </w:r>
      <w:r>
        <w:rPr>
          <w:rFonts w:ascii="Times New Roman" w:cs="Times New Roman" w:eastAsia="Times New Roman" w:hAnsi="Times New Roman"/>
          <w:sz w:val="21"/>
          <w:szCs w:val="21"/>
          <w:color w:val="auto"/>
        </w:rPr>
        <w:t>. At all times when any Notes are outstanding, the Company will reserve (out of its authorized and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outstanding shares of Common Stock that are not reserved for other purposes) a number of shares of Common Stock equal to the product of (i) the aggregate principal amount (expressed in thousands) of all then-outstanding Notes; and (ii) the Conversion Rate then in effect (assuming, for these purposes, that the Conversion Rate is increased by the maximum amount pursuant to which the Conversion Rate may be increased pursuant to </w:t>
      </w:r>
      <w:r>
        <w:rPr>
          <w:rFonts w:ascii="Times New Roman" w:cs="Times New Roman" w:eastAsia="Times New Roman" w:hAnsi="Times New Roman"/>
          <w:sz w:val="21"/>
          <w:szCs w:val="21"/>
          <w:b w:val="1"/>
          <w:bCs w:val="1"/>
          <w:color w:val="auto"/>
        </w:rPr>
        <w:t>Section 5.07</w:t>
      </w:r>
      <w:r>
        <w:rPr>
          <w:rFonts w:ascii="Times New Roman" w:cs="Times New Roman" w:eastAsia="Times New Roman" w:hAnsi="Times New Roman"/>
          <w:sz w:val="21"/>
          <w:szCs w:val="21"/>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21"/>
          <w:szCs w:val="21"/>
          <w:color w:val="auto"/>
        </w:rPr>
      </w:pPr>
    </w:p>
    <w:p>
      <w:pPr>
        <w:jc w:val="both"/>
        <w:ind w:firstLine="656"/>
        <w:spacing w:after="0" w:line="265" w:lineRule="auto"/>
        <w:tabs>
          <w:tab w:leader="none" w:pos="115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Conversion Shares; Listing</w:t>
      </w:r>
      <w:r>
        <w:rPr>
          <w:rFonts w:ascii="Times New Roman" w:cs="Times New Roman" w:eastAsia="Times New Roman" w:hAnsi="Times New Roman"/>
          <w:sz w:val="22"/>
          <w:szCs w:val="22"/>
          <w:color w:val="auto"/>
        </w:rPr>
        <w:t>. Each Conversion Share, if any, delivered upon Conversion of any Note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 newly issued or treasury share (except that any Conversion Share delivered by a designated financial institution pursuant to </w:t>
      </w:r>
      <w:r>
        <w:rPr>
          <w:rFonts w:ascii="Times New Roman" w:cs="Times New Roman" w:eastAsia="Times New Roman" w:hAnsi="Times New Roman"/>
          <w:sz w:val="22"/>
          <w:szCs w:val="22"/>
          <w:b w:val="1"/>
          <w:bCs w:val="1"/>
          <w:color w:val="auto"/>
        </w:rPr>
        <w:t xml:space="preserve">Section 5.08 </w:t>
      </w:r>
      <w:r>
        <w:rPr>
          <w:rFonts w:ascii="Times New Roman" w:cs="Times New Roman" w:eastAsia="Times New Roman" w:hAnsi="Times New Roman"/>
          <w:sz w:val="22"/>
          <w:szCs w:val="22"/>
          <w:color w:val="auto"/>
        </w:rPr>
        <w:t>need not be a newly issued or treasury share) and will be duly authorized, validly issued, fully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64" w:name="page65"/>
    <w:bookmarkEnd w:id="64"/>
    <w:p>
      <w:pPr>
        <w:jc w:val="both"/>
        <w:spacing w:after="0" w:line="253" w:lineRule="auto"/>
        <w:rPr>
          <w:sz w:val="20"/>
          <w:szCs w:val="20"/>
          <w:color w:val="auto"/>
        </w:rPr>
      </w:pPr>
      <w:r>
        <w:rPr>
          <w:rFonts w:ascii="Times New Roman" w:cs="Times New Roman" w:eastAsia="Times New Roman" w:hAnsi="Times New Roman"/>
          <w:sz w:val="22"/>
          <w:szCs w:val="22"/>
          <w:color w:val="auto"/>
        </w:rPr>
        <w:t>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17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5.05.</w:t>
      </w:r>
      <w:r>
        <w:rPr>
          <w:sz w:val="20"/>
          <w:szCs w:val="20"/>
          <w:color w:val="auto"/>
        </w:rPr>
        <w:tab/>
      </w:r>
      <w:r>
        <w:rPr>
          <w:rFonts w:ascii="Times New Roman" w:cs="Times New Roman" w:eastAsia="Times New Roman" w:hAnsi="Times New Roman"/>
          <w:sz w:val="21"/>
          <w:szCs w:val="21"/>
          <w:b w:val="1"/>
          <w:bCs w:val="1"/>
          <w:color w:val="auto"/>
        </w:rPr>
        <w:t>Adjustments to the Conversion Rate.</w:t>
      </w:r>
    </w:p>
    <w:p>
      <w:pPr>
        <w:spacing w:after="0" w:line="220" w:lineRule="exact"/>
        <w:rPr>
          <w:sz w:val="20"/>
          <w:szCs w:val="20"/>
          <w:color w:val="auto"/>
        </w:rPr>
      </w:pPr>
    </w:p>
    <w:p>
      <w:pPr>
        <w:ind w:left="1180" w:hanging="524"/>
        <w:spacing w:after="0"/>
        <w:tabs>
          <w:tab w:leader="none" w:pos="11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Events Requiring an Adjustment to the Conversion Rate</w:t>
      </w:r>
      <w:r>
        <w:rPr>
          <w:rFonts w:ascii="Times New Roman" w:cs="Times New Roman" w:eastAsia="Times New Roman" w:hAnsi="Times New Roman"/>
          <w:sz w:val="21"/>
          <w:szCs w:val="21"/>
          <w:color w:val="auto"/>
        </w:rPr>
        <w:t>. The Conversion Rate will be adjusted from time to time as</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205" w:lineRule="exact"/>
        <w:rPr>
          <w:rFonts w:ascii="Times New Roman" w:cs="Times New Roman" w:eastAsia="Times New Roman" w:hAnsi="Times New Roman"/>
          <w:sz w:val="21"/>
          <w:szCs w:val="21"/>
          <w:color w:val="auto"/>
        </w:rPr>
      </w:pPr>
    </w:p>
    <w:p>
      <w:pPr>
        <w:jc w:val="both"/>
        <w:ind w:left="660" w:firstLine="644"/>
        <w:spacing w:after="0" w:line="269" w:lineRule="auto"/>
        <w:tabs>
          <w:tab w:leader="none" w:pos="1863"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Stock Dividends, Splits and Combinations</w:t>
      </w:r>
      <w:r>
        <w:rPr>
          <w:rFonts w:ascii="Times New Roman" w:cs="Times New Roman" w:eastAsia="Times New Roman" w:hAnsi="Times New Roman"/>
          <w:sz w:val="21"/>
          <w:szCs w:val="21"/>
          <w:color w:val="auto"/>
        </w:rPr>
        <w:t>. If the Company issues solely shares of Common Stock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112395</wp:posOffset>
            </wp:positionV>
            <wp:extent cx="101155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422" w:right="339" w:bottom="1440" w:gutter="0" w:footer="0" w:header="0"/>
        </w:sectPr>
      </w:pP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hanging="215"/>
        <w:spacing w:after="0" w:line="257" w:lineRule="auto"/>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 dividend or distribution, or immediately before the Open of Business on the effective date of such stock split or stock combination, as applicable;</w:t>
      </w:r>
    </w:p>
    <w:p>
      <w:pPr>
        <w:spacing w:after="0" w:line="200" w:lineRule="exact"/>
        <w:rPr>
          <w:sz w:val="20"/>
          <w:szCs w:val="20"/>
          <w:color w:val="auto"/>
        </w:rPr>
      </w:pPr>
    </w:p>
    <w:p>
      <w:pPr>
        <w:sectPr>
          <w:pgSz w:w="11900" w:h="16838" w:orient="portrait"/>
          <w:cols w:equalWidth="0" w:num="3">
            <w:col w:w="1000" w:space="300"/>
            <w:col w:w="120" w:space="540"/>
            <w:col w:w="9280"/>
          </w:cols>
          <w:pgMar w:left="320" w:top="1422" w:right="339"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301"/>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after the Open of Business on such Ex-Dividend Date or effective date, as applicable;</w:t>
      </w:r>
    </w:p>
    <w:p>
      <w:pPr>
        <w:spacing w:after="0" w:line="181" w:lineRule="exact"/>
        <w:rPr>
          <w:sz w:val="20"/>
          <w:szCs w:val="20"/>
          <w:color w:val="auto"/>
        </w:rPr>
      </w:pPr>
    </w:p>
    <w:p>
      <w:pPr>
        <w:sectPr>
          <w:pgSz w:w="11900" w:h="16838" w:orient="portrait"/>
          <w:cols w:equalWidth="0" w:num="3">
            <w:col w:w="1000" w:space="260"/>
            <w:col w:w="120" w:space="580"/>
            <w:col w:w="9280"/>
          </w:cols>
          <w:pgMar w:left="320" w:top="142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both"/>
        <w:ind w:hanging="254"/>
        <w:spacing w:after="0" w:line="257"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before the Open of Business on such Ex-Dividend Date or effective date, as applicable, without giving effect to such dividend, distribution, stock split or stock combination; and</w:t>
      </w:r>
    </w:p>
    <w:p>
      <w:pPr>
        <w:spacing w:after="0" w:line="200" w:lineRule="exact"/>
        <w:rPr>
          <w:sz w:val="20"/>
          <w:szCs w:val="20"/>
          <w:color w:val="auto"/>
        </w:rPr>
      </w:pPr>
    </w:p>
    <w:p>
      <w:pPr>
        <w:sectPr>
          <w:pgSz w:w="11900" w:h="16838" w:orient="portrait"/>
          <w:cols w:equalWidth="0" w:num="3">
            <w:col w:w="1000" w:space="280"/>
            <w:col w:w="120" w:space="560"/>
            <w:col w:w="9280"/>
          </w:cols>
          <w:pgMar w:left="320" w:top="1422" w:right="339" w:bottom="1440" w:gutter="0" w:footer="0" w:header="0"/>
          <w:type w:val="continuous"/>
        </w:sectPr>
      </w:pP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73"/>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after giving effect to such dividend, distribution, stock split or stock combination.</w:t>
      </w:r>
    </w:p>
    <w:p>
      <w:pPr>
        <w:spacing w:after="0" w:line="181" w:lineRule="exact"/>
        <w:rPr>
          <w:sz w:val="20"/>
          <w:szCs w:val="20"/>
          <w:color w:val="auto"/>
        </w:rPr>
      </w:pPr>
    </w:p>
    <w:p>
      <w:pPr>
        <w:sectPr>
          <w:pgSz w:w="11900" w:h="16838" w:orient="portrait"/>
          <w:cols w:equalWidth="0" w:num="3">
            <w:col w:w="1000" w:space="380"/>
            <w:col w:w="120" w:space="460"/>
            <w:col w:w="9280"/>
          </w:cols>
          <w:pgMar w:left="320" w:top="1422" w:right="339" w:bottom="1440" w:gutter="0" w:footer="0" w:header="0"/>
          <w:type w:val="continuous"/>
        </w:sectPr>
      </w:pPr>
    </w:p>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 xml:space="preserve">If any dividend, distribution, stock split or stock combination of the type described in this </w:t>
      </w:r>
      <w:r>
        <w:rPr>
          <w:rFonts w:ascii="Times New Roman" w:cs="Times New Roman" w:eastAsia="Times New Roman" w:hAnsi="Times New Roman"/>
          <w:sz w:val="22"/>
          <w:szCs w:val="22"/>
          <w:b w:val="1"/>
          <w:bCs w:val="1"/>
          <w:color w:val="auto"/>
        </w:rPr>
        <w:t>Section 5.05(A)(i)</w:t>
      </w:r>
      <w:r>
        <w:rPr>
          <w:rFonts w:ascii="Times New Roman" w:cs="Times New Roman" w:eastAsia="Times New Roman" w:hAnsi="Times New Roman"/>
          <w:sz w:val="22"/>
          <w:szCs w:val="22"/>
          <w:color w:val="auto"/>
        </w:rPr>
        <w:t xml:space="preserve"> is declared or announced, but not so paid or made, then the Conversion Rate will be readjusted, effective as of the date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type w:val="continuous"/>
        </w:sectPr>
      </w:pPr>
    </w:p>
    <w:bookmarkStart w:id="65" w:name="page66"/>
    <w:bookmarkEnd w:id="65"/>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209" w:lineRule="exact"/>
        <w:rPr>
          <w:sz w:val="20"/>
          <w:szCs w:val="20"/>
          <w:color w:val="auto"/>
        </w:rPr>
      </w:pPr>
    </w:p>
    <w:p>
      <w:pPr>
        <w:jc w:val="both"/>
        <w:ind w:left="4" w:firstLine="644"/>
        <w:spacing w:after="0" w:line="250" w:lineRule="auto"/>
        <w:tabs>
          <w:tab w:leader="none" w:pos="122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Options and Warrants</w:t>
      </w:r>
      <w:r>
        <w:rPr>
          <w:rFonts w:ascii="Times New Roman" w:cs="Times New Roman" w:eastAsia="Times New Roman" w:hAnsi="Times New Roman"/>
          <w:sz w:val="22"/>
          <w:szCs w:val="22"/>
          <w:color w:val="auto"/>
        </w:rPr>
        <w:t>. If the Company distributes, to all or substantially all holders of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Stock, rights, options or warrants (other than rights issued or otherwise distributed pursuant to a stockholder rights plan, as to which </w:t>
      </w:r>
      <w:r>
        <w:rPr>
          <w:rFonts w:ascii="Times New Roman" w:cs="Times New Roman" w:eastAsia="Times New Roman" w:hAnsi="Times New Roman"/>
          <w:sz w:val="22"/>
          <w:szCs w:val="22"/>
          <w:b w:val="1"/>
          <w:bCs w:val="1"/>
          <w:color w:val="auto"/>
        </w:rPr>
        <w:t>Sections 5.05(A)(iii)(1)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5.05(F)</w:t>
      </w:r>
      <w:r>
        <w:rPr>
          <w:rFonts w:ascii="Times New Roman" w:cs="Times New Roman" w:eastAsia="Times New Roman" w:hAnsi="Times New Roman"/>
          <w:sz w:val="22"/>
          <w:szCs w:val="22"/>
          <w:color w:val="auto"/>
        </w:rPr>
        <w:t xml:space="preserve"> will apply) entitling such holders,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125730</wp:posOffset>
            </wp:positionV>
            <wp:extent cx="113982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98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4"/>
          </w:cols>
          <w:pgMar w:left="976" w:top="1422" w:right="339" w:bottom="1440" w:gutter="0" w:footer="0" w:header="0"/>
        </w:sectPr>
      </w:pP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hanging="215"/>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 distribution;</w:t>
      </w:r>
    </w:p>
    <w:p>
      <w:pPr>
        <w:spacing w:after="0" w:line="181" w:lineRule="exact"/>
        <w:rPr>
          <w:sz w:val="20"/>
          <w:szCs w:val="20"/>
          <w:color w:val="auto"/>
        </w:rPr>
      </w:pPr>
    </w:p>
    <w:p>
      <w:pPr>
        <w:sectPr>
          <w:pgSz w:w="11900" w:h="16838" w:orient="portrait"/>
          <w:cols w:equalWidth="0" w:num="3">
            <w:col w:w="344" w:space="300"/>
            <w:col w:w="120" w:space="540"/>
            <w:col w:w="9280"/>
          </w:cols>
          <w:pgMar w:left="976" w:top="1422" w:right="3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3">
            <w:col w:w="344" w:space="220"/>
            <w:col w:w="120" w:space="220"/>
            <w:col w:w="9680"/>
          </w:cols>
          <w:pgMar w:left="976" w:top="1422" w:right="339" w:bottom="144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i w:val="1"/>
          <w:iCs w:val="1"/>
          <w:color w:val="auto"/>
        </w:rPr>
        <w:t>OS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hanging="725"/>
        <w:spacing w:after="0" w:line="271"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shares of Common Stock outstanding immediately before the Open of Business on such Ex-Dividend Date;</w:t>
      </w:r>
    </w:p>
    <w:p>
      <w:pPr>
        <w:spacing w:after="0" w:line="198" w:lineRule="exact"/>
        <w:rPr>
          <w:sz w:val="20"/>
          <w:szCs w:val="20"/>
          <w:color w:val="auto"/>
        </w:rPr>
      </w:pPr>
    </w:p>
    <w:p>
      <w:pPr>
        <w:sectPr>
          <w:pgSz w:w="11900" w:h="16838" w:orient="portrait"/>
          <w:cols w:equalWidth="0" w:num="2">
            <w:col w:w="284" w:space="720"/>
            <w:col w:w="9580"/>
          </w:cols>
          <w:pgMar w:left="976" w:top="1422" w:right="339" w:bottom="1440" w:gutter="0" w:footer="0" w:header="0"/>
          <w:type w:val="continuous"/>
        </w:sectPr>
      </w:pPr>
    </w:p>
    <w:p>
      <w:pPr>
        <w:ind w:left="344" w:hanging="344"/>
        <w:spacing w:after="0"/>
        <w:tabs>
          <w:tab w:leader="none" w:pos="344" w:val="left"/>
        </w:tabs>
        <w:numPr>
          <w:ilvl w:val="0"/>
          <w:numId w:val="8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total number of shares of Common Stock issuable pursuant to such rights, options or warrants; and</w:t>
      </w:r>
    </w:p>
    <w:p>
      <w:pPr>
        <w:spacing w:after="0" w:line="247" w:lineRule="exact"/>
        <w:rPr>
          <w:sz w:val="20"/>
          <w:szCs w:val="20"/>
          <w:color w:val="auto"/>
        </w:rPr>
      </w:pPr>
    </w:p>
    <w:p>
      <w:pPr>
        <w:ind w:left="1304" w:hanging="1304"/>
        <w:spacing w:after="0" w:line="252" w:lineRule="auto"/>
        <w:tabs>
          <w:tab w:leader="none" w:pos="348" w:val="left"/>
        </w:tabs>
        <w:numPr>
          <w:ilvl w:val="0"/>
          <w:numId w:val="8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220"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22"/>
          <w:szCs w:val="22"/>
          <w:color w:val="auto"/>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0584"/>
          </w:cols>
          <w:pgMar w:left="976" w:top="1422" w:right="339" w:bottom="1440" w:gutter="0" w:footer="0" w:header="0"/>
          <w:type w:val="continuous"/>
        </w:sectPr>
      </w:pPr>
    </w:p>
    <w:bookmarkStart w:id="66" w:name="page67"/>
    <w:bookmarkEnd w:id="66"/>
    <w:p>
      <w:pPr>
        <w:jc w:val="both"/>
        <w:spacing w:after="0" w:line="271" w:lineRule="auto"/>
        <w:rPr>
          <w:sz w:val="20"/>
          <w:szCs w:val="20"/>
          <w:color w:val="auto"/>
        </w:rPr>
      </w:pPr>
      <w:r>
        <w:rPr>
          <w:rFonts w:ascii="Times New Roman" w:cs="Times New Roman" w:eastAsia="Times New Roman" w:hAnsi="Times New Roman"/>
          <w:sz w:val="22"/>
          <w:szCs w:val="22"/>
          <w:color w:val="auto"/>
        </w:rPr>
        <w:t>had the increase to the Conversion Rate for such distribution been made on the basis of delivery of only the number of shares of Common Stock actually delivered upon exercise of such rights, options or warrants.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b w:val="1"/>
          <w:bCs w:val="1"/>
          <w:color w:val="auto"/>
        </w:rPr>
        <w:t>Section 5.05(A)(ii)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5.01(C)(i)(3)(a)(I)</w:t>
      </w:r>
      <w:r>
        <w:rPr>
          <w:rFonts w:ascii="Times New Roman" w:cs="Times New Roman" w:eastAsia="Times New Roman" w:hAnsi="Times New Roman"/>
          <w:sz w:val="22"/>
          <w:szCs w:val="22"/>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 and in a commercially reasonable manner.</w:t>
      </w:r>
    </w:p>
    <w:p>
      <w:pPr>
        <w:spacing w:after="0" w:line="205" w:lineRule="exact"/>
        <w:rPr>
          <w:sz w:val="20"/>
          <w:szCs w:val="20"/>
          <w:color w:val="auto"/>
        </w:rPr>
      </w:pPr>
    </w:p>
    <w:p>
      <w:pPr>
        <w:ind w:left="1180" w:hanging="536"/>
        <w:spacing w:after="0"/>
        <w:tabs>
          <w:tab w:leader="none" w:pos="11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 and Other Distributed Property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77" w:lineRule="auto"/>
        <w:tabs>
          <w:tab w:leader="none" w:pos="178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Distributions Other than Spin-Offs</w:t>
      </w:r>
      <w:r>
        <w:rPr>
          <w:rFonts w:ascii="Times New Roman" w:cs="Times New Roman" w:eastAsia="Times New Roman" w:hAnsi="Times New Roman"/>
          <w:sz w:val="21"/>
          <w:szCs w:val="21"/>
          <w:color w:val="auto"/>
        </w:rPr>
        <w:t>. If the Company distributes shares of its Capital Stock, evidences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its indebtedness or other assets or property of the Company, or rights, options or warrants to acquire Capital Stock of the Company or other securities, to all or substantially all holders of the Common Stock, excluding:</w:t>
      </w:r>
    </w:p>
    <w:p>
      <w:pPr>
        <w:spacing w:after="0" w:line="166" w:lineRule="exact"/>
        <w:rPr>
          <w:rFonts w:ascii="Times New Roman" w:cs="Times New Roman" w:eastAsia="Times New Roman" w:hAnsi="Times New Roman"/>
          <w:sz w:val="21"/>
          <w:szCs w:val="21"/>
          <w:color w:val="auto"/>
        </w:rPr>
      </w:pPr>
    </w:p>
    <w:p>
      <w:pPr>
        <w:jc w:val="both"/>
        <w:ind w:left="1300" w:firstLine="640"/>
        <w:spacing w:after="0" w:line="257" w:lineRule="auto"/>
        <w:tabs>
          <w:tab w:leader="none" w:pos="2423"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distributions, rights, options or warrants for which an adjustment to the Conversion Rate is required (or would be required without regard to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5.05(A)(i)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5.05(A)(ii)</w:t>
      </w:r>
      <w:r>
        <w:rPr>
          <w:rFonts w:ascii="Times New Roman" w:cs="Times New Roman" w:eastAsia="Times New Roman" w:hAnsi="Times New Roman"/>
          <w:sz w:val="22"/>
          <w:szCs w:val="22"/>
          <w:color w:val="auto"/>
        </w:rPr>
        <w:t>;</w:t>
      </w:r>
    </w:p>
    <w:p>
      <w:pPr>
        <w:spacing w:after="0" w:line="199" w:lineRule="exact"/>
        <w:rPr>
          <w:rFonts w:ascii="Times New Roman" w:cs="Times New Roman" w:eastAsia="Times New Roman" w:hAnsi="Times New Roman"/>
          <w:sz w:val="22"/>
          <w:szCs w:val="22"/>
          <w:color w:val="auto"/>
        </w:rPr>
      </w:pPr>
    </w:p>
    <w:p>
      <w:pPr>
        <w:jc w:val="both"/>
        <w:ind w:left="1300" w:firstLine="640"/>
        <w:spacing w:after="0" w:line="263" w:lineRule="auto"/>
        <w:tabs>
          <w:tab w:leader="none" w:pos="2438"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dividends or distributions paid exclusively in cash for which an adjustment to the Conversion Rate is required (or would be required assuming the Dividend Threshold were zero and without regard to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pursuant to</w:t>
      </w:r>
      <w:r>
        <w:rPr>
          <w:rFonts w:ascii="Times New Roman" w:cs="Times New Roman" w:eastAsia="Times New Roman" w:hAnsi="Times New Roman"/>
          <w:sz w:val="22"/>
          <w:szCs w:val="22"/>
          <w:b w:val="1"/>
          <w:bCs w:val="1"/>
          <w:color w:val="auto"/>
        </w:rPr>
        <w:t xml:space="preserve"> Section 5.05(A)(iv)</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left="1300" w:firstLine="640"/>
        <w:spacing w:after="0" w:line="271" w:lineRule="auto"/>
        <w:tabs>
          <w:tab w:leader="none" w:pos="2585"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rights issued or otherwise distributed pursuant to a stockholder rights plan, except to the extent provided in </w:t>
      </w:r>
      <w:r>
        <w:rPr>
          <w:rFonts w:ascii="Times New Roman" w:cs="Times New Roman" w:eastAsia="Times New Roman" w:hAnsi="Times New Roman"/>
          <w:sz w:val="22"/>
          <w:szCs w:val="22"/>
          <w:b w:val="1"/>
          <w:bCs w:val="1"/>
          <w:color w:val="auto"/>
        </w:rPr>
        <w:t>Section 5.05(F)</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ind w:left="1300" w:firstLine="640"/>
        <w:spacing w:after="0" w:line="271" w:lineRule="auto"/>
        <w:tabs>
          <w:tab w:leader="none" w:pos="2467"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Spin-Offs for which an adjustment to the Conversion Rate is required (or would be required without regard to </w:t>
      </w:r>
      <w:r>
        <w:rPr>
          <w:rFonts w:ascii="Times New Roman" w:cs="Times New Roman" w:eastAsia="Times New Roman" w:hAnsi="Times New Roman"/>
          <w:sz w:val="22"/>
          <w:szCs w:val="22"/>
          <w:b w:val="1"/>
          <w:bCs w:val="1"/>
          <w:color w:val="auto"/>
        </w:rPr>
        <w:t>Section 5.05(C)</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left="1300" w:firstLine="640"/>
        <w:spacing w:after="0" w:line="271" w:lineRule="auto"/>
        <w:tabs>
          <w:tab w:leader="none" w:pos="2427" w:val="left"/>
        </w:tabs>
        <w:numPr>
          <w:ilvl w:val="2"/>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tender offer or exchange offer for shares of Common Stock, as to which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xml:space="preserve"> will apply;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580"/>
          </w:cols>
          <w:pgMar w:left="980" w:top="1422" w:right="339" w:bottom="1440" w:gutter="0" w:footer="0" w:header="0"/>
        </w:sectPr>
      </w:pPr>
    </w:p>
    <w:bookmarkStart w:id="67" w:name="page68"/>
    <w:bookmarkEnd w:id="67"/>
    <w:p>
      <w:pPr>
        <w:ind w:left="2020" w:hanging="540"/>
        <w:spacing w:after="0"/>
        <w:tabs>
          <w:tab w:leader="none" w:pos="20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distribution solely pursuant to a Common Stock Change Event, as to which </w:t>
      </w:r>
      <w:r>
        <w:rPr>
          <w:rFonts w:ascii="Times New Roman" w:cs="Times New Roman" w:eastAsia="Times New Roman" w:hAnsi="Times New Roman"/>
          <w:sz w:val="22"/>
          <w:szCs w:val="22"/>
          <w:b w:val="1"/>
          <w:bCs w:val="1"/>
          <w:color w:val="auto"/>
        </w:rPr>
        <w:t>Section 5.09</w:t>
      </w:r>
    </w:p>
    <w:p>
      <w:pPr>
        <w:spacing w:after="0" w:line="31"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apply,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156845</wp:posOffset>
            </wp:positionV>
            <wp:extent cx="132016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18" w:right="339" w:bottom="1440" w:gutter="0" w:footer="0" w:header="0"/>
        </w:sectPr>
      </w:pP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0" w:hanging="278"/>
        <w:spacing w:after="0" w:line="284" w:lineRule="auto"/>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 distribution;</w:t>
      </w:r>
    </w:p>
    <w:p>
      <w:pPr>
        <w:spacing w:after="0" w:line="167" w:lineRule="exact"/>
        <w:rPr>
          <w:sz w:val="20"/>
          <w:szCs w:val="20"/>
          <w:color w:val="auto"/>
        </w:rPr>
      </w:pPr>
    </w:p>
    <w:p>
      <w:pPr>
        <w:sectPr>
          <w:pgSz w:w="11900" w:h="16838" w:orient="portrait"/>
          <w:cols w:equalWidth="0" w:num="3">
            <w:col w:w="540" w:space="260"/>
            <w:col w:w="120" w:space="56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7" w:lineRule="exact"/>
        <w:rPr>
          <w:sz w:val="20"/>
          <w:szCs w:val="20"/>
          <w:color w:val="auto"/>
        </w:rPr>
      </w:pPr>
    </w:p>
    <w:p>
      <w:pPr>
        <w:sectPr>
          <w:pgSz w:w="11900" w:h="16838" w:orient="portrait"/>
          <w:cols w:equalWidth="0" w:num="3">
            <w:col w:w="540" w:space="200"/>
            <w:col w:w="120" w:space="220"/>
            <w:col w:w="9040"/>
          </w:cols>
          <w:pgMar w:left="1440" w:top="1418" w:right="339" w:bottom="1440" w:gutter="0" w:footer="0" w:header="0"/>
          <w:type w:val="continuous"/>
        </w:sectPr>
      </w:pPr>
    </w:p>
    <w:p>
      <w:pPr>
        <w:spacing w:after="0" w:line="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ind w:hanging="372"/>
        <w:spacing w:after="0" w:line="257" w:lineRule="auto"/>
        <w:rPr>
          <w:sz w:val="20"/>
          <w:szCs w:val="20"/>
          <w:color w:val="auto"/>
        </w:rPr>
      </w:pPr>
      <w:r>
        <w:rPr>
          <w:rFonts w:ascii="Times New Roman" w:cs="Times New Roman" w:eastAsia="Times New Roman" w:hAnsi="Times New Roman"/>
          <w:sz w:val="22"/>
          <w:szCs w:val="22"/>
          <w:color w:val="auto"/>
        </w:rPr>
        <w:t>the average of the Last Reported Sale Prices per share of Common Stock for the ten (10) consecutive Trading Days ending on, and including, the Trading Day immediately before such Ex-Dividend Date; and</w:t>
      </w:r>
    </w:p>
    <w:p>
      <w:pPr>
        <w:spacing w:after="0" w:line="200" w:lineRule="exact"/>
        <w:rPr>
          <w:sz w:val="20"/>
          <w:szCs w:val="20"/>
          <w:color w:val="auto"/>
        </w:rPr>
      </w:pPr>
    </w:p>
    <w:p>
      <w:pPr>
        <w:sectPr>
          <w:pgSz w:w="11900" w:h="16838" w:orient="portrait"/>
          <w:cols w:equalWidth="0" w:num="3">
            <w:col w:w="420" w:space="280"/>
            <w:col w:w="120" w:space="660"/>
            <w:col w:w="8640"/>
          </w:cols>
          <w:pgMar w:left="1440" w:top="1418" w:right="339" w:bottom="1440" w:gutter="0" w:footer="0" w:header="0"/>
          <w:type w:val="continuous"/>
        </w:sectPr>
      </w:pP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FMV</w:t>
      </w:r>
    </w:p>
    <w:p>
      <w:pPr>
        <w:spacing w:after="0" w:line="20" w:lineRule="exact"/>
        <w:rPr>
          <w:sz w:val="20"/>
          <w:szCs w:val="20"/>
          <w:color w:val="auto"/>
        </w:rPr>
      </w:pPr>
      <w:r>
        <w:rPr>
          <w:sz w:val="20"/>
          <w:szCs w:val="20"/>
          <w:color w:val="auto"/>
        </w:rPr>
        <w:br w:type="column"/>
      </w:r>
    </w:p>
    <w:p>
      <w:pPr>
        <w:jc w:val="both"/>
        <w:ind w:hanging="599"/>
        <w:spacing w:after="0" w:line="252"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fair market value (as determined by the Company in good faith and in a commercially reasonable manner), as of such Ex-Dividend Date, of the shares of Capital Stock, evidences of indebtedness, assets, property, rights, options or warrants distributed per share of Common Stock pursuant to such distribution;</w:t>
      </w:r>
    </w:p>
    <w:p>
      <w:pPr>
        <w:spacing w:after="0" w:line="200" w:lineRule="exact"/>
        <w:rPr>
          <w:sz w:val="20"/>
          <w:szCs w:val="20"/>
          <w:color w:val="auto"/>
        </w:rPr>
      </w:pPr>
    </w:p>
    <w:p>
      <w:pPr>
        <w:sectPr>
          <w:pgSz w:w="11900" w:h="16838" w:orient="portrait"/>
          <w:cols w:equalWidth="0" w:num="2">
            <w:col w:w="620" w:space="640"/>
            <w:col w:w="8860"/>
          </w:cols>
          <w:pgMar w:left="1440" w:top="1418" w:right="339" w:bottom="1440" w:gutter="0" w:footer="0" w:header="0"/>
          <w:type w:val="continuous"/>
        </w:sectPr>
      </w:pPr>
    </w:p>
    <w:p>
      <w:pPr>
        <w:spacing w:after="0" w:line="2"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w:t>
      </w:r>
      <w:r>
        <w:rPr>
          <w:rFonts w:ascii="Times New Roman" w:cs="Times New Roman" w:eastAsia="Times New Roman" w:hAnsi="Times New Roman"/>
          <w:sz w:val="22"/>
          <w:szCs w:val="22"/>
          <w:i w:val="1"/>
          <w:iCs w:val="1"/>
          <w:color w:val="auto"/>
        </w:rPr>
        <w:t xml:space="preserve"> FMV </w:t>
      </w:r>
      <w:r>
        <w:rPr>
          <w:rFonts w:ascii="Times New Roman" w:cs="Times New Roman" w:eastAsia="Times New Roman" w:hAnsi="Times New Roman"/>
          <w:sz w:val="22"/>
          <w:szCs w:val="22"/>
          <w:color w:val="auto"/>
        </w:rPr>
        <w:t>is equal to or greater than</w:t>
      </w:r>
      <w:r>
        <w:rPr>
          <w:rFonts w:ascii="Times New Roman" w:cs="Times New Roman" w:eastAsia="Times New Roman" w:hAnsi="Times New Roman"/>
          <w:sz w:val="22"/>
          <w:szCs w:val="22"/>
          <w:i w:val="1"/>
          <w:iCs w:val="1"/>
          <w:color w:val="auto"/>
        </w:rPr>
        <w:t xml:space="preserve"> SP</w:t>
      </w:r>
      <w:r>
        <w:rPr>
          <w:rFonts w:ascii="Times New Roman" w:cs="Times New Roman" w:eastAsia="Times New Roman" w:hAnsi="Times New Roman"/>
          <w:sz w:val="22"/>
          <w:szCs w:val="22"/>
          <w:color w:val="auto"/>
        </w:rPr>
        <w:t>, then, in lieu of the foregoing adjustment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Rate, each Holder will receive, for each $1,000 principal amount of Notes held by such Holder on the record date for such distribution, at the same time and on the same terms as holders of Common Stock, the amount and kind of shares of Capital Stock, evidences of indebtedness, assets, property, rights, options or warrants that such Holder would have received in such distribution if such Holder had owned, on such record date, a number of shares of Common Stock equal to the Conversion Rate in effect on such record date.</w:t>
      </w:r>
    </w:p>
    <w:p>
      <w:pPr>
        <w:spacing w:after="0" w:line="206"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22"/>
          <w:szCs w:val="22"/>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90" w:lineRule="exact"/>
        <w:rPr>
          <w:sz w:val="20"/>
          <w:szCs w:val="20"/>
          <w:color w:val="auto"/>
        </w:rPr>
      </w:pPr>
    </w:p>
    <w:p>
      <w:pPr>
        <w:jc w:val="both"/>
        <w:ind w:left="180" w:firstLine="652"/>
        <w:spacing w:after="0" w:line="258" w:lineRule="auto"/>
        <w:tabs>
          <w:tab w:leader="none" w:pos="133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Spin-Offs</w:t>
      </w:r>
      <w:r>
        <w:rPr>
          <w:rFonts w:ascii="Times New Roman" w:cs="Times New Roman" w:eastAsia="Times New Roman" w:hAnsi="Times New Roman"/>
          <w:sz w:val="22"/>
          <w:szCs w:val="22"/>
          <w:color w:val="auto"/>
        </w:rPr>
        <w:t>. If the Company distributes or dividends shares of Capital Stock of any class or series,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similar equity interests, 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will apply; or (y)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0120"/>
          </w:cols>
          <w:pgMar w:left="1440" w:top="1418" w:right="339" w:bottom="1440" w:gutter="0" w:footer="0" w:header="0"/>
          <w:type w:val="continuous"/>
        </w:sectPr>
      </w:pPr>
    </w:p>
    <w:bookmarkStart w:id="68" w:name="page69"/>
    <w:bookmarkEnd w:id="68"/>
    <w:p>
      <w:pPr>
        <w:jc w:val="both"/>
        <w:ind w:left="180"/>
        <w:spacing w:after="0" w:line="258" w:lineRule="auto"/>
        <w:rPr>
          <w:sz w:val="20"/>
          <w:szCs w:val="20"/>
          <w:color w:val="auto"/>
        </w:rPr>
      </w:pPr>
      <w:r>
        <w:rPr>
          <w:rFonts w:ascii="Times New Roman" w:cs="Times New Roman" w:eastAsia="Times New Roman" w:hAnsi="Times New Roman"/>
          <w:sz w:val="22"/>
          <w:szCs w:val="22"/>
          <w:color w:val="auto"/>
        </w:rPr>
        <w:t xml:space="preserve">tender offer or exchange offer for shares of Common Stock, as to which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118110</wp:posOffset>
            </wp:positionV>
            <wp:extent cx="132016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120"/>
          </w:cols>
          <w:pgMar w:left="1440" w:top="1418" w:right="339" w:bottom="1440" w:gutter="0" w:footer="0" w:header="0"/>
        </w:sectPr>
      </w:pP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hanging="330"/>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before the Close of Business on the last Trading Day of the Spin-Off Valuation Period for such Spin-Off;</w:t>
      </w:r>
    </w:p>
    <w:p>
      <w:pPr>
        <w:spacing w:after="0" w:line="181" w:lineRule="exact"/>
        <w:rPr>
          <w:sz w:val="20"/>
          <w:szCs w:val="20"/>
          <w:color w:val="auto"/>
        </w:rPr>
      </w:pPr>
    </w:p>
    <w:p>
      <w:pPr>
        <w:sectPr>
          <w:pgSz w:w="11900" w:h="16838" w:orient="portrait"/>
          <w:cols w:equalWidth="0" w:num="3">
            <w:col w:w="540" w:space="240"/>
            <w:col w:w="120" w:space="58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2"/>
          <w:szCs w:val="22"/>
          <w:i w:val="1"/>
          <w:iCs w:val="1"/>
          <w:color w:val="auto"/>
        </w:rPr>
        <w:t>CR</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279"/>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after the Close of Business on the last Trading Day of the Spin-Off Valuation Period;</w:t>
      </w:r>
    </w:p>
    <w:p>
      <w:pPr>
        <w:spacing w:after="0" w:line="181" w:lineRule="exact"/>
        <w:rPr>
          <w:sz w:val="20"/>
          <w:szCs w:val="20"/>
          <w:color w:val="auto"/>
        </w:rPr>
      </w:pPr>
    </w:p>
    <w:p>
      <w:pPr>
        <w:sectPr>
          <w:pgSz w:w="11900" w:h="16838" w:orient="portrait"/>
          <w:cols w:equalWidth="0" w:num="3">
            <w:col w:w="540" w:space="260"/>
            <w:col w:w="120" w:space="560"/>
            <w:col w:w="8640"/>
          </w:cols>
          <w:pgMar w:left="1440" w:top="141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1"/>
          <w:szCs w:val="21"/>
          <w:i w:val="1"/>
          <w:iCs w:val="1"/>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both"/>
        <w:ind w:hanging="278"/>
        <w:spacing w:after="0" w:line="250" w:lineRule="auto"/>
        <w:rPr>
          <w:sz w:val="20"/>
          <w:szCs w:val="20"/>
          <w:color w:val="auto"/>
        </w:rPr>
      </w:pPr>
      <w:r>
        <w:rPr>
          <w:rFonts w:ascii="Times New Roman" w:cs="Times New Roman" w:eastAsia="Times New Roman" w:hAnsi="Times New Roman"/>
          <w:sz w:val="22"/>
          <w:szCs w:val="22"/>
          <w:color w:val="auto"/>
        </w:rPr>
        <w:t>the product of (x) the average of the Last Reported Sale Prices per share or unit of the Capital Stock or equity interests distributed in such Spin-Off over the ten (10) consecutive Trading Day period (the “</w:t>
      </w:r>
      <w:r>
        <w:rPr>
          <w:rFonts w:ascii="Times New Roman" w:cs="Times New Roman" w:eastAsia="Times New Roman" w:hAnsi="Times New Roman"/>
          <w:sz w:val="22"/>
          <w:szCs w:val="22"/>
          <w:b w:val="1"/>
          <w:bCs w:val="1"/>
          <w:color w:val="auto"/>
        </w:rPr>
        <w:t>Spin-Off Valuation Period</w:t>
      </w:r>
      <w:r>
        <w:rPr>
          <w:rFonts w:ascii="Times New Roman" w:cs="Times New Roman" w:eastAsia="Times New Roman" w:hAnsi="Times New Roman"/>
          <w:sz w:val="22"/>
          <w:szCs w:val="22"/>
          <w:color w:val="auto"/>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p>
      <w:pPr>
        <w:spacing w:after="0" w:line="200" w:lineRule="exact"/>
        <w:rPr>
          <w:sz w:val="20"/>
          <w:szCs w:val="20"/>
          <w:color w:val="auto"/>
        </w:rPr>
      </w:pPr>
    </w:p>
    <w:p>
      <w:pPr>
        <w:sectPr>
          <w:pgSz w:w="11900" w:h="16838" w:orient="portrait"/>
          <w:cols w:equalWidth="0" w:num="3">
            <w:col w:w="620" w:space="240"/>
            <w:col w:w="120" w:space="500"/>
            <w:col w:w="8640"/>
          </w:cols>
          <w:pgMar w:left="1440" w:top="1418" w:right="339" w:bottom="1440" w:gutter="0" w:footer="0" w:header="0"/>
          <w:type w:val="continuous"/>
        </w:sectPr>
      </w:pP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hanging="777"/>
        <w:spacing w:after="0" w:line="271"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average of the Last Reported Sale Prices per share of Common Stock for each Trading Day in the Spin-Off Valuation Period.</w:t>
      </w:r>
    </w:p>
    <w:p>
      <w:pPr>
        <w:spacing w:after="0" w:line="181" w:lineRule="exact"/>
        <w:rPr>
          <w:sz w:val="20"/>
          <w:szCs w:val="20"/>
          <w:color w:val="auto"/>
        </w:rPr>
      </w:pPr>
    </w:p>
    <w:p>
      <w:pPr>
        <w:sectPr>
          <w:pgSz w:w="11900" w:h="16838" w:orient="portrait"/>
          <w:cols w:equalWidth="0" w:num="2">
            <w:col w:w="420" w:space="680"/>
            <w:col w:w="9020"/>
          </w:cols>
          <w:pgMar w:left="1440" w:top="1418" w:right="339" w:bottom="1440" w:gutter="0" w:footer="0" w:header="0"/>
          <w:type w:val="continuous"/>
        </w:sectPr>
      </w:pPr>
    </w:p>
    <w:p>
      <w:pPr>
        <w:jc w:val="both"/>
        <w:ind w:left="180"/>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 if any VWAP Trading Day of the Observation Period for a Note to be Converted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w:t>
      </w:r>
    </w:p>
    <w:p>
      <w:pPr>
        <w:spacing w:after="0" w:line="200" w:lineRule="exact"/>
        <w:rPr>
          <w:sz w:val="20"/>
          <w:szCs w:val="20"/>
          <w:color w:val="auto"/>
        </w:rPr>
      </w:pPr>
    </w:p>
    <w:p>
      <w:pPr>
        <w:jc w:val="both"/>
        <w:ind w:left="180"/>
        <w:spacing w:after="0" w:line="259" w:lineRule="auto"/>
        <w:rPr>
          <w:sz w:val="20"/>
          <w:szCs w:val="20"/>
          <w:color w:val="auto"/>
        </w:rPr>
      </w:pPr>
      <w:r>
        <w:rPr>
          <w:rFonts w:ascii="Times New Roman" w:cs="Times New Roman" w:eastAsia="Times New Roman" w:hAnsi="Times New Roman"/>
          <w:sz w:val="22"/>
          <w:szCs w:val="22"/>
          <w:color w:val="auto"/>
        </w:rPr>
        <w:t xml:space="preserve">To the extent any dividend or distribution of the type set forth in this </w:t>
      </w:r>
      <w:r>
        <w:rPr>
          <w:rFonts w:ascii="Times New Roman" w:cs="Times New Roman" w:eastAsia="Times New Roman" w:hAnsi="Times New Roman"/>
          <w:sz w:val="22"/>
          <w:szCs w:val="22"/>
          <w:b w:val="1"/>
          <w:bCs w:val="1"/>
          <w:color w:val="auto"/>
        </w:rPr>
        <w:t>Section 5.05(A)(iii)(2)</w:t>
      </w:r>
      <w:r>
        <w:rPr>
          <w:rFonts w:ascii="Times New Roman" w:cs="Times New Roman" w:eastAsia="Times New Roman" w:hAnsi="Times New Roman"/>
          <w:sz w:val="22"/>
          <w:szCs w:val="22"/>
          <w:color w:val="auto"/>
        </w:rPr>
        <w:t xml:space="preserve"> is declared but not made or paid, the Conversion Rate will be readjusted to the Conversion Rate that would then be in effect had the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120"/>
          </w:cols>
          <w:pgMar w:left="1440" w:top="1418" w:right="339" w:bottom="1440" w:gutter="0" w:footer="0" w:header="0"/>
          <w:type w:val="continuous"/>
        </w:sectPr>
      </w:pPr>
    </w:p>
    <w:bookmarkStart w:id="69" w:name="page70"/>
    <w:bookmarkEnd w:id="69"/>
    <w:p>
      <w:pPr>
        <w:ind w:left="644"/>
        <w:spacing w:after="0"/>
        <w:rPr>
          <w:sz w:val="20"/>
          <w:szCs w:val="20"/>
          <w:color w:val="auto"/>
        </w:rPr>
      </w:pPr>
      <w:r>
        <w:rPr>
          <w:rFonts w:ascii="Times New Roman" w:cs="Times New Roman" w:eastAsia="Times New Roman" w:hAnsi="Times New Roman"/>
          <w:sz w:val="22"/>
          <w:szCs w:val="22"/>
          <w:color w:val="auto"/>
        </w:rPr>
        <w:t>been made on the basis of only the dividend or distribution, if any, actually made or paid.</w:t>
      </w:r>
    </w:p>
    <w:p>
      <w:pPr>
        <w:spacing w:after="0" w:line="243" w:lineRule="exact"/>
        <w:rPr>
          <w:sz w:val="20"/>
          <w:szCs w:val="20"/>
          <w:color w:val="auto"/>
        </w:rPr>
      </w:pPr>
    </w:p>
    <w:p>
      <w:pPr>
        <w:jc w:val="both"/>
        <w:ind w:left="4" w:firstLine="644"/>
        <w:spacing w:after="0" w:line="265"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 or Distributions</w:t>
      </w:r>
      <w:r>
        <w:rPr>
          <w:rFonts w:ascii="Times New Roman" w:cs="Times New Roman" w:eastAsia="Times New Roman" w:hAnsi="Times New Roman"/>
          <w:sz w:val="22"/>
          <w:szCs w:val="22"/>
          <w:color w:val="auto"/>
        </w:rPr>
        <w:t>. If any cash dividend or distribution is made to all or substantially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of Common Stock (other than a regular quarterly cash dividend that does not exceed the Dividend Threshold per share of Common Stock),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113665</wp:posOffset>
            </wp:positionV>
            <wp:extent cx="113982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98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4"/>
          </w:cols>
          <w:pgMar w:left="976" w:top="1422" w:right="339" w:bottom="1440" w:gutter="0" w:footer="0" w:header="0"/>
        </w:sectPr>
      </w:pP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hanging="215"/>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before the Open of Business on the Ex-Dividend Date for such dividend or distribution;</w:t>
      </w:r>
    </w:p>
    <w:p>
      <w:pPr>
        <w:spacing w:after="0" w:line="181" w:lineRule="exact"/>
        <w:rPr>
          <w:sz w:val="20"/>
          <w:szCs w:val="20"/>
          <w:color w:val="auto"/>
        </w:rPr>
      </w:pPr>
    </w:p>
    <w:p>
      <w:pPr>
        <w:sectPr>
          <w:pgSz w:w="11900" w:h="16838" w:orient="portrait"/>
          <w:cols w:equalWidth="0" w:num="3">
            <w:col w:w="344" w:space="300"/>
            <w:col w:w="120" w:space="540"/>
            <w:col w:w="9280"/>
          </w:cols>
          <w:pgMar w:left="976" w:top="1422" w:right="3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3">
            <w:col w:w="344" w:space="220"/>
            <w:col w:w="120" w:space="220"/>
            <w:col w:w="9680"/>
          </w:cols>
          <w:pgMar w:left="976" w:top="1422" w:right="339" w:bottom="1440" w:gutter="0" w:footer="0" w:header="0"/>
          <w:type w:val="continuous"/>
        </w:sectPr>
      </w:pP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0" w:hanging="324"/>
        <w:spacing w:after="0" w:line="271" w:lineRule="auto"/>
        <w:rPr>
          <w:sz w:val="20"/>
          <w:szCs w:val="20"/>
          <w:color w:val="auto"/>
        </w:rPr>
      </w:pPr>
      <w:r>
        <w:rPr>
          <w:rFonts w:ascii="Times New Roman" w:cs="Times New Roman" w:eastAsia="Times New Roman" w:hAnsi="Times New Roman"/>
          <w:sz w:val="22"/>
          <w:szCs w:val="22"/>
          <w:color w:val="auto"/>
        </w:rPr>
        <w:t>the Last Reported Sale Price per share of Common Stock on the Trading Day immediately before such Ex-Dividend Date;</w:t>
      </w:r>
    </w:p>
    <w:p>
      <w:pPr>
        <w:spacing w:after="0" w:line="194" w:lineRule="exact"/>
        <w:rPr>
          <w:sz w:val="20"/>
          <w:szCs w:val="20"/>
          <w:color w:val="auto"/>
        </w:rPr>
      </w:pPr>
    </w:p>
    <w:p>
      <w:pPr>
        <w:sectPr>
          <w:pgSz w:w="11900" w:h="16838" w:orient="portrait"/>
          <w:cols w:equalWidth="0" w:num="3">
            <w:col w:w="244" w:space="300"/>
            <w:col w:w="120" w:space="640"/>
            <w:col w:w="9280"/>
          </w:cols>
          <w:pgMar w:left="976" w:top="1422" w:right="339" w:bottom="1440" w:gutter="0" w:footer="0" w:header="0"/>
          <w:type w:val="continuous"/>
        </w:sectPr>
      </w:pPr>
    </w:p>
    <w:p>
      <w:pPr>
        <w:ind w:left="1304" w:hanging="1304"/>
        <w:spacing w:after="0" w:line="249" w:lineRule="auto"/>
        <w:tabs>
          <w:tab w:leader="none" w:pos="428" w:val="left"/>
        </w:tabs>
        <w:numPr>
          <w:ilvl w:val="0"/>
          <w:numId w:val="9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an amount (subject to the proviso below, the “</w:t>
      </w:r>
      <w:r>
        <w:rPr>
          <w:rFonts w:ascii="Times New Roman" w:cs="Times New Roman" w:eastAsia="Times New Roman" w:hAnsi="Times New Roman"/>
          <w:sz w:val="22"/>
          <w:szCs w:val="22"/>
          <w:b w:val="1"/>
          <w:bCs w:val="1"/>
          <w:color w:val="auto"/>
        </w:rPr>
        <w:t>Dividend Threshold</w:t>
      </w:r>
      <w:r>
        <w:rPr>
          <w:rFonts w:ascii="Times New Roman" w:cs="Times New Roman" w:eastAsia="Times New Roman" w:hAnsi="Times New Roman"/>
          <w:sz w:val="22"/>
          <w:szCs w:val="22"/>
          <w:color w:val="auto"/>
        </w:rPr>
        <w:t xml:space="preserve">”) initially equal to $0.08352 per share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(x) if such dividend or distribution is not a regular quarterly cash dividend on the Common Stock, then </w:t>
      </w:r>
      <w:r>
        <w:rPr>
          <w:rFonts w:ascii="Times New Roman" w:cs="Times New Roman" w:eastAsia="Times New Roman" w:hAnsi="Times New Roman"/>
          <w:sz w:val="22"/>
          <w:szCs w:val="22"/>
          <w:i w:val="1"/>
          <w:iCs w:val="1"/>
          <w:color w:val="auto"/>
        </w:rPr>
        <w:t>T</w:t>
      </w:r>
      <w:r>
        <w:rPr>
          <w:rFonts w:ascii="Times New Roman" w:cs="Times New Roman" w:eastAsia="Times New Roman" w:hAnsi="Times New Roman"/>
          <w:sz w:val="22"/>
          <w:szCs w:val="22"/>
          <w:color w:val="auto"/>
        </w:rPr>
        <w:t xml:space="preserve"> will be deemed to be zero dollars ($0.00) per share of Common Stock with respect to such dividend or distribution; and (y) the Dividend Threshold will be adjusted in the same manner as, and at the same time and for the same events for which, the Conversion Price is adjusted as a result of the operation of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(other than this </w:t>
      </w:r>
      <w:r>
        <w:rPr>
          <w:rFonts w:ascii="Times New Roman" w:cs="Times New Roman" w:eastAsia="Times New Roman" w:hAnsi="Times New Roman"/>
          <w:sz w:val="22"/>
          <w:szCs w:val="22"/>
          <w:b w:val="1"/>
          <w:bCs w:val="1"/>
          <w:color w:val="auto"/>
        </w:rPr>
        <w:t>Section 5.05(A)(iv)</w:t>
      </w:r>
      <w:r>
        <w:rPr>
          <w:rFonts w:ascii="Times New Roman" w:cs="Times New Roman" w:eastAsia="Times New Roman" w:hAnsi="Times New Roman"/>
          <w:sz w:val="22"/>
          <w:szCs w:val="22"/>
          <w:color w:val="auto"/>
        </w:rPr>
        <w:t>); and</w:t>
      </w:r>
    </w:p>
    <w:p>
      <w:pPr>
        <w:spacing w:after="0" w:line="225" w:lineRule="exact"/>
        <w:rPr>
          <w:sz w:val="20"/>
          <w:szCs w:val="20"/>
          <w:color w:val="auto"/>
        </w:rPr>
      </w:pPr>
    </w:p>
    <w:p>
      <w:pPr>
        <w:ind w:left="364" w:hanging="364"/>
        <w:spacing w:after="0"/>
        <w:tabs>
          <w:tab w:leader="none" w:pos="364" w:val="left"/>
        </w:tabs>
        <w:numPr>
          <w:ilvl w:val="0"/>
          <w:numId w:val="9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  the cash amount distributed per share of Common Stock in such dividend or distribution;</w:t>
      </w:r>
    </w:p>
    <w:p>
      <w:pPr>
        <w:spacing w:after="0" w:line="243"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w:t>
      </w:r>
      <w:r>
        <w:rPr>
          <w:rFonts w:ascii="Times New Roman" w:cs="Times New Roman" w:eastAsia="Times New Roman" w:hAnsi="Times New Roman"/>
          <w:sz w:val="22"/>
          <w:szCs w:val="22"/>
          <w:i w:val="1"/>
          <w:iCs w:val="1"/>
          <w:color w:val="auto"/>
        </w:rPr>
        <w:t xml:space="preserve"> D </w:t>
      </w:r>
      <w:r>
        <w:rPr>
          <w:rFonts w:ascii="Times New Roman" w:cs="Times New Roman" w:eastAsia="Times New Roman" w:hAnsi="Times New Roman"/>
          <w:sz w:val="22"/>
          <w:szCs w:val="22"/>
          <w:color w:val="auto"/>
        </w:rPr>
        <w:t>is equal to or greater than</w:t>
      </w:r>
      <w:r>
        <w:rPr>
          <w:rFonts w:ascii="Times New Roman" w:cs="Times New Roman" w:eastAsia="Times New Roman" w:hAnsi="Times New Roman"/>
          <w:sz w:val="22"/>
          <w:szCs w:val="22"/>
          <w:i w:val="1"/>
          <w:iCs w:val="1"/>
          <w:color w:val="auto"/>
        </w:rPr>
        <w:t xml:space="preserve"> SP</w:t>
      </w:r>
      <w:r>
        <w:rPr>
          <w:rFonts w:ascii="Times New Roman" w:cs="Times New Roman" w:eastAsia="Times New Roman" w:hAnsi="Times New Roman"/>
          <w:sz w:val="22"/>
          <w:szCs w:val="22"/>
          <w:color w:val="auto"/>
        </w:rPr>
        <w:t>, then, in lieu of the foregoing adjustment to the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 each Holder will receive, for each $1,000 principal amount of Notes held by such Holder on the record date for such dividend or distribution, at the same time and on the same terms as holders of Common Stock, the amount of cash that such Holder would have received in such dividend or distribution if such Holder had owned, on such record date, a number of shares of Common Stock equal to the Conversion Rate in effect on such record date.</w:t>
      </w:r>
    </w:p>
    <w:p>
      <w:pPr>
        <w:spacing w:after="0" w:line="204" w:lineRule="exact"/>
        <w:rPr>
          <w:sz w:val="20"/>
          <w:szCs w:val="20"/>
          <w:color w:val="auto"/>
        </w:rPr>
      </w:pPr>
    </w:p>
    <w:p>
      <w:pPr>
        <w:jc w:val="both"/>
        <w:ind w:left="4"/>
        <w:spacing w:after="0" w:line="271" w:lineRule="auto"/>
        <w:rPr>
          <w:sz w:val="20"/>
          <w:szCs w:val="20"/>
          <w:color w:val="auto"/>
        </w:rPr>
      </w:pPr>
      <w:r>
        <w:rPr>
          <w:rFonts w:ascii="Times New Roman" w:cs="Times New Roman" w:eastAsia="Times New Roman" w:hAnsi="Times New Roman"/>
          <w:sz w:val="22"/>
          <w:szCs w:val="22"/>
          <w:color w:val="auto"/>
        </w:rPr>
        <w:t>To the extent such dividend or distribution is declared but not made or paid, the Conversion Rate will be readjusted to the Conversion Rate that would then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584"/>
          </w:cols>
          <w:pgMar w:left="976" w:top="1422"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had the adjustment been made on the basis of only the dividend or distribution, if any, actually made or paid.</w:t>
      </w:r>
    </w:p>
    <w:p>
      <w:pPr>
        <w:spacing w:after="0" w:line="243" w:lineRule="exact"/>
        <w:rPr>
          <w:sz w:val="20"/>
          <w:szCs w:val="20"/>
          <w:color w:val="auto"/>
        </w:rPr>
      </w:pPr>
    </w:p>
    <w:p>
      <w:pPr>
        <w:jc w:val="both"/>
        <w:ind w:firstLine="644"/>
        <w:spacing w:after="0" w:line="251" w:lineRule="auto"/>
        <w:tabs>
          <w:tab w:leader="none" w:pos="111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Tender Offers or Exchange Offers</w:t>
      </w:r>
      <w:r>
        <w:rPr>
          <w:rFonts w:ascii="Times New Roman" w:cs="Times New Roman" w:eastAsia="Times New Roman" w:hAnsi="Times New Roman"/>
          <w:sz w:val="22"/>
          <w:szCs w:val="22"/>
          <w:color w:val="auto"/>
        </w:rPr>
        <w:t>. If the Company or any of its Subsidiaries makes a payment in respect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tender offer or exchange offer for shares of Common Stock (other than solely pursuant to an odd-lot tender offer pursuant to Rule 13e-4(h)(5) under the Exchange Act), and the value (determined as of the Expiration Time by the Company in good faith and in a commercially reasonable manner)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124460</wp:posOffset>
            </wp:positionV>
            <wp:extent cx="161988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98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0580"/>
          </w:cols>
          <w:pgMar w:left="980" w:top="1422"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hanging="123"/>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before the Close of Business on the last Trading Day of the Tender/Exchange Offer Valuation Period for such tender or exchange offer;</w:t>
      </w:r>
    </w:p>
    <w:p>
      <w:pPr>
        <w:spacing w:after="0" w:line="181" w:lineRule="exact"/>
        <w:rPr>
          <w:sz w:val="20"/>
          <w:szCs w:val="20"/>
          <w:color w:val="auto"/>
        </w:rPr>
      </w:pPr>
    </w:p>
    <w:p>
      <w:pPr>
        <w:sectPr>
          <w:pgSz w:w="11900" w:h="16838" w:orient="portrait"/>
          <w:cols w:equalWidth="0" w:num="3">
            <w:col w:w="340" w:space="360"/>
            <w:col w:w="120" w:space="480"/>
            <w:col w:w="9280"/>
          </w:cols>
          <w:pgMar w:left="980" w:top="14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i w:val="1"/>
          <w:iCs w:val="1"/>
          <w:color w:val="auto"/>
        </w:rPr>
        <w:t>CR</w:t>
      </w:r>
      <w:r>
        <w:rPr>
          <w:rFonts w:ascii="Times New Roman" w:cs="Times New Roman" w:eastAsia="Times New Roman" w:hAnsi="Times New Roman"/>
          <w:sz w:val="13"/>
          <w:szCs w:val="13"/>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71"/>
        <w:spacing w:after="0" w:line="271" w:lineRule="auto"/>
        <w:rPr>
          <w:sz w:val="20"/>
          <w:szCs w:val="20"/>
          <w:color w:val="auto"/>
        </w:rPr>
      </w:pPr>
      <w:r>
        <w:rPr>
          <w:rFonts w:ascii="Times New Roman" w:cs="Times New Roman" w:eastAsia="Times New Roman" w:hAnsi="Times New Roman"/>
          <w:sz w:val="22"/>
          <w:szCs w:val="22"/>
          <w:color w:val="auto"/>
        </w:rPr>
        <w:t>the Conversion Rate in effect immediately after the Close of Business on the last Trading Day of the Tender/Exchange Offer Valuation Period;</w:t>
      </w:r>
    </w:p>
    <w:p>
      <w:pPr>
        <w:spacing w:after="0" w:line="181" w:lineRule="exact"/>
        <w:rPr>
          <w:sz w:val="20"/>
          <w:szCs w:val="20"/>
          <w:color w:val="auto"/>
        </w:rPr>
      </w:pPr>
    </w:p>
    <w:p>
      <w:pPr>
        <w:sectPr>
          <w:pgSz w:w="11900" w:h="16838" w:orient="portrait"/>
          <w:cols w:equalWidth="0" w:num="3">
            <w:col w:w="340" w:space="380"/>
            <w:col w:w="120" w:space="460"/>
            <w:col w:w="9280"/>
          </w:cols>
          <w:pgMar w:left="980" w:top="14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i w:val="1"/>
          <w:iCs w:val="1"/>
          <w:color w:val="auto"/>
        </w:rPr>
        <w:t>AC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both"/>
        <w:ind w:hanging="395"/>
        <w:spacing w:after="0" w:line="283" w:lineRule="auto"/>
        <w:rPr>
          <w:sz w:val="20"/>
          <w:szCs w:val="20"/>
          <w:color w:val="auto"/>
        </w:rPr>
      </w:pPr>
      <w:r>
        <w:rPr>
          <w:rFonts w:ascii="Times New Roman" w:cs="Times New Roman" w:eastAsia="Times New Roman" w:hAnsi="Times New Roman"/>
          <w:sz w:val="21"/>
          <w:szCs w:val="21"/>
          <w:color w:val="auto"/>
        </w:rPr>
        <w:t>the aggregate value (determined as of the time (the “</w:t>
      </w:r>
      <w:r>
        <w:rPr>
          <w:rFonts w:ascii="Times New Roman" w:cs="Times New Roman" w:eastAsia="Times New Roman" w:hAnsi="Times New Roman"/>
          <w:sz w:val="21"/>
          <w:szCs w:val="21"/>
          <w:b w:val="1"/>
          <w:bCs w:val="1"/>
          <w:color w:val="auto"/>
        </w:rPr>
        <w:t>Expiration Time</w:t>
      </w:r>
      <w:r>
        <w:rPr>
          <w:rFonts w:ascii="Times New Roman" w:cs="Times New Roman" w:eastAsia="Times New Roman" w:hAnsi="Times New Roman"/>
          <w:sz w:val="21"/>
          <w:szCs w:val="21"/>
          <w:color w:val="auto"/>
        </w:rPr>
        <w:t>”) such tender or exchange offer expires by the Company in good faith and in a commercially reasonable manner) of all cash and other consideration paid for shares of Common Stock purchased or exchanged in such tender or exchange offer;</w:t>
      </w:r>
    </w:p>
    <w:p>
      <w:pPr>
        <w:spacing w:after="0" w:line="172" w:lineRule="exact"/>
        <w:rPr>
          <w:sz w:val="20"/>
          <w:szCs w:val="20"/>
          <w:color w:val="auto"/>
        </w:rPr>
      </w:pPr>
    </w:p>
    <w:p>
      <w:pPr>
        <w:sectPr>
          <w:pgSz w:w="11900" w:h="16838" w:orient="portrait"/>
          <w:cols w:equalWidth="0" w:num="3">
            <w:col w:w="280" w:space="240"/>
            <w:col w:w="120" w:space="660"/>
            <w:col w:w="9280"/>
          </w:cols>
          <w:pgMar w:left="980" w:top="14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0</w:t>
      </w:r>
    </w:p>
    <w:p>
      <w:pPr>
        <w:spacing w:after="0" w:line="20" w:lineRule="exact"/>
        <w:rPr>
          <w:sz w:val="20"/>
          <w:szCs w:val="20"/>
          <w:color w:val="auto"/>
        </w:rPr>
      </w:pPr>
      <w:r>
        <w:rPr>
          <w:sz w:val="20"/>
          <w:szCs w:val="20"/>
          <w:color w:val="auto"/>
        </w:rPr>
        <w:br w:type="column"/>
      </w:r>
    </w:p>
    <w:p>
      <w:pPr>
        <w:ind w:hanging="664"/>
        <w:spacing w:after="0" w:line="271"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number of shares of Common Stock outstanding immediately before the Expiration Time (including all shares of Common Stock accepted for purchase or exchange in such tender or exchange offer);</w:t>
      </w:r>
    </w:p>
    <w:p>
      <w:pPr>
        <w:spacing w:after="0" w:line="181" w:lineRule="exact"/>
        <w:rPr>
          <w:sz w:val="20"/>
          <w:szCs w:val="20"/>
          <w:color w:val="auto"/>
        </w:rPr>
      </w:pPr>
    </w:p>
    <w:p>
      <w:pPr>
        <w:sectPr>
          <w:pgSz w:w="11900" w:h="16838" w:orient="portrait"/>
          <w:cols w:equalWidth="0" w:num="2">
            <w:col w:w="340" w:space="700"/>
            <w:col w:w="9540"/>
          </w:cols>
          <w:pgMar w:left="980" w:top="14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i w:val="1"/>
          <w:iCs w:val="1"/>
          <w:color w:val="auto"/>
        </w:rPr>
        <w:t>OS</w:t>
      </w:r>
      <w:r>
        <w:rPr>
          <w:rFonts w:ascii="Times New Roman" w:cs="Times New Roman" w:eastAsia="Times New Roman" w:hAnsi="Times New Roman"/>
          <w:sz w:val="14"/>
          <w:szCs w:val="14"/>
          <w:i w:val="1"/>
          <w:iCs w:val="1"/>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hanging="201"/>
        <w:spacing w:after="0" w:line="271" w:lineRule="auto"/>
        <w:rPr>
          <w:sz w:val="20"/>
          <w:szCs w:val="20"/>
          <w:color w:val="auto"/>
        </w:rPr>
      </w:pPr>
      <w:r>
        <w:rPr>
          <w:rFonts w:ascii="Times New Roman" w:cs="Times New Roman" w:eastAsia="Times New Roman" w:hAnsi="Times New Roman"/>
          <w:sz w:val="22"/>
          <w:szCs w:val="22"/>
          <w:color w:val="auto"/>
        </w:rPr>
        <w:t>the number of shares of Common Stock outstanding immediately after the Expiration Time (excluding all shares of Common Stock accepted for purchase or exchange in such tender or exchange offer); and</w:t>
      </w:r>
    </w:p>
    <w:p>
      <w:pPr>
        <w:spacing w:after="0" w:line="194" w:lineRule="exact"/>
        <w:rPr>
          <w:sz w:val="20"/>
          <w:szCs w:val="20"/>
          <w:color w:val="auto"/>
        </w:rPr>
      </w:pPr>
    </w:p>
    <w:p>
      <w:pPr>
        <w:sectPr>
          <w:pgSz w:w="11900" w:h="16838" w:orient="portrait"/>
          <w:cols w:equalWidth="0" w:num="3">
            <w:col w:w="340" w:space="300"/>
            <w:col w:w="140" w:space="520"/>
            <w:col w:w="9280"/>
          </w:cols>
          <w:pgMar w:left="980" w:top="142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i w:val="1"/>
          <w:iCs w:val="1"/>
          <w:color w:val="auto"/>
        </w:rPr>
        <w:t>SP</w:t>
      </w:r>
    </w:p>
    <w:p>
      <w:pPr>
        <w:spacing w:after="0" w:line="20" w:lineRule="exact"/>
        <w:rPr>
          <w:sz w:val="20"/>
          <w:szCs w:val="20"/>
          <w:color w:val="auto"/>
        </w:rPr>
      </w:pPr>
      <w:r>
        <w:rPr>
          <w:sz w:val="20"/>
          <w:szCs w:val="20"/>
          <w:color w:val="auto"/>
        </w:rPr>
        <w:br w:type="column"/>
      </w:r>
    </w:p>
    <w:p>
      <w:pPr>
        <w:jc w:val="both"/>
        <w:ind w:right="20" w:hanging="810"/>
        <w:spacing w:after="0" w:line="257"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average of the Last Reported Sale Prices per share of Common Stock over the ten (10) consecutive Trading Day period (the “</w:t>
      </w:r>
      <w:r>
        <w:rPr>
          <w:rFonts w:ascii="Times New Roman" w:cs="Times New Roman" w:eastAsia="Times New Roman" w:hAnsi="Times New Roman"/>
          <w:sz w:val="22"/>
          <w:szCs w:val="22"/>
          <w:b w:val="1"/>
          <w:bCs w:val="1"/>
          <w:color w:val="auto"/>
        </w:rPr>
        <w:t>Tender/Exchange Offer Valuation Period</w:t>
      </w:r>
      <w:r>
        <w:rPr>
          <w:rFonts w:ascii="Times New Roman" w:cs="Times New Roman" w:eastAsia="Times New Roman" w:hAnsi="Times New Roman"/>
          <w:sz w:val="22"/>
          <w:szCs w:val="22"/>
          <w:color w:val="auto"/>
        </w:rPr>
        <w:t>”) beginning on, and including, the Trading Day immediately after the Expiration Date;</w:t>
      </w:r>
    </w:p>
    <w:p>
      <w:pPr>
        <w:spacing w:after="0" w:line="200" w:lineRule="exact"/>
        <w:rPr>
          <w:sz w:val="20"/>
          <w:szCs w:val="20"/>
          <w:color w:val="auto"/>
        </w:rPr>
      </w:pPr>
    </w:p>
    <w:p>
      <w:pPr>
        <w:sectPr>
          <w:pgSz w:w="11900" w:h="16838" w:orient="portrait"/>
          <w:cols w:equalWidth="0" w:num="2">
            <w:col w:w="240" w:space="600"/>
            <w:col w:w="9740"/>
          </w:cols>
          <w:pgMar w:left="980" w:top="14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0580"/>
          </w:cols>
          <w:pgMar w:left="980" w:top="1422" w:right="339" w:bottom="1440" w:gutter="0" w:footer="0" w:header="0"/>
          <w:type w:val="continuous"/>
        </w:sectPr>
      </w:pPr>
    </w:p>
    <w:bookmarkStart w:id="71" w:name="page72"/>
    <w:bookmarkEnd w:id="71"/>
    <w:p>
      <w:pPr>
        <w:spacing w:after="0" w:line="221"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Conversion Rate will in no event be adjusted down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except to the extent provided in the immediately following paragraph. Notwithstanding anything to the contrary in this </w:t>
      </w:r>
      <w:r>
        <w:rPr>
          <w:rFonts w:ascii="Times New Roman" w:cs="Times New Roman" w:eastAsia="Times New Roman" w:hAnsi="Times New Roman"/>
          <w:sz w:val="22"/>
          <w:szCs w:val="22"/>
          <w:b w:val="1"/>
          <w:bCs w:val="1"/>
          <w:color w:val="auto"/>
        </w:rPr>
        <w:t>Section 5.05(A)(v)</w:t>
      </w:r>
      <w:r>
        <w:rPr>
          <w:rFonts w:ascii="Times New Roman" w:cs="Times New Roman" w:eastAsia="Times New Roman" w:hAnsi="Times New Roman"/>
          <w:sz w:val="22"/>
          <w:szCs w:val="22"/>
          <w:color w:val="auto"/>
        </w:rPr>
        <w:t>, if any VWAP Trading Day of the Observation Period for a Note to be Converted occurs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w:t>
      </w:r>
    </w:p>
    <w:p>
      <w:pPr>
        <w:spacing w:after="0" w:line="211"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2"/>
          <w:szCs w:val="22"/>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202" w:lineRule="exact"/>
        <w:rPr>
          <w:sz w:val="20"/>
          <w:szCs w:val="20"/>
          <w:color w:val="auto"/>
        </w:rPr>
      </w:pPr>
    </w:p>
    <w:p>
      <w:pPr>
        <w:ind w:left="504" w:hanging="504"/>
        <w:spacing w:after="0"/>
        <w:tabs>
          <w:tab w:leader="none" w:pos="50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Adjustments in Certain Cases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65" w:lineRule="auto"/>
        <w:tabs>
          <w:tab w:leader="none" w:pos="1085"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Where Holders Participate in the Transaction or Event Without Conversion</w:t>
      </w:r>
      <w:r>
        <w:rPr>
          <w:rFonts w:ascii="Times New Roman" w:cs="Times New Roman" w:eastAsia="Times New Roman" w:hAnsi="Times New Roman"/>
          <w:sz w:val="21"/>
          <w:szCs w:val="21"/>
          <w:color w:val="auto"/>
        </w:rPr>
        <w:t>. Notwithstanding anything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contrary in </w:t>
      </w:r>
      <w:r>
        <w:rPr>
          <w:rFonts w:ascii="Times New Roman" w:cs="Times New Roman" w:eastAsia="Times New Roman" w:hAnsi="Times New Roman"/>
          <w:sz w:val="21"/>
          <w:szCs w:val="21"/>
          <w:b w:val="1"/>
          <w:bCs w:val="1"/>
          <w:color w:val="auto"/>
        </w:rPr>
        <w:t>Section 5.05(A)</w:t>
      </w:r>
      <w:r>
        <w:rPr>
          <w:rFonts w:ascii="Times New Roman" w:cs="Times New Roman" w:eastAsia="Times New Roman" w:hAnsi="Times New Roman"/>
          <w:sz w:val="21"/>
          <w:szCs w:val="21"/>
          <w:color w:val="auto"/>
        </w:rPr>
        <w:t xml:space="preserve">, the Company will not be obligated to adjust the Conversion Rate on account of a transaction or other event otherwise requiring an adjustment pursuant to </w:t>
      </w:r>
      <w:r>
        <w:rPr>
          <w:rFonts w:ascii="Times New Roman" w:cs="Times New Roman" w:eastAsia="Times New Roman" w:hAnsi="Times New Roman"/>
          <w:sz w:val="21"/>
          <w:szCs w:val="21"/>
          <w:b w:val="1"/>
          <w:bCs w:val="1"/>
          <w:color w:val="auto"/>
        </w:rPr>
        <w:t>Section 5.05(A)</w:t>
      </w:r>
      <w:r>
        <w:rPr>
          <w:rFonts w:ascii="Times New Roman" w:cs="Times New Roman" w:eastAsia="Times New Roman" w:hAnsi="Times New Roman"/>
          <w:sz w:val="21"/>
          <w:szCs w:val="21"/>
          <w:color w:val="auto"/>
        </w:rPr>
        <w:t xml:space="preserve"> (other than a stock split or combination of the type set forth in </w:t>
      </w:r>
      <w:r>
        <w:rPr>
          <w:rFonts w:ascii="Times New Roman" w:cs="Times New Roman" w:eastAsia="Times New Roman" w:hAnsi="Times New Roman"/>
          <w:sz w:val="21"/>
          <w:szCs w:val="21"/>
          <w:b w:val="1"/>
          <w:bCs w:val="1"/>
          <w:color w:val="auto"/>
        </w:rPr>
        <w:t>Section 5.05(A)(i)</w:t>
      </w:r>
      <w:r>
        <w:rPr>
          <w:rFonts w:ascii="Times New Roman" w:cs="Times New Roman" w:eastAsia="Times New Roman" w:hAnsi="Times New Roman"/>
          <w:sz w:val="21"/>
          <w:szCs w:val="21"/>
          <w:color w:val="auto"/>
        </w:rPr>
        <w:t xml:space="preserve"> or a tender or exchange offer of the type set forth in </w:t>
      </w:r>
      <w:r>
        <w:rPr>
          <w:rFonts w:ascii="Times New Roman" w:cs="Times New Roman" w:eastAsia="Times New Roman" w:hAnsi="Times New Roman"/>
          <w:sz w:val="21"/>
          <w:szCs w:val="21"/>
          <w:b w:val="1"/>
          <w:bCs w:val="1"/>
          <w:color w:val="auto"/>
        </w:rPr>
        <w:t>Section 5.05(A)(v)</w:t>
      </w:r>
      <w:r>
        <w:rPr>
          <w:rFonts w:ascii="Times New Roman" w:cs="Times New Roman" w:eastAsia="Times New Roman" w:hAnsi="Times New Roman"/>
          <w:sz w:val="21"/>
          <w:szCs w:val="21"/>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61" w:lineRule="exact"/>
        <w:rPr>
          <w:rFonts w:ascii="Times New Roman" w:cs="Times New Roman" w:eastAsia="Times New Roman" w:hAnsi="Times New Roman"/>
          <w:sz w:val="21"/>
          <w:szCs w:val="21"/>
          <w:color w:val="auto"/>
        </w:rPr>
      </w:pPr>
    </w:p>
    <w:p>
      <w:pPr>
        <w:jc w:val="both"/>
        <w:ind w:left="4" w:firstLine="644"/>
        <w:spacing w:after="0" w:line="259" w:lineRule="auto"/>
        <w:tabs>
          <w:tab w:leader="none" w:pos="124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Certain Events</w:t>
      </w:r>
      <w:r>
        <w:rPr>
          <w:rFonts w:ascii="Times New Roman" w:cs="Times New Roman" w:eastAsia="Times New Roman" w:hAnsi="Times New Roman"/>
          <w:sz w:val="22"/>
          <w:szCs w:val="22"/>
          <w:color w:val="auto"/>
        </w:rPr>
        <w:t>. The Company will not be required to adjust the Conversion Rate 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5.05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Section 5.07</w:t>
      </w:r>
      <w:r>
        <w:rPr>
          <w:rFonts w:ascii="Times New Roman" w:cs="Times New Roman" w:eastAsia="Times New Roman" w:hAnsi="Times New Roman"/>
          <w:sz w:val="22"/>
          <w:szCs w:val="22"/>
          <w:color w:val="auto"/>
        </w:rPr>
        <w:t>. Without limiting the foregoing, the Company will not be obligated to adjust the Conversion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Rate on account of:</w:t>
      </w:r>
    </w:p>
    <w:p>
      <w:pPr>
        <w:spacing w:after="0" w:line="179" w:lineRule="exact"/>
        <w:rPr>
          <w:rFonts w:ascii="Times New Roman" w:cs="Times New Roman" w:eastAsia="Times New Roman" w:hAnsi="Times New Roman"/>
          <w:sz w:val="22"/>
          <w:szCs w:val="22"/>
          <w:color w:val="auto"/>
        </w:rPr>
      </w:pPr>
    </w:p>
    <w:p>
      <w:pPr>
        <w:ind w:left="644" w:firstLine="652"/>
        <w:spacing w:after="0" w:line="275" w:lineRule="auto"/>
        <w:tabs>
          <w:tab w:leader="none" w:pos="1844"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b w:val="1"/>
          <w:bCs w:val="1"/>
          <w:color w:val="auto"/>
        </w:rPr>
        <w:t>Section 5.05</w:t>
      </w:r>
      <w:r>
        <w:rPr>
          <w:rFonts w:ascii="Times New Roman" w:cs="Times New Roman" w:eastAsia="Times New Roman" w:hAnsi="Times New Roman"/>
          <w:sz w:val="22"/>
          <w:szCs w:val="22"/>
          <w:color w:val="auto"/>
        </w:rPr>
        <w:t>, the sale of shares of Common Stock for a purchase price that is less than the market price per share of Common Stock or less than the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0584"/>
          </w:cols>
          <w:pgMar w:left="976" w:top="1440" w:right="339" w:bottom="1440" w:gutter="0" w:footer="0" w:header="0"/>
        </w:sectPr>
      </w:pPr>
    </w:p>
    <w:bookmarkStart w:id="72" w:name="page73"/>
    <w:bookmarkEnd w:id="72"/>
    <w:p>
      <w:pPr>
        <w:jc w:val="both"/>
        <w:ind w:left="1300" w:firstLine="652"/>
        <w:spacing w:after="0" w:line="257" w:lineRule="auto"/>
        <w:tabs>
          <w:tab w:leader="none" w:pos="2439"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16"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72" w:lineRule="exact"/>
        <w:rPr>
          <w:rFonts w:ascii="Times New Roman" w:cs="Times New Roman" w:eastAsia="Times New Roman" w:hAnsi="Times New Roman"/>
          <w:sz w:val="22"/>
          <w:szCs w:val="22"/>
          <w:color w:val="auto"/>
        </w:rPr>
      </w:pPr>
    </w:p>
    <w:p>
      <w:pPr>
        <w:ind w:left="1300" w:firstLine="652"/>
        <w:spacing w:after="0" w:line="271" w:lineRule="auto"/>
        <w:tabs>
          <w:tab w:leader="none" w:pos="2448"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any shares of Common Stock pursuant to any option, warrant, right or convertible or exchangeable security of the Company outstanding as of the Issue Date;</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a change in the par value of the Common Stock;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the Notes.</w:t>
      </w:r>
    </w:p>
    <w:p>
      <w:pPr>
        <w:spacing w:after="0" w:line="215"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Deferral</w:t>
      </w:r>
      <w:r>
        <w:rPr>
          <w:rFonts w:ascii="Times New Roman" w:cs="Times New Roman" w:eastAsia="Times New Roman" w:hAnsi="Times New Roman"/>
          <w:sz w:val="22"/>
          <w:szCs w:val="22"/>
          <w:color w:val="auto"/>
        </w:rPr>
        <w:t>. If an adjustment to the Conversion Rate otherwise required by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result in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change of less than one percent (1%) to the Conversion Rate, then, notwithstanding anything to the contrary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the Company may, at its election, defer and carry forward such adjustment, except that all such deferred adjustments must be given effect immediately upon the earliest of the following: (i) when all such deferred adjustments would, had they not been so deferred and carried forward,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April 15, 2031.</w:t>
      </w:r>
    </w:p>
    <w:p>
      <w:pPr>
        <w:spacing w:after="0" w:line="180"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Adjustments Not Yet Effective</w:t>
      </w:r>
      <w:r>
        <w:rPr>
          <w:rFonts w:ascii="Times New Roman" w:cs="Times New Roman" w:eastAsia="Times New Roman" w:hAnsi="Times New Roman"/>
          <w:sz w:val="22"/>
          <w:szCs w:val="22"/>
          <w:color w:val="auto"/>
        </w:rPr>
        <w:t>. Notwithstanding anything to the contrary in this Indenture or the Notes, if:</w:t>
      </w:r>
    </w:p>
    <w:p>
      <w:pPr>
        <w:spacing w:after="0" w:line="22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Note is to be Converted pursuant to Combination Settlement;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3"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record date, effective date or Expiration Time for any event that requires an adjustment to the Conversion Rate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has occurred on or before any VWAP Trading Day in the Observation Period for such Conversion, but an adjustment to the Conversion Rate for such event has not yet become effective as of such VWAP Trading Day;</w:t>
      </w:r>
    </w:p>
    <w:p>
      <w:pPr>
        <w:spacing w:after="0" w:line="179" w:lineRule="exact"/>
        <w:rPr>
          <w:rFonts w:ascii="Times New Roman" w:cs="Times New Roman" w:eastAsia="Times New Roman" w:hAnsi="Times New Roman"/>
          <w:sz w:val="22"/>
          <w:szCs w:val="22"/>
          <w:color w:val="auto"/>
        </w:rPr>
      </w:pPr>
    </w:p>
    <w:p>
      <w:pPr>
        <w:ind w:left="660" w:firstLine="644"/>
        <w:spacing w:after="0" w:line="284" w:lineRule="auto"/>
        <w:tabs>
          <w:tab w:leader="none" w:pos="189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Consideration due in respect of such VWAP Trading Day includes any whole or fractional shares of Common Stock; and</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0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shares are not entitled to participate in such event (because they were not held on the related record date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22"/>
          <w:szCs w:val="22"/>
          <w:color w:val="auto"/>
        </w:rPr>
        <w:t>then, solely for purposes of such Conversion, the Company will, without duplication, give effect to such adjustment on such VWAP Trading Day.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spacing w:after="0" w:line="172" w:lineRule="exact"/>
        <w:rPr>
          <w:sz w:val="20"/>
          <w:szCs w:val="20"/>
          <w:color w:val="auto"/>
        </w:rPr>
      </w:pPr>
    </w:p>
    <w:p>
      <w:pPr>
        <w:ind w:firstLine="656"/>
        <w:spacing w:after="0" w:line="275" w:lineRule="auto"/>
        <w:tabs>
          <w:tab w:leader="none" w:pos="134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Conversion Rate Adjustments Where Converting Holders Participate in the Relevant Transaction or Event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Notwithstanding anything to the contrary in this Indenture or the Notes, if:</w:t>
      </w:r>
    </w:p>
    <w:p>
      <w:pPr>
        <w:spacing w:after="0" w:line="153" w:lineRule="exact"/>
        <w:rPr>
          <w:rFonts w:ascii="Times New Roman" w:cs="Times New Roman" w:eastAsia="Times New Roman" w:hAnsi="Times New Roman"/>
          <w:sz w:val="22"/>
          <w:szCs w:val="22"/>
          <w:color w:val="auto"/>
        </w:rPr>
      </w:pPr>
    </w:p>
    <w:p>
      <w:pPr>
        <w:ind w:left="660" w:firstLine="644"/>
        <w:spacing w:after="0" w:line="271" w:lineRule="auto"/>
        <w:tabs>
          <w:tab w:leader="none" w:pos="178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Conversion Rate adjustment for any dividend or distribution becomes effective on any Ex-Dividend Date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Note is to be Converted pursuant to Combination Settlement;</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48"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VWAP Trading Day in the Observation Period for such Conversion occurs on or after such Ex-Dividend Date and on or before the related record date;</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87"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Consideration due in respect of such VWAP Trading Day includes any whole or fractional shares of Common Stock based on a Conversion Rate that is adjusted for such dividend or distribution; and</w:t>
      </w:r>
    </w:p>
    <w:p>
      <w:pPr>
        <w:spacing w:after="0" w:line="15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shares would be entitled to participate in such dividend or distribution (including pursuant to </w:t>
      </w:r>
      <w:r>
        <w:rPr>
          <w:rFonts w:ascii="Times New Roman" w:cs="Times New Roman" w:eastAsia="Times New Roman" w:hAnsi="Times New Roman"/>
          <w:sz w:val="22"/>
          <w:szCs w:val="22"/>
          <w:b w:val="1"/>
          <w:bCs w:val="1"/>
          <w:color w:val="auto"/>
        </w:rPr>
        <w:t>Section</w:t>
      </w:r>
    </w:p>
    <w:p>
      <w:pPr>
        <w:spacing w:after="0" w:line="3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5.02(C)</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then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69" w:lineRule="exact"/>
        <w:rPr>
          <w:sz w:val="20"/>
          <w:szCs w:val="20"/>
          <w:color w:val="auto"/>
        </w:rPr>
      </w:pPr>
    </w:p>
    <w:p>
      <w:pPr>
        <w:jc w:val="both"/>
        <w:ind w:firstLine="656"/>
        <w:spacing w:after="0" w:line="251" w:lineRule="auto"/>
        <w:tabs>
          <w:tab w:leader="none" w:pos="114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Rights Plans</w:t>
      </w:r>
      <w:r>
        <w:rPr>
          <w:rFonts w:ascii="Times New Roman" w:cs="Times New Roman" w:eastAsia="Times New Roman" w:hAnsi="Times New Roman"/>
          <w:sz w:val="22"/>
          <w:szCs w:val="22"/>
          <w:color w:val="auto"/>
        </w:rPr>
        <w:t>. If any shares of Common Stock are to be issued upon Conversion of any Note and, 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time of such 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5.05(A)(iii)(1) </w:t>
      </w:r>
      <w:r>
        <w:rPr>
          <w:rFonts w:ascii="Times New Roman" w:cs="Times New Roman" w:eastAsia="Times New Roman" w:hAnsi="Times New Roman"/>
          <w:sz w:val="22"/>
          <w:szCs w:val="22"/>
          <w:color w:val="auto"/>
        </w:rPr>
        <w:t>on account of such separation as if, at the time of such separation, the Company had made a distribution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type referred to in such Section to all holders of the Common Stock, subject to potential readjustment in accordance with the last paragraph of </w:t>
      </w:r>
      <w:r>
        <w:rPr>
          <w:rFonts w:ascii="Times New Roman" w:cs="Times New Roman" w:eastAsia="Times New Roman" w:hAnsi="Times New Roman"/>
          <w:sz w:val="22"/>
          <w:szCs w:val="22"/>
          <w:b w:val="1"/>
          <w:bCs w:val="1"/>
          <w:color w:val="auto"/>
        </w:rPr>
        <w:t>Section 5.05(A)(iii)(1)</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 on Effecting Transactions Resulting in Certain Adjustments</w:t>
      </w:r>
      <w:r>
        <w:rPr>
          <w:rFonts w:ascii="Times New Roman" w:cs="Times New Roman" w:eastAsia="Times New Roman" w:hAnsi="Times New Roman"/>
          <w:sz w:val="22"/>
          <w:szCs w:val="22"/>
          <w:color w:val="auto"/>
        </w:rPr>
        <w:t>. The Company will not engage in or be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to any transaction or event that would require the Conversion Rate to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5.07 </w:t>
      </w:r>
      <w:r>
        <w:rPr>
          <w:rFonts w:ascii="Times New Roman" w:cs="Times New Roman" w:eastAsia="Times New Roman" w:hAnsi="Times New Roman"/>
          <w:sz w:val="22"/>
          <w:szCs w:val="22"/>
          <w:color w:val="auto"/>
        </w:rPr>
        <w:t>to an amount that would result in the Conversion Price per share of Common Stock being less than the par value per share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74" w:name="page75"/>
    <w:bookmarkEnd w:id="74"/>
    <w:p>
      <w:pPr>
        <w:jc w:val="both"/>
        <w:ind w:firstLine="656"/>
        <w:spacing w:after="0" w:line="250" w:lineRule="auto"/>
        <w:tabs>
          <w:tab w:leader="none" w:pos="120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Equitable Adjustments to Prices</w:t>
      </w:r>
      <w:r>
        <w:rPr>
          <w:rFonts w:ascii="Times New Roman" w:cs="Times New Roman" w:eastAsia="Times New Roman" w:hAnsi="Times New Roman"/>
          <w:sz w:val="22"/>
          <w:szCs w:val="22"/>
          <w:color w:val="auto"/>
        </w:rPr>
        <w:t>. Whenever any provision of this Indenture requires the Company to calculate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average of the Last Reported Sale Prices, or any function thereof, over a period of multiple days (including to calculate the Stock Price or an adjustment to the Conversion Rate), or to calculate Daily VWAPs over an Observation Period, the Company will make appropriate adjustments, if any, to such calculations to account for any adjustment to the Conversion Rate pursuant to </w:t>
      </w:r>
      <w:r>
        <w:rPr>
          <w:rFonts w:ascii="Times New Roman" w:cs="Times New Roman" w:eastAsia="Times New Roman" w:hAnsi="Times New Roman"/>
          <w:sz w:val="22"/>
          <w:szCs w:val="22"/>
          <w:b w:val="1"/>
          <w:bCs w:val="1"/>
          <w:color w:val="auto"/>
        </w:rPr>
        <w:t xml:space="preserve">Section 5.05(A) </w:t>
      </w:r>
      <w:r>
        <w:rPr>
          <w:rFonts w:ascii="Times New Roman" w:cs="Times New Roman" w:eastAsia="Times New Roman" w:hAnsi="Times New Roman"/>
          <w:sz w:val="22"/>
          <w:szCs w:val="22"/>
          <w:color w:val="auto"/>
        </w:rPr>
        <w:t>that becomes effective, or any event requiring such an adjustment to the Conversion Rate where the Ex-Dividend Date or effective date, as applicable, of such event occurs, at any time during such period or Observation Period, as applicable.</w:t>
      </w:r>
    </w:p>
    <w:p>
      <w:pPr>
        <w:spacing w:after="0" w:line="180" w:lineRule="exact"/>
        <w:rPr>
          <w:rFonts w:ascii="Times New Roman" w:cs="Times New Roman" w:eastAsia="Times New Roman" w:hAnsi="Times New Roman"/>
          <w:sz w:val="22"/>
          <w:szCs w:val="22"/>
          <w:color w:val="auto"/>
        </w:rPr>
      </w:pPr>
    </w:p>
    <w:p>
      <w:pPr>
        <w:jc w:val="both"/>
        <w:ind w:firstLine="656"/>
        <w:spacing w:after="0" w:line="258" w:lineRule="auto"/>
        <w:tabs>
          <w:tab w:leader="none" w:pos="114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 of Number of Outstanding Shares of Common Stock</w:t>
      </w:r>
      <w:r>
        <w:rPr>
          <w:rFonts w:ascii="Times New Roman" w:cs="Times New Roman" w:eastAsia="Times New Roman" w:hAnsi="Times New Roman"/>
          <w:sz w:val="22"/>
          <w:szCs w:val="22"/>
          <w:color w:val="auto"/>
        </w:rPr>
        <w:t>. For purposes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the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67" w:lineRule="exact"/>
        <w:rPr>
          <w:rFonts w:ascii="Times New Roman" w:cs="Times New Roman" w:eastAsia="Times New Roman" w:hAnsi="Times New Roman"/>
          <w:sz w:val="22"/>
          <w:szCs w:val="22"/>
          <w:color w:val="auto"/>
        </w:rPr>
      </w:pPr>
    </w:p>
    <w:p>
      <w:pPr>
        <w:ind w:firstLine="656"/>
        <w:spacing w:after="0" w:line="275" w:lineRule="auto"/>
        <w:tabs>
          <w:tab w:leader="none" w:pos="12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Calculations</w:t>
      </w:r>
      <w:r>
        <w:rPr>
          <w:rFonts w:ascii="Times New Roman" w:cs="Times New Roman" w:eastAsia="Times New Roman" w:hAnsi="Times New Roman"/>
          <w:sz w:val="22"/>
          <w:szCs w:val="22"/>
          <w:color w:val="auto"/>
        </w:rPr>
        <w:t>. All calculations with respect to the Conversion Rate and adjustments thereto will be made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nearest 1/10,000th of a share of Common Stock (with 5/100,000ths rounded upward).</w:t>
      </w:r>
    </w:p>
    <w:p>
      <w:pPr>
        <w:spacing w:after="0" w:line="149" w:lineRule="exact"/>
        <w:rPr>
          <w:rFonts w:ascii="Times New Roman" w:cs="Times New Roman" w:eastAsia="Times New Roman" w:hAnsi="Times New Roman"/>
          <w:sz w:val="22"/>
          <w:szCs w:val="22"/>
          <w:color w:val="auto"/>
        </w:rPr>
      </w:pPr>
    </w:p>
    <w:p>
      <w:pPr>
        <w:jc w:val="both"/>
        <w:ind w:firstLine="656"/>
        <w:spacing w:after="0" w:line="258" w:lineRule="auto"/>
        <w:tabs>
          <w:tab w:leader="none" w:pos="11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Conversion Rate Adjustments</w:t>
      </w:r>
      <w:r>
        <w:rPr>
          <w:rFonts w:ascii="Times New Roman" w:cs="Times New Roman" w:eastAsia="Times New Roman" w:hAnsi="Times New Roman"/>
          <w:sz w:val="22"/>
          <w:szCs w:val="22"/>
          <w:color w:val="auto"/>
        </w:rPr>
        <w:t>. Upon the effectiveness of any adjustment to the Conversion Rate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5.06.</w:t>
      </w:r>
      <w:r>
        <w:rPr>
          <w:sz w:val="20"/>
          <w:szCs w:val="20"/>
          <w:color w:val="auto"/>
        </w:rPr>
        <w:tab/>
      </w:r>
      <w:r>
        <w:rPr>
          <w:rFonts w:ascii="Times New Roman" w:cs="Times New Roman" w:eastAsia="Times New Roman" w:hAnsi="Times New Roman"/>
          <w:sz w:val="21"/>
          <w:szCs w:val="21"/>
          <w:b w:val="1"/>
          <w:bCs w:val="1"/>
          <w:color w:val="auto"/>
        </w:rPr>
        <w:t>Voluntary Adjustments.</w:t>
      </w:r>
    </w:p>
    <w:p>
      <w:pPr>
        <w:spacing w:after="0" w:line="220" w:lineRule="exact"/>
        <w:rPr>
          <w:sz w:val="20"/>
          <w:szCs w:val="20"/>
          <w:color w:val="auto"/>
        </w:rPr>
      </w:pPr>
    </w:p>
    <w:p>
      <w:pPr>
        <w:jc w:val="both"/>
        <w:ind w:firstLine="656"/>
        <w:spacing w:after="0" w:line="252" w:lineRule="auto"/>
        <w:tabs>
          <w:tab w:leader="none" w:pos="123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To the extent permitted by law and applicable stock exchange rules, the Company,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spacing w:after="0" w:line="188" w:lineRule="exact"/>
        <w:rPr>
          <w:rFonts w:ascii="Times New Roman" w:cs="Times New Roman" w:eastAsia="Times New Roman" w:hAnsi="Times New Roman"/>
          <w:sz w:val="22"/>
          <w:szCs w:val="22"/>
          <w:color w:val="auto"/>
        </w:rPr>
      </w:pPr>
    </w:p>
    <w:p>
      <w:pPr>
        <w:jc w:val="both"/>
        <w:ind w:firstLine="656"/>
        <w:spacing w:after="0" w:line="253" w:lineRule="auto"/>
        <w:tabs>
          <w:tab w:leader="none" w:pos="123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Voluntary Increases</w:t>
      </w:r>
      <w:r>
        <w:rPr>
          <w:rFonts w:ascii="Times New Roman" w:cs="Times New Roman" w:eastAsia="Times New Roman" w:hAnsi="Times New Roman"/>
          <w:sz w:val="22"/>
          <w:szCs w:val="22"/>
          <w:color w:val="auto"/>
        </w:rPr>
        <w:t>. If the Board of Directors determines to increase the Conversion Rate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5.06(A)</w:t>
      </w:r>
      <w:r>
        <w:rPr>
          <w:rFonts w:ascii="Times New Roman" w:cs="Times New Roman" w:eastAsia="Times New Roman" w:hAnsi="Times New Roman"/>
          <w:sz w:val="22"/>
          <w:szCs w:val="22"/>
          <w:color w:val="auto"/>
        </w:rPr>
        <w:t>, then, no later than the first Business Day of the related twenty (20) Business Day period referred to in</w:t>
      </w:r>
      <w:r>
        <w:rPr>
          <w:rFonts w:ascii="Times New Roman" w:cs="Times New Roman" w:eastAsia="Times New Roman" w:hAnsi="Times New Roman"/>
          <w:sz w:val="22"/>
          <w:szCs w:val="22"/>
          <w:b w:val="1"/>
          <w:bCs w:val="1"/>
          <w:color w:val="auto"/>
        </w:rPr>
        <w:t xml:space="preserve"> Section 5.06(A)</w:t>
      </w:r>
      <w:r>
        <w:rPr>
          <w:rFonts w:ascii="Times New Roman" w:cs="Times New Roman" w:eastAsia="Times New Roman" w:hAnsi="Times New Roman"/>
          <w:sz w:val="22"/>
          <w:szCs w:val="22"/>
          <w:color w:val="auto"/>
        </w:rPr>
        <w:t>, the Company will send notice to each Holder, the Trustee and the Conversion Agent of such increase, the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and the period during which such increase will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18" w:right="339" w:bottom="1440" w:gutter="0" w:footer="0" w:header="0"/>
        </w:sectPr>
      </w:pPr>
    </w:p>
    <w:bookmarkStart w:id="75" w:name="page76"/>
    <w:bookmarkEnd w:id="75"/>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5.07.</w:t>
      </w:r>
      <w:r>
        <w:rPr>
          <w:sz w:val="20"/>
          <w:szCs w:val="20"/>
          <w:color w:val="auto"/>
        </w:rPr>
        <w:tab/>
      </w:r>
      <w:r>
        <w:rPr>
          <w:rFonts w:ascii="Times New Roman" w:cs="Times New Roman" w:eastAsia="Times New Roman" w:hAnsi="Times New Roman"/>
          <w:sz w:val="21"/>
          <w:szCs w:val="21"/>
          <w:b w:val="1"/>
          <w:bCs w:val="1"/>
          <w:color w:val="auto"/>
        </w:rPr>
        <w:t>Adjustments to the Conversion Rate in Connection with a Make-Whole Fundamental Change.</w:t>
      </w:r>
    </w:p>
    <w:p>
      <w:pPr>
        <w:spacing w:after="0" w:line="220" w:lineRule="exact"/>
        <w:rPr>
          <w:sz w:val="20"/>
          <w:szCs w:val="20"/>
          <w:color w:val="auto"/>
        </w:rPr>
      </w:pPr>
    </w:p>
    <w:p>
      <w:pPr>
        <w:jc w:val="both"/>
        <w:ind w:firstLine="656"/>
        <w:spacing w:after="0" w:line="254" w:lineRule="auto"/>
        <w:tabs>
          <w:tab w:leader="none" w:pos="123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a Make-Whole Fundamental Change occurs and the Conversion Date for the Conversion of a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occurs during the related Make-Whole Fundamental Change Conversion Period, then, subject to this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the Conversion Rate applicable to such Conversion will be increased by a number of shares (the “</w:t>
      </w:r>
      <w:r>
        <w:rPr>
          <w:rFonts w:ascii="Times New Roman" w:cs="Times New Roman" w:eastAsia="Times New Roman" w:hAnsi="Times New Roman"/>
          <w:sz w:val="22"/>
          <w:szCs w:val="22"/>
          <w:b w:val="1"/>
          <w:bCs w:val="1"/>
          <w:color w:val="auto"/>
        </w:rPr>
        <w:t>Additional Shares</w:t>
      </w:r>
      <w:r>
        <w:rPr>
          <w:rFonts w:ascii="Times New Roman" w:cs="Times New Roman" w:eastAsia="Times New Roman" w:hAnsi="Times New Roman"/>
          <w:sz w:val="22"/>
          <w:szCs w:val="22"/>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 Price</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Make-Whole</w:t>
            </w: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0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Fundamental</w:t>
            </w: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Effective</w:t>
            </w:r>
          </w:p>
        </w:tc>
        <w:tc>
          <w:tcPr>
            <w:tcW w:w="68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$69.75</w:t>
            </w:r>
          </w:p>
        </w:tc>
        <w:tc>
          <w:tcPr>
            <w:tcW w:w="68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$80.00</w:t>
            </w:r>
          </w:p>
        </w:tc>
        <w:tc>
          <w:tcPr>
            <w:tcW w:w="6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$90.00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$106.37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$125.00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$138.28</w:t>
            </w:r>
          </w:p>
        </w:tc>
        <w:tc>
          <w:tcPr>
            <w:tcW w:w="580" w:type="dxa"/>
            <w:vAlign w:val="bottom"/>
            <w:vMerge w:val="restart"/>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$150.00</w:t>
            </w:r>
          </w:p>
        </w:tc>
        <w:tc>
          <w:tcPr>
            <w:tcW w:w="90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4"/>
              </w:rPr>
              <w:t>$180.00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$210.00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$250.00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$300.00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$400.00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$500.00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$650.00</w:t>
            </w:r>
          </w:p>
        </w:tc>
        <w:tc>
          <w:tcPr>
            <w:tcW w:w="0" w:type="dxa"/>
            <w:vAlign w:val="bottom"/>
          </w:tcPr>
          <w:p>
            <w:pPr>
              <w:spacing w:after="0"/>
              <w:rPr>
                <w:sz w:val="1"/>
                <w:szCs w:val="1"/>
                <w:color w:val="auto"/>
              </w:rPr>
            </w:pPr>
          </w:p>
        </w:tc>
      </w:tr>
      <w:tr>
        <w:trPr>
          <w:trHeight w:val="156"/>
        </w:trPr>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May 5, 2026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3.9330</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3.2119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2.3779</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1.7491</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1.4296</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1.2079</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0.8093</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0.5600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0.3536</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0.2043</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0.0670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0.0167</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15, 2026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3.9330</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3.2119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2.3758</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1.7410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1.4193</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1.1964</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0.7970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0.5483</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0.3436</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0.1963</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0.0625</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0.0145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15, 2027</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3.9330</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3.2119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2.3381</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1.6814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1.3526</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1.1270</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0.7289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0.4869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0.2928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0.1581</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0.0425</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0.0056</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15, 2028</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3.9330</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3.1550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2.2312</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1.5578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1.2269</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1.0034</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0.6187</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0.3936</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0.2212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0.1085</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0.0218</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15, 2029</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3.8459</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2.9762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2.0125</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1.3327</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1.0103</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0.7985</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0.4502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0.2609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0.1278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0.0506</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0.0040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15, 2030</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3.5543</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2.5991</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1.5848</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0.9238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0.6372</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0.4627</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0.2084</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0.0945</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0.0308</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0.0049</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r>
        <w:trPr>
          <w:trHeight w:val="189"/>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July 15, 2031</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4.9356</w:t>
            </w: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3.0988</w:t>
            </w:r>
          </w:p>
        </w:tc>
        <w:tc>
          <w:tcPr>
            <w:tcW w:w="6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1.7099</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58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0.0000</w:t>
            </w:r>
          </w:p>
        </w:tc>
        <w:tc>
          <w:tcPr>
            <w:tcW w:w="900" w:type="dxa"/>
            <w:vAlign w:val="bottom"/>
          </w:tcPr>
          <w:p>
            <w:pPr>
              <w:jc w:val="center"/>
              <w:ind w:left="106"/>
              <w:spacing w:after="0"/>
              <w:rPr>
                <w:sz w:val="20"/>
                <w:szCs w:val="20"/>
                <w:color w:val="auto"/>
              </w:rPr>
            </w:pPr>
            <w:r>
              <w:rPr>
                <w:rFonts w:ascii="Times New Roman" w:cs="Times New Roman" w:eastAsia="Times New Roman" w:hAnsi="Times New Roman"/>
                <w:sz w:val="11"/>
                <w:szCs w:val="11"/>
                <w:color w:val="auto"/>
                <w:w w:val="99"/>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0.0000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0.0000</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If such Make-Whole Fundamental Change Effective Date or Stock Price is not set forth in the table above, then:</w:t>
      </w:r>
    </w:p>
    <w:p>
      <w:pPr>
        <w:spacing w:after="0" w:line="220" w:lineRule="exact"/>
        <w:rPr>
          <w:sz w:val="20"/>
          <w:szCs w:val="20"/>
          <w:color w:val="auto"/>
        </w:rPr>
      </w:pPr>
    </w:p>
    <w:p>
      <w:pPr>
        <w:jc w:val="both"/>
        <w:ind w:left="660" w:firstLine="644"/>
        <w:spacing w:after="0" w:line="272" w:lineRule="auto"/>
        <w:tabs>
          <w:tab w:leader="none" w:pos="176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60"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3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Stock Price is greater than $650.00 (subject to adjustment in the same manner as the Stock Prices set forth in the column headings of the table above are adjusted pursuant to </w:t>
      </w:r>
      <w:r>
        <w:rPr>
          <w:rFonts w:ascii="Times New Roman" w:cs="Times New Roman" w:eastAsia="Times New Roman" w:hAnsi="Times New Roman"/>
          <w:sz w:val="22"/>
          <w:szCs w:val="22"/>
          <w:b w:val="1"/>
          <w:bCs w:val="1"/>
          <w:color w:val="auto"/>
        </w:rPr>
        <w:t>Section 5.07(B)</w:t>
      </w:r>
      <w:r>
        <w:rPr>
          <w:rFonts w:ascii="Times New Roman" w:cs="Times New Roman" w:eastAsia="Times New Roman" w:hAnsi="Times New Roman"/>
          <w:sz w:val="22"/>
          <w:szCs w:val="22"/>
          <w:color w:val="auto"/>
        </w:rPr>
        <w:t>), or less than $69.75 (subject to adjustment in the same manner), per share, then no Additional Shares will be added to the Conversion Rate.</w:t>
      </w:r>
    </w:p>
    <w:p>
      <w:pPr>
        <w:spacing w:after="0" w:line="173" w:lineRule="exact"/>
        <w:rPr>
          <w:sz w:val="20"/>
          <w:szCs w:val="20"/>
          <w:color w:val="auto"/>
        </w:rPr>
      </w:pPr>
    </w:p>
    <w:p>
      <w:pPr>
        <w:jc w:val="both"/>
        <w:ind w:firstLine="256"/>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or the Notes, in no event will the Conversion Rate be increased to an amount that exceeds 14.3369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288"/>
        <w:spacing w:after="0" w:line="259" w:lineRule="auto"/>
        <w:rPr>
          <w:sz w:val="20"/>
          <w:szCs w:val="20"/>
          <w:color w:val="auto"/>
        </w:rPr>
      </w:pPr>
      <w:r>
        <w:rPr>
          <w:rFonts w:ascii="Times New Roman" w:cs="Times New Roman" w:eastAsia="Times New Roman" w:hAnsi="Times New Roman"/>
          <w:sz w:val="22"/>
          <w:szCs w:val="22"/>
          <w:color w:val="auto"/>
        </w:rPr>
        <w:t xml:space="preserve">For the avoidance of doubt, but subject to </w:t>
      </w:r>
      <w:r>
        <w:rPr>
          <w:rFonts w:ascii="Times New Roman" w:cs="Times New Roman" w:eastAsia="Times New Roman" w:hAnsi="Times New Roman"/>
          <w:sz w:val="22"/>
          <w:szCs w:val="22"/>
          <w:b w:val="1"/>
          <w:bCs w:val="1"/>
          <w:color w:val="auto"/>
        </w:rPr>
        <w:t>Section 4.03(I)</w:t>
      </w:r>
      <w:r>
        <w:rPr>
          <w:rFonts w:ascii="Times New Roman" w:cs="Times New Roman" w:eastAsia="Times New Roman" w:hAnsi="Times New Roman"/>
          <w:sz w:val="22"/>
          <w:szCs w:val="22"/>
          <w:color w:val="auto"/>
        </w:rPr>
        <w:t>,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xml:space="preserve">will not be subject to increase pursuant to this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xml:space="preserve"> on account of such Redemption Notice.</w:t>
      </w:r>
    </w:p>
    <w:p>
      <w:pPr>
        <w:spacing w:after="0" w:line="247" w:lineRule="exact"/>
        <w:rPr>
          <w:sz w:val="20"/>
          <w:szCs w:val="20"/>
          <w:color w:val="auto"/>
        </w:rPr>
      </w:pPr>
    </w:p>
    <w:p>
      <w:pPr>
        <w:jc w:val="both"/>
        <w:ind w:firstLine="656"/>
        <w:spacing w:after="0" w:line="254" w:lineRule="auto"/>
        <w:tabs>
          <w:tab w:leader="none" w:pos="121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Adjustment of Stock Prices and Number of Additional Shares</w:t>
      </w:r>
      <w:r>
        <w:rPr>
          <w:rFonts w:ascii="Times New Roman" w:cs="Times New Roman" w:eastAsia="Times New Roman" w:hAnsi="Times New Roman"/>
          <w:sz w:val="22"/>
          <w:szCs w:val="22"/>
          <w:color w:val="auto"/>
        </w:rPr>
        <w:t>. The Stock Prices in the first row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column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headers) of the table set forth in </w:t>
      </w:r>
      <w:r>
        <w:rPr>
          <w:rFonts w:ascii="Times New Roman" w:cs="Times New Roman" w:eastAsia="Times New Roman" w:hAnsi="Times New Roman"/>
          <w:sz w:val="22"/>
          <w:szCs w:val="22"/>
          <w:b w:val="1"/>
          <w:bCs w:val="1"/>
          <w:color w:val="auto"/>
        </w:rPr>
        <w:t>Section 5.07(A)</w:t>
      </w:r>
      <w:r>
        <w:rPr>
          <w:rFonts w:ascii="Times New Roman" w:cs="Times New Roman" w:eastAsia="Times New Roman" w:hAnsi="Times New Roman"/>
          <w:sz w:val="22"/>
          <w:szCs w:val="22"/>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 xml:space="preserve">. The numbers of Additional Shares in the table set forth in </w:t>
      </w:r>
      <w:r>
        <w:rPr>
          <w:rFonts w:ascii="Times New Roman" w:cs="Times New Roman" w:eastAsia="Times New Roman" w:hAnsi="Times New Roman"/>
          <w:sz w:val="22"/>
          <w:szCs w:val="22"/>
          <w:b w:val="1"/>
          <w:bCs w:val="1"/>
          <w:color w:val="auto"/>
        </w:rPr>
        <w:t>Section 5.07(A)</w:t>
      </w:r>
      <w:r>
        <w:rPr>
          <w:rFonts w:ascii="Times New Roman" w:cs="Times New Roman" w:eastAsia="Times New Roman" w:hAnsi="Times New Roman"/>
          <w:sz w:val="22"/>
          <w:szCs w:val="22"/>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22"/>
          <w:szCs w:val="22"/>
          <w:b w:val="1"/>
          <w:bCs w:val="1"/>
          <w:color w:val="auto"/>
        </w:rPr>
        <w:t>Section 5.05(A)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258" w:lineRule="auto"/>
        <w:tabs>
          <w:tab w:leader="none" w:pos="115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the Occurrence of a Make-Whole Fundamental Change</w:t>
      </w:r>
      <w:r>
        <w:rPr>
          <w:rFonts w:ascii="Times New Roman" w:cs="Times New Roman" w:eastAsia="Times New Roman" w:hAnsi="Times New Roman"/>
          <w:sz w:val="22"/>
          <w:szCs w:val="22"/>
          <w:color w:val="auto"/>
        </w:rPr>
        <w:t>. The Company will notify the Holders, the Trustee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and the Conversion Agent of each Make-Whole Fundamental Change (i) occurring pursuant to </w:t>
      </w:r>
      <w:r>
        <w:rPr>
          <w:rFonts w:ascii="Times New Roman" w:cs="Times New Roman" w:eastAsia="Times New Roman" w:hAnsi="Times New Roman"/>
          <w:sz w:val="22"/>
          <w:szCs w:val="22"/>
          <w:b w:val="1"/>
          <w:bCs w:val="1"/>
          <w:color w:val="auto"/>
        </w:rPr>
        <w:t>clause (A)</w:t>
      </w:r>
      <w:r>
        <w:rPr>
          <w:rFonts w:ascii="Times New Roman" w:cs="Times New Roman" w:eastAsia="Times New Roman" w:hAnsi="Times New Roman"/>
          <w:sz w:val="22"/>
          <w:szCs w:val="22"/>
          <w:color w:val="auto"/>
        </w:rPr>
        <w:t xml:space="preserve"> of the definition thereof in accordance with </w:t>
      </w:r>
      <w:r>
        <w:rPr>
          <w:rFonts w:ascii="Times New Roman" w:cs="Times New Roman" w:eastAsia="Times New Roman" w:hAnsi="Times New Roman"/>
          <w:sz w:val="22"/>
          <w:szCs w:val="22"/>
          <w:b w:val="1"/>
          <w:bCs w:val="1"/>
          <w:color w:val="auto"/>
        </w:rPr>
        <w:t>Section 5.01(C)(i)(3)(b)</w:t>
      </w:r>
      <w:r>
        <w:rPr>
          <w:rFonts w:ascii="Times New Roman" w:cs="Times New Roman" w:eastAsia="Times New Roman" w:hAnsi="Times New Roman"/>
          <w:sz w:val="22"/>
          <w:szCs w:val="22"/>
          <w:color w:val="auto"/>
        </w:rPr>
        <w:t xml:space="preserve">; and (ii) occurring pursuant to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of the definition thereof in accordance with </w:t>
      </w:r>
      <w:r>
        <w:rPr>
          <w:rFonts w:ascii="Times New Roman" w:cs="Times New Roman" w:eastAsia="Times New Roman" w:hAnsi="Times New Roman"/>
          <w:sz w:val="22"/>
          <w:szCs w:val="22"/>
          <w:b w:val="1"/>
          <w:bCs w:val="1"/>
          <w:color w:val="auto"/>
        </w:rPr>
        <w:t>Section 4.03(F)</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5.08.</w:t>
      </w:r>
      <w:r>
        <w:rPr>
          <w:sz w:val="20"/>
          <w:szCs w:val="20"/>
          <w:color w:val="auto"/>
        </w:rPr>
        <w:tab/>
      </w:r>
      <w:r>
        <w:rPr>
          <w:rFonts w:ascii="Times New Roman" w:cs="Times New Roman" w:eastAsia="Times New Roman" w:hAnsi="Times New Roman"/>
          <w:sz w:val="21"/>
          <w:szCs w:val="21"/>
          <w:b w:val="1"/>
          <w:bCs w:val="1"/>
          <w:color w:val="auto"/>
        </w:rPr>
        <w:t>Exchange in Lieu of Conversion.</w:t>
      </w:r>
    </w:p>
    <w:p>
      <w:pPr>
        <w:spacing w:after="0" w:line="220" w:lineRule="exact"/>
        <w:rPr>
          <w:sz w:val="20"/>
          <w:szCs w:val="20"/>
          <w:color w:val="auto"/>
        </w:rPr>
      </w:pPr>
    </w:p>
    <w:p>
      <w:pPr>
        <w:jc w:val="both"/>
        <w:ind w:firstLine="236"/>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and subject to the terms of this </w:t>
      </w:r>
      <w:r>
        <w:rPr>
          <w:rFonts w:ascii="Times New Roman" w:cs="Times New Roman" w:eastAsia="Times New Roman" w:hAnsi="Times New Roman"/>
          <w:sz w:val="22"/>
          <w:szCs w:val="22"/>
          <w:b w:val="1"/>
          <w:bCs w:val="1"/>
          <w:color w:val="auto"/>
        </w:rPr>
        <w:t>Section 5.08</w:t>
      </w:r>
      <w:r>
        <w:rPr>
          <w:rFonts w:ascii="Times New Roman" w:cs="Times New Roman" w:eastAsia="Times New Roman" w:hAnsi="Times New Roman"/>
          <w:sz w:val="22"/>
          <w:szCs w:val="22"/>
          <w:color w:val="auto"/>
        </w:rPr>
        <w:t>, if a Note is submitted for Conversion, the Company may elect to arrange to have such Note exchanged in lieu of Conversion by a financial institution designated by the Company. To make such election, the Company must send notice of such election to the Holder of such Note, the Trustee and the Conversion Agent before the Close of Business on the Business Day immediately following the Conversion Date for such Note. If the Company has made such election, then:</w:t>
      </w:r>
    </w:p>
    <w:p>
      <w:pPr>
        <w:spacing w:after="0" w:line="177" w:lineRule="exact"/>
        <w:rPr>
          <w:sz w:val="20"/>
          <w:szCs w:val="20"/>
          <w:color w:val="auto"/>
        </w:rPr>
      </w:pPr>
    </w:p>
    <w:p>
      <w:pPr>
        <w:jc w:val="both"/>
        <w:ind w:firstLine="656"/>
        <w:spacing w:after="0" w:line="253" w:lineRule="auto"/>
        <w:tabs>
          <w:tab w:leader="none" w:pos="120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deliver such Conversion Consideration in the manner and at the time the Company would have had to deliver the same pursuant to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Note is a Global Note, then (i) such designated institution will send written confirmation to the Conversion Agent promptly after wiring the cash Conversion Consideration, if any, and delivering any other Conversion Consideration, due upon such Conversion to the Holder of such Note; and (ii) the Conversion Agent will as soon as reasonably practicable thereafter contact such Holder’s custodian with the Depositary to confirm receipt of the same; and</w:t>
      </w:r>
    </w:p>
    <w:p>
      <w:pPr>
        <w:spacing w:after="0" w:line="17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Note will not cease to be outstanding by reason of such exchange in lieu of Conversion;</w:t>
      </w:r>
    </w:p>
    <w:p>
      <w:pPr>
        <w:spacing w:after="0" w:line="21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such financial institution does not accept such Note or fails to timely deliver such Conversion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Consideration, then the Company will be responsible for delivering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18" w:right="339" w:bottom="1440" w:gutter="0" w:footer="0" w:header="0"/>
        </w:sectPr>
      </w:pPr>
    </w:p>
    <w:bookmarkStart w:id="77" w:name="page78"/>
    <w:bookmarkEnd w:id="77"/>
    <w:p>
      <w:pPr>
        <w:spacing w:after="0" w:line="275" w:lineRule="auto"/>
        <w:rPr>
          <w:sz w:val="20"/>
          <w:szCs w:val="20"/>
          <w:color w:val="auto"/>
        </w:rPr>
      </w:pPr>
      <w:r>
        <w:rPr>
          <w:rFonts w:ascii="Times New Roman" w:cs="Times New Roman" w:eastAsia="Times New Roman" w:hAnsi="Times New Roman"/>
          <w:sz w:val="22"/>
          <w:szCs w:val="22"/>
          <w:color w:val="auto"/>
        </w:rPr>
        <w:t xml:space="preserve">Conversion Consideration in the manner and at the time provided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as if the Company had not elected to make an exchange in lieu of Conversion.</w:t>
      </w:r>
    </w:p>
    <w:p>
      <w:pPr>
        <w:spacing w:after="0" w:line="17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5.09.</w:t>
      </w:r>
      <w:r>
        <w:rPr>
          <w:sz w:val="20"/>
          <w:szCs w:val="20"/>
          <w:color w:val="auto"/>
        </w:rPr>
        <w:tab/>
      </w:r>
      <w:r>
        <w:rPr>
          <w:rFonts w:ascii="Times New Roman" w:cs="Times New Roman" w:eastAsia="Times New Roman" w:hAnsi="Times New Roman"/>
          <w:sz w:val="21"/>
          <w:szCs w:val="21"/>
          <w:b w:val="1"/>
          <w:bCs w:val="1"/>
          <w:color w:val="auto"/>
        </w:rPr>
        <w:t>Effect of Common Stock Change Event.</w:t>
      </w:r>
    </w:p>
    <w:p>
      <w:pPr>
        <w:spacing w:after="0" w:line="233" w:lineRule="exact"/>
        <w:rPr>
          <w:sz w:val="20"/>
          <w:szCs w:val="20"/>
          <w:color w:val="auto"/>
        </w:rPr>
      </w:pPr>
    </w:p>
    <w:p>
      <w:pPr>
        <w:ind w:left="1180" w:hanging="524"/>
        <w:spacing w:after="0"/>
        <w:tabs>
          <w:tab w:leader="none" w:pos="11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If there occurs any:</w:t>
      </w:r>
    </w:p>
    <w:p>
      <w:pPr>
        <w:spacing w:after="0" w:line="22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2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consolidation, merger, combination or binding or statutory share exchange involving the Company;</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57"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lease or other transfer of all or substantially all of the assets of the Company and its Subsidiaries, taken as a whole, to any Person; or</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similar event,</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22"/>
          <w:szCs w:val="22"/>
          <w:b w:val="1"/>
          <w:bCs w:val="1"/>
          <w:color w:val="auto"/>
        </w:rPr>
        <w:t>Common Stock Change Event</w:t>
      </w:r>
      <w:r>
        <w:rPr>
          <w:rFonts w:ascii="Times New Roman" w:cs="Times New Roman" w:eastAsia="Times New Roman" w:hAnsi="Times New Roman"/>
          <w:sz w:val="22"/>
          <w:szCs w:val="22"/>
          <w:color w:val="auto"/>
        </w:rPr>
        <w:t>,” and such other securities, cash or property, the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Unit</w:t>
      </w:r>
      <w:r>
        <w:rPr>
          <w:rFonts w:ascii="Times New Roman" w:cs="Times New Roman" w:eastAsia="Times New Roman" w:hAnsi="Times New Roman"/>
          <w:sz w:val="22"/>
          <w:szCs w:val="22"/>
          <w:color w:val="auto"/>
        </w:rPr>
        <w:t>”), then, notwithstanding anything to the contrary in this Indenture or the Notes,</w:t>
      </w:r>
    </w:p>
    <w:p>
      <w:pPr>
        <w:spacing w:after="0" w:line="208" w:lineRule="exact"/>
        <w:rPr>
          <w:sz w:val="20"/>
          <w:szCs w:val="20"/>
          <w:color w:val="auto"/>
        </w:rPr>
      </w:pPr>
    </w:p>
    <w:p>
      <w:pPr>
        <w:jc w:val="both"/>
        <w:ind w:left="660" w:firstLine="644"/>
        <w:spacing w:after="0" w:line="250" w:lineRule="auto"/>
        <w:tabs>
          <w:tab w:leader="none" w:pos="185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22"/>
          <w:szCs w:val="22"/>
          <w:b w:val="1"/>
          <w:bCs w:val="1"/>
          <w:color w:val="auto"/>
        </w:rPr>
        <w:t>Section 4.03</w:t>
      </w:r>
      <w:r>
        <w:rPr>
          <w:rFonts w:ascii="Times New Roman" w:cs="Times New Roman" w:eastAsia="Times New Roman" w:hAnsi="Times New Roman"/>
          <w:sz w:val="22"/>
          <w:szCs w:val="22"/>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refer to the common equity (including depositary receipts representing common equity), if any, forming part of such Reference Property;</w:t>
      </w:r>
    </w:p>
    <w:p>
      <w:pPr>
        <w:spacing w:after="0" w:line="179" w:lineRule="exact"/>
        <w:rPr>
          <w:rFonts w:ascii="Times New Roman" w:cs="Times New Roman" w:eastAsia="Times New Roman" w:hAnsi="Times New Roman"/>
          <w:sz w:val="22"/>
          <w:szCs w:val="22"/>
          <w:color w:val="auto"/>
        </w:rPr>
      </w:pPr>
    </w:p>
    <w:p>
      <w:pPr>
        <w:jc w:val="both"/>
        <w:ind w:left="660" w:right="20" w:firstLine="644"/>
        <w:spacing w:after="0" w:line="257" w:lineRule="auto"/>
        <w:tabs>
          <w:tab w:leader="none" w:pos="190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Reference Property Unit consists entirely of cash, then (I) each Conversion of any Note with a Conversion Date that occurs on or after the effective date of such Common Stock Change Event will be settled entirely in cash in an amount,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18" w:right="339" w:bottom="1440" w:gutter="0" w:footer="0" w:header="0"/>
        </w:sectPr>
      </w:pPr>
    </w:p>
    <w:bookmarkStart w:id="78" w:name="page79"/>
    <w:bookmarkEnd w:id="78"/>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22"/>
          <w:szCs w:val="22"/>
          <w:b w:val="1"/>
          <w:bCs w:val="1"/>
          <w:color w:val="auto"/>
        </w:rPr>
        <w:t>Section 5.07</w:t>
      </w:r>
      <w:r>
        <w:rPr>
          <w:rFonts w:ascii="Times New Roman" w:cs="Times New Roman" w:eastAsia="Times New Roman" w:hAnsi="Times New Roman"/>
          <w:sz w:val="22"/>
          <w:szCs w:val="22"/>
          <w:color w:val="auto"/>
        </w:rPr>
        <w:t>, if applicable); and (y) the amount of cash constituting such Reference Property Unit; and (II) the Company will settle each such Conversion no later than the fifth (5th) Business Day after the relevant Conversion Date; and</w:t>
      </w:r>
    </w:p>
    <w:p>
      <w:pPr>
        <w:spacing w:after="0" w:line="176" w:lineRule="exact"/>
        <w:rPr>
          <w:sz w:val="20"/>
          <w:szCs w:val="20"/>
          <w:color w:val="auto"/>
        </w:rPr>
      </w:pPr>
    </w:p>
    <w:p>
      <w:pPr>
        <w:jc w:val="both"/>
        <w:ind w:left="660" w:firstLine="644"/>
        <w:spacing w:after="0" w:line="263" w:lineRule="auto"/>
        <w:tabs>
          <w:tab w:leader="none" w:pos="1813"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and in a commercially reasonable manner by the Company (or, in the case of cash denominated in U.S. dollars, the face amount thereof).</w:t>
      </w:r>
    </w:p>
    <w:p>
      <w:pPr>
        <w:spacing w:after="0" w:line="200" w:lineRule="exact"/>
        <w:rPr>
          <w:sz w:val="20"/>
          <w:szCs w:val="20"/>
          <w:color w:val="auto"/>
        </w:rPr>
      </w:pPr>
    </w:p>
    <w:p>
      <w:pPr>
        <w:jc w:val="both"/>
        <w:ind w:firstLine="233"/>
        <w:spacing w:after="0" w:line="253" w:lineRule="auto"/>
        <w:rPr>
          <w:sz w:val="20"/>
          <w:szCs w:val="20"/>
          <w:color w:val="auto"/>
        </w:rPr>
      </w:pPr>
      <w:r>
        <w:rPr>
          <w:rFonts w:ascii="Times New Roman" w:cs="Times New Roman" w:eastAsia="Times New Roman" w:hAnsi="Times New Roman"/>
          <w:sz w:val="22"/>
          <w:szCs w:val="22"/>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of such weighted average as soon as practicable after such determination is made.</w:t>
      </w:r>
    </w:p>
    <w:p>
      <w:pPr>
        <w:spacing w:after="0" w:line="206" w:lineRule="exact"/>
        <w:rPr>
          <w:sz w:val="20"/>
          <w:szCs w:val="20"/>
          <w:color w:val="auto"/>
        </w:rPr>
      </w:pPr>
    </w:p>
    <w:p>
      <w:pPr>
        <w:jc w:val="both"/>
        <w:ind w:firstLine="342"/>
        <w:spacing w:after="0" w:line="260" w:lineRule="auto"/>
        <w:rPr>
          <w:sz w:val="20"/>
          <w:szCs w:val="20"/>
          <w:color w:val="auto"/>
        </w:rPr>
      </w:pPr>
      <w:r>
        <w:rPr>
          <w:rFonts w:ascii="Times New Roman" w:cs="Times New Roman" w:eastAsia="Times New Roman" w:hAnsi="Times New Roman"/>
          <w:sz w:val="21"/>
          <w:szCs w:val="21"/>
          <w:color w:val="auto"/>
        </w:rPr>
        <w:t>Subject to the last sentence of this paragraph, 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21"/>
          <w:szCs w:val="21"/>
          <w:b w:val="1"/>
          <w:bCs w:val="1"/>
          <w:color w:val="auto"/>
        </w:rPr>
        <w:t>Successor Person</w:t>
      </w:r>
      <w:r>
        <w:rPr>
          <w:rFonts w:ascii="Times New Roman" w:cs="Times New Roman" w:eastAsia="Times New Roman" w:hAnsi="Times New Roman"/>
          <w:sz w:val="21"/>
          <w:szCs w:val="21"/>
          <w:color w:val="auto"/>
        </w:rPr>
        <w:t xml:space="preserve">”) will execute and deliver to the Trustee a supplemental indenture pursuant to </w:t>
      </w:r>
      <w:r>
        <w:rPr>
          <w:rFonts w:ascii="Times New Roman" w:cs="Times New Roman" w:eastAsia="Times New Roman" w:hAnsi="Times New Roman"/>
          <w:sz w:val="21"/>
          <w:szCs w:val="21"/>
          <w:b w:val="1"/>
          <w:bCs w:val="1"/>
          <w:color w:val="auto"/>
        </w:rPr>
        <w:t>Section 8.01(F)</w:t>
      </w:r>
      <w:r>
        <w:rPr>
          <w:rFonts w:ascii="Times New Roman" w:cs="Times New Roman" w:eastAsia="Times New Roman" w:hAnsi="Times New Roman"/>
          <w:sz w:val="21"/>
          <w:szCs w:val="21"/>
          <w:color w:val="auto"/>
        </w:rPr>
        <w:t xml:space="preserve">, which supplemental indenture will (x) provide for subsequent Conversions of Notes in the manner set forth in this </w:t>
      </w:r>
      <w:r>
        <w:rPr>
          <w:rFonts w:ascii="Times New Roman" w:cs="Times New Roman" w:eastAsia="Times New Roman" w:hAnsi="Times New Roman"/>
          <w:sz w:val="21"/>
          <w:szCs w:val="21"/>
          <w:b w:val="1"/>
          <w:bCs w:val="1"/>
          <w:color w:val="auto"/>
        </w:rPr>
        <w:t>Section 5.09</w:t>
      </w:r>
      <w:r>
        <w:rPr>
          <w:rFonts w:ascii="Times New Roman" w:cs="Times New Roman" w:eastAsia="Times New Roman" w:hAnsi="Times New Roman"/>
          <w:sz w:val="21"/>
          <w:szCs w:val="21"/>
          <w:color w:val="auto"/>
        </w:rPr>
        <w:t xml:space="preserve">; (y) provide for subsequent adjustments to the Conversion Rate pursuant to </w:t>
      </w:r>
      <w:r>
        <w:rPr>
          <w:rFonts w:ascii="Times New Roman" w:cs="Times New Roman" w:eastAsia="Times New Roman" w:hAnsi="Times New Roman"/>
          <w:sz w:val="21"/>
          <w:szCs w:val="21"/>
          <w:b w:val="1"/>
          <w:bCs w:val="1"/>
          <w:color w:val="auto"/>
        </w:rPr>
        <w:t>Section 5.05(A)</w:t>
      </w:r>
      <w:r>
        <w:rPr>
          <w:rFonts w:ascii="Times New Roman" w:cs="Times New Roman" w:eastAsia="Times New Roman" w:hAnsi="Times New Roman"/>
          <w:sz w:val="21"/>
          <w:szCs w:val="21"/>
          <w:color w:val="auto"/>
        </w:rPr>
        <w:t xml:space="preserve"> in a manner consistent with this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5.09 </w:t>
      </w:r>
      <w:r>
        <w:rPr>
          <w:rFonts w:ascii="Times New Roman" w:cs="Times New Roman" w:eastAsia="Times New Roman" w:hAnsi="Times New Roman"/>
          <w:sz w:val="21"/>
          <w:szCs w:val="21"/>
          <w:color w:val="auto"/>
        </w:rPr>
        <w:t>(including giving effect, in the reasonable discretion of the Company, to the Dividend Threshold in a manner that reflects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nature and value of the Reference Property Unit);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21"/>
          <w:szCs w:val="21"/>
          <w:b w:val="1"/>
          <w:bCs w:val="1"/>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5.09(A)</w:t>
      </w:r>
      <w:r>
        <w:rPr>
          <w:rFonts w:ascii="Times New Roman" w:cs="Times New Roman" w:eastAsia="Times New Roman" w:hAnsi="Times New Roman"/>
          <w:sz w:val="21"/>
          <w:szCs w:val="21"/>
          <w:color w:val="auto"/>
        </w:rPr>
        <w:t>. If the Reference Property includes shares of stock or other securities or assets (other than cash) of a Person other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Successor Person, then such other Person will also execute such supplemental indenture and such supplemental indenture will contain such additional provisions, if any, that the Company reasonably determines are appropriate to preserve the economic interests of the Holders. Notwithstanding anything to the contrary in this paragraph, no such supplemental indenture is required (but the Company may nonetheless choose to execute such a supplemental indenture at its option) if (x) the Company the resulting, surviving or transferee Person of such Common Stock Change Event; and (ii) the Reference Property of such Common Stock Change Event does not include consideration other than cash or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79" w:name="page80"/>
    <w:bookmarkEnd w:id="79"/>
    <w:p>
      <w:pPr>
        <w:spacing w:after="0" w:line="221" w:lineRule="exact"/>
        <w:rPr>
          <w:sz w:val="20"/>
          <w:szCs w:val="20"/>
          <w:color w:val="auto"/>
        </w:rPr>
      </w:pPr>
    </w:p>
    <w:p>
      <w:pPr>
        <w:jc w:val="both"/>
        <w:ind w:firstLine="656"/>
        <w:spacing w:after="0" w:line="259" w:lineRule="auto"/>
        <w:tabs>
          <w:tab w:leader="none" w:pos="117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Common Stock Change Events</w:t>
      </w:r>
      <w:r>
        <w:rPr>
          <w:rFonts w:ascii="Times New Roman" w:cs="Times New Roman" w:eastAsia="Times New Roman" w:hAnsi="Times New Roman"/>
          <w:sz w:val="22"/>
          <w:szCs w:val="22"/>
          <w:color w:val="auto"/>
        </w:rPr>
        <w:t>. The Company will provide notice of each Common Stock Change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Holders, the Trustee and the Conversion Agent no later than the second (2nd) Business Day after the effective date of such Common Stock Change Event.</w:t>
      </w:r>
    </w:p>
    <w:p>
      <w:pPr>
        <w:spacing w:after="0" w:line="179" w:lineRule="exact"/>
        <w:rPr>
          <w:rFonts w:ascii="Times New Roman" w:cs="Times New Roman" w:eastAsia="Times New Roman" w:hAnsi="Times New Roman"/>
          <w:sz w:val="22"/>
          <w:szCs w:val="22"/>
          <w:color w:val="auto"/>
        </w:rPr>
      </w:pPr>
    </w:p>
    <w:p>
      <w:pPr>
        <w:ind w:firstLine="656"/>
        <w:spacing w:after="0" w:line="275" w:lineRule="auto"/>
        <w:tabs>
          <w:tab w:leader="none" w:pos="116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Covenant</w:t>
      </w:r>
      <w:r>
        <w:rPr>
          <w:rFonts w:ascii="Times New Roman" w:cs="Times New Roman" w:eastAsia="Times New Roman" w:hAnsi="Times New Roman"/>
          <w:sz w:val="22"/>
          <w:szCs w:val="22"/>
          <w:color w:val="auto"/>
        </w:rPr>
        <w:t>. The Company will not become a party to any Common Stock Change Event unless its terms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are consistent with this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4380"/>
        <w:spacing w:after="0"/>
        <w:tabs>
          <w:tab w:leader="none" w:pos="542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6.01.</w:t>
      </w:r>
      <w:r>
        <w:rPr>
          <w:sz w:val="20"/>
          <w:szCs w:val="20"/>
          <w:color w:val="auto"/>
        </w:rPr>
        <w:tab/>
      </w:r>
      <w:r>
        <w:rPr>
          <w:rFonts w:ascii="Times New Roman" w:cs="Times New Roman" w:eastAsia="Times New Roman" w:hAnsi="Times New Roman"/>
          <w:sz w:val="21"/>
          <w:szCs w:val="21"/>
          <w:b w:val="1"/>
          <w:bCs w:val="1"/>
          <w:color w:val="auto"/>
        </w:rPr>
        <w:t>When the Company May Merge, Etc.</w:t>
      </w:r>
    </w:p>
    <w:p>
      <w:pPr>
        <w:spacing w:after="0" w:line="220" w:lineRule="exact"/>
        <w:rPr>
          <w:sz w:val="20"/>
          <w:szCs w:val="20"/>
          <w:color w:val="auto"/>
        </w:rPr>
      </w:pPr>
    </w:p>
    <w:p>
      <w:pPr>
        <w:jc w:val="both"/>
        <w:ind w:firstLine="656"/>
        <w:spacing w:after="0" w:line="283" w:lineRule="auto"/>
        <w:tabs>
          <w:tab w:leader="none" w:pos="120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Generally</w:t>
      </w:r>
      <w:r>
        <w:rPr>
          <w:rFonts w:ascii="Times New Roman" w:cs="Times New Roman" w:eastAsia="Times New Roman" w:hAnsi="Times New Roman"/>
          <w:sz w:val="21"/>
          <w:szCs w:val="21"/>
          <w:color w:val="auto"/>
        </w:rPr>
        <w:t>. The Company will not consolidate with or merge with or into, or (directly, or indirectly through one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more of its Subsidiaries) 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21"/>
          <w:szCs w:val="21"/>
          <w:b w:val="1"/>
          <w:bCs w:val="1"/>
          <w:color w:val="auto"/>
        </w:rPr>
        <w:t>Business Combination Event</w:t>
      </w:r>
      <w:r>
        <w:rPr>
          <w:rFonts w:ascii="Times New Roman" w:cs="Times New Roman" w:eastAsia="Times New Roman" w:hAnsi="Times New Roman"/>
          <w:sz w:val="21"/>
          <w:szCs w:val="21"/>
          <w:color w:val="auto"/>
        </w:rPr>
        <w:t>”), unless:</w:t>
      </w:r>
    </w:p>
    <w:p>
      <w:pPr>
        <w:spacing w:after="0" w:line="148"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87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either (x) is the Company or (y) if not the Company, is a Qualified Successor Entity (such Qualified Successor Entity, the “</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22"/>
          <w:szCs w:val="22"/>
          <w:b w:val="1"/>
          <w:bCs w:val="1"/>
          <w:color w:val="auto"/>
        </w:rPr>
        <w:t>Section 8.01(E)</w:t>
      </w:r>
      <w:r>
        <w:rPr>
          <w:rFonts w:ascii="Times New Roman" w:cs="Times New Roman" w:eastAsia="Times New Roman" w:hAnsi="Times New Roman"/>
          <w:sz w:val="22"/>
          <w:szCs w:val="22"/>
          <w:color w:val="auto"/>
        </w:rPr>
        <w:t>) all of the Company’s obligations under this Indenture and the Notes; and</w:t>
      </w:r>
    </w:p>
    <w:p>
      <w:pPr>
        <w:spacing w:after="0" w:line="181"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Business Combination Event, no Default will have occurred and be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w:t>
      </w:r>
    </w:p>
    <w:p>
      <w:pPr>
        <w:spacing w:after="0" w:line="191" w:lineRule="exact"/>
        <w:rPr>
          <w:rFonts w:ascii="Times New Roman" w:cs="Times New Roman" w:eastAsia="Times New Roman" w:hAnsi="Times New Roman"/>
          <w:sz w:val="22"/>
          <w:szCs w:val="22"/>
          <w:color w:val="auto"/>
        </w:rPr>
      </w:pPr>
    </w:p>
    <w:p>
      <w:pPr>
        <w:jc w:val="both"/>
        <w:ind w:firstLine="656"/>
        <w:spacing w:after="0" w:line="258" w:lineRule="auto"/>
        <w:tabs>
          <w:tab w:leader="none" w:pos="12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Officer’s Certificate and Opinion of Counsel to the Trustee</w:t>
      </w:r>
      <w:r>
        <w:rPr>
          <w:rFonts w:ascii="Times New Roman" w:cs="Times New Roman" w:eastAsia="Times New Roman" w:hAnsi="Times New Roman"/>
          <w:sz w:val="22"/>
          <w:szCs w:val="22"/>
          <w:color w:val="auto"/>
        </w:rPr>
        <w:t>. At or before the effective time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Business Combination Event, the 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6.01(A)</w:t>
      </w:r>
      <w:r>
        <w:rPr>
          <w:rFonts w:ascii="Times New Roman" w:cs="Times New Roman" w:eastAsia="Times New Roman" w:hAnsi="Times New Roman"/>
          <w:sz w:val="22"/>
          <w:szCs w:val="22"/>
          <w:color w:val="auto"/>
        </w:rPr>
        <w:t>; and (ii) all conditions precedent to such Business Combination Event provided in this Indenture have been satisfied.</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6.02.</w:t>
      </w:r>
      <w:r>
        <w:rPr>
          <w:sz w:val="20"/>
          <w:szCs w:val="20"/>
          <w:color w:val="auto"/>
        </w:rPr>
        <w:tab/>
      </w:r>
      <w:r>
        <w:rPr>
          <w:rFonts w:ascii="Times New Roman" w:cs="Times New Roman" w:eastAsia="Times New Roman" w:hAnsi="Times New Roman"/>
          <w:sz w:val="21"/>
          <w:szCs w:val="21"/>
          <w:b w:val="1"/>
          <w:bCs w:val="1"/>
          <w:color w:val="auto"/>
        </w:rPr>
        <w:t>Successor Entity Substituted.</w:t>
      </w:r>
    </w:p>
    <w:p>
      <w:pPr>
        <w:spacing w:after="0" w:line="220" w:lineRule="exact"/>
        <w:rPr>
          <w:sz w:val="20"/>
          <w:szCs w:val="20"/>
          <w:color w:val="auto"/>
        </w:rPr>
      </w:pPr>
    </w:p>
    <w:p>
      <w:pPr>
        <w:jc w:val="both"/>
        <w:ind w:firstLine="288"/>
        <w:spacing w:after="0" w:line="258" w:lineRule="auto"/>
        <w:rPr>
          <w:sz w:val="20"/>
          <w:szCs w:val="20"/>
          <w:color w:val="auto"/>
        </w:rPr>
      </w:pPr>
      <w:r>
        <w:rPr>
          <w:rFonts w:ascii="Times New Roman" w:cs="Times New Roman" w:eastAsia="Times New Roman" w:hAnsi="Times New Roman"/>
          <w:sz w:val="22"/>
          <w:szCs w:val="22"/>
          <w:color w:val="auto"/>
        </w:rPr>
        <w:t xml:space="preserve">At the effective time of any Business Combination Event that complies with </w:t>
      </w:r>
      <w:r>
        <w:rPr>
          <w:rFonts w:ascii="Times New Roman" w:cs="Times New Roman" w:eastAsia="Times New Roman" w:hAnsi="Times New Roman"/>
          <w:sz w:val="22"/>
          <w:szCs w:val="22"/>
          <w:b w:val="1"/>
          <w:bCs w:val="1"/>
          <w:color w:val="auto"/>
        </w:rPr>
        <w:t>Section 6.01</w:t>
      </w:r>
      <w:r>
        <w:rPr>
          <w:rFonts w:ascii="Times New Roman" w:cs="Times New Roman" w:eastAsia="Times New Roman" w:hAnsi="Times New Roman"/>
          <w:sz w:val="22"/>
          <w:szCs w:val="22"/>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color w:val="auto"/>
        </w:rPr>
        <w:t>DEFAULTS AND REMEDIES</w:t>
      </w:r>
    </w:p>
    <w:p>
      <w:pPr>
        <w:spacing w:after="0" w:line="2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7.01.</w:t>
      </w:r>
      <w:r>
        <w:rPr>
          <w:sz w:val="20"/>
          <w:szCs w:val="20"/>
          <w:color w:val="auto"/>
        </w:rPr>
        <w:tab/>
      </w:r>
      <w:r>
        <w:rPr>
          <w:rFonts w:ascii="Times New Roman" w:cs="Times New Roman" w:eastAsia="Times New Roman" w:hAnsi="Times New Roman"/>
          <w:sz w:val="21"/>
          <w:szCs w:val="21"/>
          <w:b w:val="1"/>
          <w:bCs w:val="1"/>
          <w:color w:val="auto"/>
        </w:rPr>
        <w:t>Events of Default.</w:t>
      </w:r>
    </w:p>
    <w:p>
      <w:pPr>
        <w:spacing w:after="0" w:line="220" w:lineRule="exact"/>
        <w:rPr>
          <w:sz w:val="20"/>
          <w:szCs w:val="20"/>
          <w:color w:val="auto"/>
        </w:rPr>
      </w:pPr>
    </w:p>
    <w:p>
      <w:pPr>
        <w:ind w:left="1180" w:hanging="524"/>
        <w:spacing w:after="0"/>
        <w:tabs>
          <w:tab w:leader="none" w:pos="11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Events of Default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means the occurrence of any of the following:</w:t>
      </w:r>
    </w:p>
    <w:p>
      <w:pPr>
        <w:spacing w:after="0" w:line="23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4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in the payment when due (whether at maturity, upon Redemption or Repurchase Upon Fundamental Change or otherwise) of the principal of, or the Redemption Price or Fundamental Change Repurchase Price for, any Note;</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8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for thirty (30) consecutive days in the payment when due of any Special Interest or Additional Interest that has accrued on any Note;</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66" w:lineRule="auto"/>
        <w:tabs>
          <w:tab w:leader="none" w:pos="1967"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Company’s failure to deliver, when required by this Indenture, a Fundamental Change Notice, or a notice pursuant to </w:t>
      </w:r>
      <w:r>
        <w:rPr>
          <w:rFonts w:ascii="Times New Roman" w:cs="Times New Roman" w:eastAsia="Times New Roman" w:hAnsi="Times New Roman"/>
          <w:sz w:val="21"/>
          <w:szCs w:val="21"/>
          <w:b w:val="1"/>
          <w:bCs w:val="1"/>
          <w:color w:val="auto"/>
        </w:rPr>
        <w:t>Section 5.01(C)(i)(3)</w:t>
      </w:r>
      <w:r>
        <w:rPr>
          <w:rFonts w:ascii="Times New Roman" w:cs="Times New Roman" w:eastAsia="Times New Roman" w:hAnsi="Times New Roman"/>
          <w:sz w:val="21"/>
          <w:szCs w:val="21"/>
          <w:color w:val="auto"/>
        </w:rPr>
        <w:t xml:space="preserve">, if (in the case of any notice other than a notice pursuant to </w:t>
      </w:r>
      <w:r>
        <w:rPr>
          <w:rFonts w:ascii="Times New Roman" w:cs="Times New Roman" w:eastAsia="Times New Roman" w:hAnsi="Times New Roman"/>
          <w:sz w:val="21"/>
          <w:szCs w:val="21"/>
          <w:b w:val="1"/>
          <w:bCs w:val="1"/>
          <w:color w:val="auto"/>
        </w:rPr>
        <w:t>Section 5.01(C)(i)(3)</w:t>
      </w:r>
    </w:p>
    <w:p>
      <w:pPr>
        <w:spacing w:after="0" w:line="1"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such failure is not cured within five (5) days after its occurrence;</w:t>
      </w:r>
    </w:p>
    <w:p>
      <w:pPr>
        <w:spacing w:after="0" w:line="191" w:lineRule="exact"/>
        <w:rPr>
          <w:rFonts w:ascii="Times New Roman" w:cs="Times New Roman" w:eastAsia="Times New Roman" w:hAnsi="Times New Roman"/>
          <w:sz w:val="21"/>
          <w:szCs w:val="21"/>
          <w:color w:val="auto"/>
        </w:rPr>
      </w:pPr>
    </w:p>
    <w:p>
      <w:pPr>
        <w:ind w:left="660" w:firstLine="644"/>
        <w:spacing w:after="0" w:line="275" w:lineRule="auto"/>
        <w:tabs>
          <w:tab w:leader="none" w:pos="187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in the Company’s obligation to Convert a Note in accordance with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the exercise of the Conversion right with respect thereto, if such default is not cured within five (5) days after its occurrence;</w:t>
      </w:r>
    </w:p>
    <w:p>
      <w:pPr>
        <w:spacing w:after="0" w:line="14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default in the Company’s obligations under </w:t>
      </w:r>
      <w:r>
        <w:rPr>
          <w:rFonts w:ascii="Times New Roman" w:cs="Times New Roman" w:eastAsia="Times New Roman" w:hAnsi="Times New Roman"/>
          <w:sz w:val="21"/>
          <w:szCs w:val="21"/>
          <w:b w:val="1"/>
          <w:bCs w:val="1"/>
          <w:color w:val="auto"/>
        </w:rPr>
        <w:t>Article 6</w:t>
      </w:r>
      <w:r>
        <w:rPr>
          <w:rFonts w:ascii="Times New Roman" w:cs="Times New Roman" w:eastAsia="Times New Roman" w:hAnsi="Times New Roman"/>
          <w:sz w:val="21"/>
          <w:szCs w:val="21"/>
          <w:color w:val="auto"/>
        </w:rPr>
        <w:t xml:space="preserve"> or in any Guarantor’s obligations under </w:t>
      </w:r>
      <w:r>
        <w:rPr>
          <w:rFonts w:ascii="Times New Roman" w:cs="Times New Roman" w:eastAsia="Times New Roman" w:hAnsi="Times New Roman"/>
          <w:sz w:val="21"/>
          <w:szCs w:val="21"/>
          <w:b w:val="1"/>
          <w:bCs w:val="1"/>
          <w:color w:val="auto"/>
        </w:rPr>
        <w:t>Section 9.04</w:t>
      </w:r>
      <w:r>
        <w:rPr>
          <w:rFonts w:ascii="Times New Roman" w:cs="Times New Roman" w:eastAsia="Times New Roman" w:hAnsi="Times New Roman"/>
          <w:sz w:val="21"/>
          <w:szCs w:val="21"/>
          <w:color w:val="auto"/>
        </w:rPr>
        <w:t>;</w:t>
      </w:r>
    </w:p>
    <w:p>
      <w:pPr>
        <w:spacing w:after="0" w:line="248"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204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in any of the Company’s obligations or agreements, or in any Guarantor’s obligations or agreements, under this Indenture or the Notes (other than a default set forth in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where such default is not cured or waived within sixty (60) days after notice to the Company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210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by the Company, any Guarantor or any of the Company’s or any Guarantor’s respective Significant Subsidiaries with respect to any one or more mortgages, agreements or other instruments under which there is outstanding, or by which there is secured or evidenced, any indebtedness for borrowed money of at least one hundred million dollars ($100,000,000) (or its foreign currency equivalent) in the aggregate of the Company, any Guarantor or any of the Company’s or any Guarantor’s respective Significant Subsidiaries, whether such indebtedness exists as of the Issue Date or is thereafter created, where such default:</w:t>
      </w:r>
    </w:p>
    <w:p>
      <w:pPr>
        <w:spacing w:after="0" w:line="181" w:lineRule="exact"/>
        <w:rPr>
          <w:rFonts w:ascii="Times New Roman" w:cs="Times New Roman" w:eastAsia="Times New Roman" w:hAnsi="Times New Roman"/>
          <w:sz w:val="22"/>
          <w:szCs w:val="22"/>
          <w:color w:val="auto"/>
        </w:rPr>
      </w:pPr>
    </w:p>
    <w:p>
      <w:pPr>
        <w:ind w:left="1300" w:firstLine="652"/>
        <w:spacing w:after="0" w:line="271" w:lineRule="auto"/>
        <w:tabs>
          <w:tab w:leader="none" w:pos="2524"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 failure to pay the principal of such indebtedness when due and payable at its stated maturity, upon required repurchase, upon declaration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18" w:right="339" w:bottom="1440" w:gutter="0" w:footer="0" w:header="0"/>
        </w:sectPr>
      </w:pPr>
    </w:p>
    <w:bookmarkStart w:id="81" w:name="page82"/>
    <w:bookmarkEnd w:id="81"/>
    <w:p>
      <w:pPr>
        <w:ind w:left="640"/>
        <w:spacing w:after="0"/>
        <w:rPr>
          <w:sz w:val="20"/>
          <w:szCs w:val="20"/>
          <w:color w:val="auto"/>
        </w:rPr>
      </w:pPr>
      <w:r>
        <w:rPr>
          <w:rFonts w:ascii="Times New Roman" w:cs="Times New Roman" w:eastAsia="Times New Roman" w:hAnsi="Times New Roman"/>
          <w:sz w:val="22"/>
          <w:szCs w:val="22"/>
          <w:color w:val="auto"/>
        </w:rPr>
        <w:t>of acceleration or otherwise, in each case after the expiration of any applicable grace period; or</w:t>
      </w:r>
    </w:p>
    <w:p>
      <w:pPr>
        <w:spacing w:after="0" w:line="220" w:lineRule="exact"/>
        <w:rPr>
          <w:sz w:val="20"/>
          <w:szCs w:val="20"/>
          <w:color w:val="auto"/>
        </w:rPr>
      </w:pPr>
    </w:p>
    <w:p>
      <w:pPr>
        <w:ind w:left="1760" w:hanging="468"/>
        <w:spacing w:after="0"/>
        <w:tabs>
          <w:tab w:leader="none" w:pos="1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in such indebtedness becoming or being declared due and payable before its stated maturity,</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94" w:lineRule="exact"/>
        <w:rPr>
          <w:sz w:val="20"/>
          <w:szCs w:val="20"/>
          <w:color w:val="auto"/>
        </w:rPr>
      </w:pPr>
    </w:p>
    <w:p>
      <w:pPr>
        <w:jc w:val="both"/>
        <w:ind w:firstLine="644"/>
        <w:spacing w:after="0" w:line="268" w:lineRule="auto"/>
        <w:tabs>
          <w:tab w:leader="none" w:pos="131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final judgments being rendered against the Company, any Guarantor or any of the Company’s or any Guarantor’s respective Significant Subsidiaries for the payment of at least one hundred million dollars ($100,000,000) (or its foreign currency equivalent) in the aggregate (excluding any amounts covered by insurance), where such judgment is not discharged or stayed within sixty (60) days after (1) the date on which the right to appeal the same has expired, if no such appeal has commenced; or (2) the date on which all rights to appeal have been extinguished;</w:t>
      </w:r>
    </w:p>
    <w:p>
      <w:pPr>
        <w:spacing w:after="0" w:line="163" w:lineRule="exact"/>
        <w:rPr>
          <w:rFonts w:ascii="Times New Roman" w:cs="Times New Roman" w:eastAsia="Times New Roman" w:hAnsi="Times New Roman"/>
          <w:sz w:val="21"/>
          <w:szCs w:val="21"/>
          <w:color w:val="auto"/>
        </w:rPr>
      </w:pPr>
    </w:p>
    <w:p>
      <w:pPr>
        <w:jc w:val="both"/>
        <w:ind w:firstLine="644"/>
        <w:spacing w:after="0" w:line="252" w:lineRule="auto"/>
        <w:tabs>
          <w:tab w:leader="none" w:pos="128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permitted by this Indenture, including, for the avoidance of doubt, by reason of the release of such Guarantee in accordance with the terms of this Indenture, any Guarantee of any Guarantor is held in any judicial proceeding to be unenforceable or invalid or otherwise ceases to be in full force and effect or any Guarantor denies or disaffirms its obligations under its Guarantee;</w:t>
      </w:r>
    </w:p>
    <w:p>
      <w:pPr>
        <w:spacing w:after="0" w:line="192" w:lineRule="exact"/>
        <w:rPr>
          <w:rFonts w:ascii="Times New Roman" w:cs="Times New Roman" w:eastAsia="Times New Roman" w:hAnsi="Times New Roman"/>
          <w:sz w:val="22"/>
          <w:szCs w:val="22"/>
          <w:color w:val="auto"/>
        </w:rPr>
      </w:pPr>
    </w:p>
    <w:p>
      <w:pPr>
        <w:ind w:firstLine="644"/>
        <w:spacing w:after="0" w:line="271" w:lineRule="auto"/>
        <w:tabs>
          <w:tab w:leader="none" w:pos="118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the Guarantors, or any of their respective Significant Subsidiaries, pursuant to or within the meaning of any Bankruptcy Law, either:</w:t>
      </w:r>
    </w:p>
    <w:p>
      <w:pPr>
        <w:spacing w:after="0" w:line="157"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 proceeding;</w:t>
      </w:r>
    </w:p>
    <w:p>
      <w:pPr>
        <w:spacing w:after="0" w:line="21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 proceeding;</w:t>
      </w:r>
    </w:p>
    <w:p>
      <w:pPr>
        <w:spacing w:after="0" w:line="21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a custodian of it or for any substantial part of its property;</w:t>
      </w:r>
    </w:p>
    <w:p>
      <w:pPr>
        <w:spacing w:after="0" w:line="233"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 general assignment for the benefit of its creditors;</w:t>
      </w:r>
    </w:p>
    <w:p>
      <w:pPr>
        <w:spacing w:after="0" w:line="21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takes any comparable action under any foreign Bankruptcy Law; or</w:t>
      </w:r>
    </w:p>
    <w:p>
      <w:pPr>
        <w:spacing w:after="0" w:line="21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is not paying its debts as they become due; or</w:t>
      </w:r>
    </w:p>
    <w:p>
      <w:pPr>
        <w:spacing w:after="0" w:line="219"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 either:</w:t>
      </w:r>
    </w:p>
    <w:p>
      <w:pPr>
        <w:spacing w:after="0" w:line="219" w:lineRule="exact"/>
        <w:rPr>
          <w:rFonts w:ascii="Times New Roman" w:cs="Times New Roman" w:eastAsia="Times New Roman" w:hAnsi="Times New Roman"/>
          <w:sz w:val="22"/>
          <w:szCs w:val="22"/>
          <w:color w:val="auto"/>
        </w:rPr>
      </w:pPr>
    </w:p>
    <w:p>
      <w:pPr>
        <w:ind w:left="640" w:firstLine="652"/>
        <w:spacing w:after="0" w:line="284" w:lineRule="auto"/>
        <w:tabs>
          <w:tab w:leader="none" w:pos="175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Company, the Guarantors, or any of their respective Significant Subsidiaries in an involuntary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0580"/>
          </w:cols>
          <w:pgMar w:left="980" w:top="1422" w:right="339" w:bottom="1440" w:gutter="0" w:footer="0" w:header="0"/>
        </w:sectPr>
      </w:pPr>
    </w:p>
    <w:bookmarkStart w:id="82" w:name="page83"/>
    <w:bookmarkEnd w:id="82"/>
    <w:p>
      <w:pPr>
        <w:jc w:val="both"/>
        <w:ind w:left="1300" w:firstLine="652"/>
        <w:spacing w:after="0" w:line="257" w:lineRule="auto"/>
        <w:tabs>
          <w:tab w:leader="none" w:pos="264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Company, the Guarantors, or any of their respective Significant Subsidiaries, or for any substantial part of the property of the Company, the Guarantors, or any of their respective Significant Subsidiaries;</w:t>
      </w:r>
    </w:p>
    <w:p>
      <w:pPr>
        <w:spacing w:after="0" w:line="186" w:lineRule="exact"/>
        <w:rPr>
          <w:rFonts w:ascii="Times New Roman" w:cs="Times New Roman" w:eastAsia="Times New Roman" w:hAnsi="Times New Roman"/>
          <w:sz w:val="22"/>
          <w:szCs w:val="22"/>
          <w:color w:val="auto"/>
        </w:rPr>
      </w:pPr>
    </w:p>
    <w:p>
      <w:pPr>
        <w:ind w:left="1300" w:firstLine="652"/>
        <w:spacing w:after="0" w:line="271" w:lineRule="auto"/>
        <w:tabs>
          <w:tab w:leader="none" w:pos="254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the winding up or liquidation of the Company, the Guarantors, or any of their respective Significant Subsidiaries; or</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grants any similar relief under any foreign Bankruptcy Law,</w:t>
      </w:r>
    </w:p>
    <w:p>
      <w:pPr>
        <w:spacing w:after="0" w:line="216" w:lineRule="exact"/>
        <w:rPr>
          <w:sz w:val="20"/>
          <w:szCs w:val="20"/>
          <w:color w:val="auto"/>
        </w:rPr>
      </w:pPr>
    </w:p>
    <w:p>
      <w:pPr>
        <w:ind w:left="660"/>
        <w:spacing w:after="0" w:line="275" w:lineRule="auto"/>
        <w:rPr>
          <w:sz w:val="20"/>
          <w:szCs w:val="20"/>
          <w:color w:val="auto"/>
        </w:rPr>
      </w:pPr>
      <w:r>
        <w:rPr>
          <w:rFonts w:ascii="Times New Roman" w:cs="Times New Roman" w:eastAsia="Times New Roman" w:hAnsi="Times New Roman"/>
          <w:sz w:val="22"/>
          <w:szCs w:val="22"/>
          <w:color w:val="auto"/>
        </w:rPr>
        <w:t xml:space="preserve">and, in each case under this </w:t>
      </w:r>
      <w:r>
        <w:rPr>
          <w:rFonts w:ascii="Times New Roman" w:cs="Times New Roman" w:eastAsia="Times New Roman" w:hAnsi="Times New Roman"/>
          <w:sz w:val="22"/>
          <w:szCs w:val="22"/>
          <w:b w:val="1"/>
          <w:bCs w:val="1"/>
          <w:color w:val="auto"/>
        </w:rPr>
        <w:t>Section 7.01(A)(xi)</w:t>
      </w:r>
      <w:r>
        <w:rPr>
          <w:rFonts w:ascii="Times New Roman" w:cs="Times New Roman" w:eastAsia="Times New Roman" w:hAnsi="Times New Roman"/>
          <w:sz w:val="22"/>
          <w:szCs w:val="22"/>
          <w:color w:val="auto"/>
        </w:rPr>
        <w:t>, such order or decree remains unstayed and in effect for at least sixty (60) days.</w:t>
      </w:r>
    </w:p>
    <w:p>
      <w:pPr>
        <w:spacing w:after="0" w:line="190" w:lineRule="exact"/>
        <w:rPr>
          <w:sz w:val="20"/>
          <w:szCs w:val="20"/>
          <w:color w:val="auto"/>
        </w:rPr>
      </w:pPr>
    </w:p>
    <w:p>
      <w:pPr>
        <w:jc w:val="both"/>
        <w:ind w:firstLine="656"/>
        <w:spacing w:after="0" w:line="259" w:lineRule="auto"/>
        <w:tabs>
          <w:tab w:leader="none" w:pos="11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Cause Irrelevant</w:t>
      </w:r>
      <w:r>
        <w:rPr>
          <w:rFonts w:ascii="Times New Roman" w:cs="Times New Roman" w:eastAsia="Times New Roman" w:hAnsi="Times New Roman"/>
          <w:sz w:val="22"/>
          <w:szCs w:val="22"/>
          <w:color w:val="auto"/>
        </w:rPr>
        <w:t>. Each of the events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constitute an Event of Default regardless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cause thereof or whether voluntary or involuntary or effected by operation of law or pursuant to any judgment, decree or order of any court or any order, rule or regulation of any administrative or governmental body.</w:t>
      </w:r>
    </w:p>
    <w:p>
      <w:pPr>
        <w:spacing w:after="0" w:line="16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7.02.</w:t>
      </w:r>
      <w:r>
        <w:rPr>
          <w:sz w:val="20"/>
          <w:szCs w:val="20"/>
          <w:color w:val="auto"/>
        </w:rPr>
        <w:tab/>
      </w:r>
      <w:r>
        <w:rPr>
          <w:rFonts w:ascii="Times New Roman" w:cs="Times New Roman" w:eastAsia="Times New Roman" w:hAnsi="Times New Roman"/>
          <w:sz w:val="21"/>
          <w:szCs w:val="21"/>
          <w:b w:val="1"/>
          <w:bCs w:val="1"/>
          <w:color w:val="auto"/>
        </w:rPr>
        <w:t>Acceleration.</w:t>
      </w:r>
    </w:p>
    <w:p>
      <w:pPr>
        <w:spacing w:after="0" w:line="220" w:lineRule="exact"/>
        <w:rPr>
          <w:sz w:val="20"/>
          <w:szCs w:val="20"/>
          <w:color w:val="auto"/>
        </w:rPr>
      </w:pPr>
    </w:p>
    <w:p>
      <w:pPr>
        <w:ind w:left="1180" w:hanging="524"/>
        <w:spacing w:after="0"/>
        <w:tabs>
          <w:tab w:leader="none" w:pos="118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Automatic Acceleration in Certain Circumstances</w:t>
      </w:r>
      <w:r>
        <w:rPr>
          <w:rFonts w:ascii="Times New Roman" w:cs="Times New Roman" w:eastAsia="Times New Roman" w:hAnsi="Times New Roman"/>
          <w:sz w:val="21"/>
          <w:szCs w:val="21"/>
          <w:color w:val="auto"/>
        </w:rPr>
        <w:t>. If an Event of Default set forth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7.01(A)(x)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7.01(A)</w:t>
      </w:r>
    </w:p>
    <w:p>
      <w:pPr>
        <w:spacing w:after="0" w:line="43" w:lineRule="exact"/>
        <w:rPr>
          <w:rFonts w:ascii="Times New Roman" w:cs="Times New Roman" w:eastAsia="Times New Roman" w:hAnsi="Times New Roman"/>
          <w:sz w:val="21"/>
          <w:szCs w:val="21"/>
          <w:color w:val="auto"/>
        </w:rPr>
      </w:pPr>
    </w:p>
    <w:p>
      <w:pPr>
        <w:jc w:val="both"/>
        <w:ind w:firstLine="8"/>
        <w:spacing w:after="0" w:line="252" w:lineRule="auto"/>
        <w:tabs>
          <w:tab w:leader="none" w:pos="41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occurs with respect to the Company or any Guarantor (and not solely with respect to a Significant Subsidiary of the Company or any Guarantor), then the principal amount of, and all accrued and unpaid interest, if any, on, all of the Notes then outstanding will immediately become due and payable without any further action or notice by any Person.</w:t>
      </w:r>
    </w:p>
    <w:p>
      <w:pPr>
        <w:spacing w:after="0" w:line="174"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19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Acceleration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w:t>
      </w:r>
      <w:r>
        <w:rPr>
          <w:rFonts w:ascii="Times New Roman" w:cs="Times New Roman" w:eastAsia="Times New Roman" w:hAnsi="Times New Roman"/>
          <w:sz w:val="22"/>
          <w:szCs w:val="22"/>
          <w:color w:val="auto"/>
        </w:rPr>
        <w:t>, if an Event of Default (other than an Event of Default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7.01(A)(x)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7.01(A)(xi) </w:t>
      </w:r>
      <w:r>
        <w:rPr>
          <w:rFonts w:ascii="Times New Roman" w:cs="Times New Roman" w:eastAsia="Times New Roman" w:hAnsi="Times New Roman"/>
          <w:sz w:val="22"/>
          <w:szCs w:val="22"/>
          <w:color w:val="auto"/>
        </w:rPr>
        <w:t>with respect to the Company or any Guarantor and not solely with respect to a Significant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of the Company or any Guarantor)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if any, on, all of the Notes then outstanding to become due and payable immediately. For the avoidance of doubt, if such Event of Default is not continuing at the time such notice is provided (that is, such Event of Default has been cured or waived as of such time), then such notice will not be effective to cause such amounts to become due and payable immediately.</w:t>
      </w:r>
    </w:p>
    <w:p>
      <w:pPr>
        <w:spacing w:after="0" w:line="195" w:lineRule="exact"/>
        <w:rPr>
          <w:rFonts w:ascii="Times New Roman" w:cs="Times New Roman" w:eastAsia="Times New Roman" w:hAnsi="Times New Roman"/>
          <w:sz w:val="22"/>
          <w:szCs w:val="22"/>
          <w:color w:val="auto"/>
        </w:rPr>
      </w:pPr>
    </w:p>
    <w:p>
      <w:pPr>
        <w:jc w:val="both"/>
        <w:ind w:firstLine="656"/>
        <w:spacing w:after="0" w:line="251" w:lineRule="auto"/>
        <w:tabs>
          <w:tab w:leader="none" w:pos="115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Rescission of Acceleration</w:t>
      </w:r>
      <w:r>
        <w:rPr>
          <w:rFonts w:ascii="Times New Roman" w:cs="Times New Roman" w:eastAsia="Times New Roman" w:hAnsi="Times New Roman"/>
          <w:sz w:val="22"/>
          <w:szCs w:val="22"/>
          <w:color w:val="auto"/>
        </w:rPr>
        <w:t>. Notwithstanding anything to the contrary in this Indenture or the Notes, the Holders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if any, on, the Notes that has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83" w:name="page84"/>
    <w:bookmarkEnd w:id="83"/>
    <w:p>
      <w:pPr>
        <w:ind w:right="20"/>
        <w:spacing w:after="0" w:line="271" w:lineRule="auto"/>
        <w:rPr>
          <w:sz w:val="20"/>
          <w:szCs w:val="20"/>
          <w:color w:val="auto"/>
        </w:rPr>
      </w:pPr>
      <w:r>
        <w:rPr>
          <w:rFonts w:ascii="Times New Roman" w:cs="Times New Roman" w:eastAsia="Times New Roman" w:hAnsi="Times New Roman"/>
          <w:sz w:val="22"/>
          <w:szCs w:val="22"/>
          <w:color w:val="auto"/>
        </w:rPr>
        <w:t>due solely because of such acceleration) have been cured or waived. No such rescission will affect any subsequent Default or impair any right consequent thereto.</w:t>
      </w:r>
    </w:p>
    <w:p>
      <w:pPr>
        <w:spacing w:after="0" w:line="15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7.03.</w:t>
      </w:r>
      <w:r>
        <w:rPr>
          <w:sz w:val="20"/>
          <w:szCs w:val="20"/>
          <w:color w:val="auto"/>
        </w:rPr>
        <w:tab/>
      </w:r>
      <w:r>
        <w:rPr>
          <w:rFonts w:ascii="Times New Roman" w:cs="Times New Roman" w:eastAsia="Times New Roman" w:hAnsi="Times New Roman"/>
          <w:sz w:val="21"/>
          <w:szCs w:val="21"/>
          <w:b w:val="1"/>
          <w:bCs w:val="1"/>
          <w:color w:val="auto"/>
        </w:rPr>
        <w:t>Sole Remedy for a Failure to Report.</w:t>
      </w:r>
    </w:p>
    <w:p>
      <w:pPr>
        <w:spacing w:after="0" w:line="233" w:lineRule="exact"/>
        <w:rPr>
          <w:sz w:val="20"/>
          <w:szCs w:val="20"/>
          <w:color w:val="auto"/>
        </w:rPr>
      </w:pPr>
    </w:p>
    <w:p>
      <w:pPr>
        <w:jc w:val="both"/>
        <w:ind w:firstLine="656"/>
        <w:spacing w:after="0" w:line="248" w:lineRule="auto"/>
        <w:tabs>
          <w:tab w:leader="none" w:pos="117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Notwithstanding anything to the contrary in this Indenture or the Notes, the Company may elect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sole remedy for any Event of Default (a “</w:t>
      </w:r>
      <w:r>
        <w:rPr>
          <w:rFonts w:ascii="Times New Roman" w:cs="Times New Roman" w:eastAsia="Times New Roman" w:hAnsi="Times New Roman"/>
          <w:sz w:val="22"/>
          <w:szCs w:val="22"/>
          <w:b w:val="1"/>
          <w:bCs w:val="1"/>
          <w:color w:val="auto"/>
        </w:rPr>
        <w:t>Reporting Event of Default</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b w:val="1"/>
          <w:bCs w:val="1"/>
          <w:color w:val="auto"/>
        </w:rPr>
        <w:t>Section 7.01(A)(vi)</w:t>
      </w:r>
      <w:r>
        <w:rPr>
          <w:rFonts w:ascii="Times New Roman" w:cs="Times New Roman" w:eastAsia="Times New Roman" w:hAnsi="Times New Roman"/>
          <w:sz w:val="22"/>
          <w:szCs w:val="22"/>
          <w:color w:val="auto"/>
        </w:rPr>
        <w:t xml:space="preserve"> arising from the Company’s failure to comply with </w:t>
      </w:r>
      <w:r>
        <w:rPr>
          <w:rFonts w:ascii="Times New Roman" w:cs="Times New Roman" w:eastAsia="Times New Roman" w:hAnsi="Times New Roman"/>
          <w:sz w:val="22"/>
          <w:szCs w:val="22"/>
          <w:b w:val="1"/>
          <w:bCs w:val="1"/>
          <w:color w:val="auto"/>
        </w:rPr>
        <w:t>Section 3.02</w:t>
      </w:r>
      <w:r>
        <w:rPr>
          <w:rFonts w:ascii="Times New Roman" w:cs="Times New Roman" w:eastAsia="Times New Roman" w:hAnsi="Times New Roman"/>
          <w:sz w:val="22"/>
          <w:szCs w:val="22"/>
          <w:color w:val="auto"/>
        </w:rPr>
        <w:t xml:space="preserve"> will, for each of the first three hundred sixty (360)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22"/>
          <w:szCs w:val="22"/>
          <w:b w:val="1"/>
          <w:bCs w:val="1"/>
          <w:color w:val="auto"/>
        </w:rPr>
        <w:t>Section 7.02</w:t>
      </w:r>
      <w:r>
        <w:rPr>
          <w:rFonts w:ascii="Times New Roman" w:cs="Times New Roman" w:eastAsia="Times New Roman" w:hAnsi="Times New Roman"/>
          <w:sz w:val="22"/>
          <w:szCs w:val="22"/>
          <w:color w:val="auto"/>
        </w:rPr>
        <w:t xml:space="preserve"> on account of the relevant Reporting Event of Default from, and including, the three hundred sixty first (361st) calendar day on which a Reporting Event of Default has occurred and is continuing or if the Company fails to pay any accrued and unpaid Special Interest when due; and (ii) Special Interest will cease to accrue on any Notes from, and including, such three hundred sixty first (361st) calendar day (it being understood that interest on any defaulted Special Interest will nonetheless accrue pursuant to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2.05(B)</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19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Amount and Payment of Special Interest</w:t>
      </w:r>
      <w:r>
        <w:rPr>
          <w:rFonts w:ascii="Times New Roman" w:cs="Times New Roman" w:eastAsia="Times New Roman" w:hAnsi="Times New Roman"/>
          <w:sz w:val="22"/>
          <w:szCs w:val="22"/>
          <w:color w:val="auto"/>
        </w:rPr>
        <w:t>. Any Special Interest that accrues on a Note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will Special Interest, together with any Additional Interest accrue on any day on a Note at a combined rate per annum that exceeds one half of one percent (0.50%). For the avoidance of doubt, any Special Interest that accrues on a Note will, subject to the proviso of the immediately preceding sentence, be in addition to any Additional Interest that accrues on such Note.</w:t>
      </w:r>
    </w:p>
    <w:p>
      <w:pPr>
        <w:spacing w:after="0" w:line="17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0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Election</w:t>
      </w:r>
      <w:r>
        <w:rPr>
          <w:rFonts w:ascii="Times New Roman" w:cs="Times New Roman" w:eastAsia="Times New Roman" w:hAnsi="Times New Roman"/>
          <w:sz w:val="22"/>
          <w:szCs w:val="22"/>
          <w:color w:val="auto"/>
        </w:rPr>
        <w:t>. To make the election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7.03(A)</w:t>
      </w:r>
      <w:r>
        <w:rPr>
          <w:rFonts w:ascii="Times New Roman" w:cs="Times New Roman" w:eastAsia="Times New Roman" w:hAnsi="Times New Roman"/>
          <w:sz w:val="22"/>
          <w:szCs w:val="22"/>
          <w:color w:val="auto"/>
        </w:rPr>
        <w:t>, the Company must send to the Holders,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74" w:lineRule="exact"/>
        <w:rPr>
          <w:rFonts w:ascii="Times New Roman" w:cs="Times New Roman" w:eastAsia="Times New Roman" w:hAnsi="Times New Roman"/>
          <w:sz w:val="22"/>
          <w:szCs w:val="22"/>
          <w:color w:val="auto"/>
        </w:rPr>
      </w:pPr>
    </w:p>
    <w:p>
      <w:pPr>
        <w:jc w:val="both"/>
        <w:ind w:firstLine="656"/>
        <w:spacing w:after="0" w:line="254" w:lineRule="auto"/>
        <w:tabs>
          <w:tab w:leader="none" w:pos="123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to Trustee and Paying Agent; Trustee’s Disclaimer</w:t>
      </w:r>
      <w:r>
        <w:rPr>
          <w:rFonts w:ascii="Times New Roman" w:cs="Times New Roman" w:eastAsia="Times New Roman" w:hAnsi="Times New Roman"/>
          <w:sz w:val="22"/>
          <w:szCs w:val="22"/>
          <w:color w:val="auto"/>
        </w:rPr>
        <w:t>. If Special Interest accrues on any Note, then, no later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84" w:name="page85"/>
    <w:bookmarkEnd w:id="84"/>
    <w:p>
      <w:pPr>
        <w:jc w:val="both"/>
        <w:ind w:firstLine="656"/>
        <w:spacing w:after="0" w:line="259" w:lineRule="auto"/>
        <w:tabs>
          <w:tab w:leader="none" w:pos="11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Effect on Other Events of Default</w:t>
      </w:r>
      <w:r>
        <w:rPr>
          <w:rFonts w:ascii="Times New Roman" w:cs="Times New Roman" w:eastAsia="Times New Roman" w:hAnsi="Times New Roman"/>
          <w:sz w:val="22"/>
          <w:szCs w:val="22"/>
          <w:color w:val="auto"/>
        </w:rPr>
        <w:t>. No election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7.03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respect to a Reporting Event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Default will affect the rights of any Holder with respect to any other Event of Default, including with respect to any other Reporting Event of Default.</w:t>
      </w:r>
    </w:p>
    <w:p>
      <w:pPr>
        <w:spacing w:after="0" w:line="18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7.04.</w:t>
      </w:r>
      <w:r>
        <w:rPr>
          <w:sz w:val="20"/>
          <w:szCs w:val="20"/>
          <w:color w:val="auto"/>
        </w:rPr>
        <w:tab/>
      </w:r>
      <w:r>
        <w:rPr>
          <w:rFonts w:ascii="Times New Roman" w:cs="Times New Roman" w:eastAsia="Times New Roman" w:hAnsi="Times New Roman"/>
          <w:sz w:val="21"/>
          <w:szCs w:val="21"/>
          <w:b w:val="1"/>
          <w:bCs w:val="1"/>
          <w:color w:val="auto"/>
        </w:rPr>
        <w:t>Other Remedies.</w:t>
      </w:r>
    </w:p>
    <w:p>
      <w:pPr>
        <w:spacing w:after="0" w:line="220" w:lineRule="exact"/>
        <w:rPr>
          <w:sz w:val="20"/>
          <w:szCs w:val="20"/>
          <w:color w:val="auto"/>
        </w:rPr>
      </w:pPr>
    </w:p>
    <w:p>
      <w:pPr>
        <w:jc w:val="both"/>
        <w:ind w:firstLine="656"/>
        <w:spacing w:after="0" w:line="259" w:lineRule="auto"/>
        <w:tabs>
          <w:tab w:leader="none" w:pos="116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May Pursue All Remedies</w:t>
      </w:r>
      <w:r>
        <w:rPr>
          <w:rFonts w:ascii="Times New Roman" w:cs="Times New Roman" w:eastAsia="Times New Roman" w:hAnsi="Times New Roman"/>
          <w:sz w:val="22"/>
          <w:szCs w:val="22"/>
          <w:color w:val="auto"/>
        </w:rPr>
        <w:t>. If an Event of Default occurs and is continuing, then the Trustee may pursue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remedy to collect the payment of any amounts due with respect to the Notes or to enforce the performance of any provision of this Indenture or the Notes.</w:t>
      </w:r>
    </w:p>
    <w:p>
      <w:pPr>
        <w:spacing w:after="0" w:line="166" w:lineRule="exact"/>
        <w:rPr>
          <w:rFonts w:ascii="Times New Roman" w:cs="Times New Roman" w:eastAsia="Times New Roman" w:hAnsi="Times New Roman"/>
          <w:sz w:val="22"/>
          <w:szCs w:val="22"/>
          <w:color w:val="auto"/>
        </w:rPr>
      </w:pPr>
    </w:p>
    <w:p>
      <w:pPr>
        <w:jc w:val="both"/>
        <w:ind w:firstLine="656"/>
        <w:spacing w:after="0" w:line="258" w:lineRule="auto"/>
        <w:tabs>
          <w:tab w:leader="none" w:pos="115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Procedural Matters</w:t>
      </w:r>
      <w:r>
        <w:rPr>
          <w:rFonts w:ascii="Times New Roman" w:cs="Times New Roman" w:eastAsia="Times New Roman" w:hAnsi="Times New Roman"/>
          <w:sz w:val="22"/>
          <w:szCs w:val="22"/>
          <w:color w:val="auto"/>
        </w:rPr>
        <w:t>. The Trustee may maintain a proceeding even if it does not possess any of the Notes or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6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7.05.</w:t>
      </w:r>
      <w:r>
        <w:rPr>
          <w:sz w:val="20"/>
          <w:szCs w:val="20"/>
          <w:color w:val="auto"/>
        </w:rPr>
        <w:tab/>
      </w:r>
      <w:r>
        <w:rPr>
          <w:rFonts w:ascii="Times New Roman" w:cs="Times New Roman" w:eastAsia="Times New Roman" w:hAnsi="Times New Roman"/>
          <w:sz w:val="21"/>
          <w:szCs w:val="21"/>
          <w:b w:val="1"/>
          <w:bCs w:val="1"/>
          <w:color w:val="auto"/>
        </w:rPr>
        <w:t>Waiver of Past Defaults.</w:t>
      </w:r>
    </w:p>
    <w:p>
      <w:pPr>
        <w:spacing w:after="0" w:line="220" w:lineRule="exact"/>
        <w:rPr>
          <w:sz w:val="20"/>
          <w:szCs w:val="20"/>
          <w:color w:val="auto"/>
        </w:rPr>
      </w:pPr>
    </w:p>
    <w:p>
      <w:pPr>
        <w:jc w:val="both"/>
        <w:ind w:firstLine="213"/>
        <w:spacing w:after="0" w:line="251" w:lineRule="auto"/>
        <w:rPr>
          <w:sz w:val="20"/>
          <w:szCs w:val="20"/>
          <w:color w:val="auto"/>
        </w:rPr>
      </w:pPr>
      <w:r>
        <w:rPr>
          <w:rFonts w:ascii="Times New Roman" w:cs="Times New Roman" w:eastAsia="Times New Roman" w:hAnsi="Times New Roman"/>
          <w:sz w:val="22"/>
          <w:szCs w:val="22"/>
          <w:color w:val="auto"/>
        </w:rPr>
        <w:t xml:space="preserve">A Default that is (or, after notice, passage of time or both, would be) an Event of Default pursuant to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(vi)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(that, in the case of </w:t>
      </w:r>
      <w:r>
        <w:rPr>
          <w:rFonts w:ascii="Times New Roman" w:cs="Times New Roman" w:eastAsia="Times New Roman" w:hAnsi="Times New Roman"/>
          <w:sz w:val="22"/>
          <w:szCs w:val="22"/>
          <w:b w:val="1"/>
          <w:bCs w:val="1"/>
          <w:color w:val="auto"/>
        </w:rPr>
        <w:t>clause (vi)</w:t>
      </w:r>
      <w:r>
        <w:rPr>
          <w:rFonts w:ascii="Times New Roman" w:cs="Times New Roman" w:eastAsia="Times New Roman" w:hAnsi="Times New Roman"/>
          <w:sz w:val="22"/>
          <w:szCs w:val="22"/>
          <w:color w:val="auto"/>
        </w:rPr>
        <w:t xml:space="preserve"> only, results from a Default under any covenant that cannot be amended without the consent of each affected Holder) can be waived only with the consent of each affected Holder. Each other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impair any right arising therefrom. Each such waiver of a Default will have the effect set forth in </w:t>
      </w:r>
      <w:r>
        <w:rPr>
          <w:rFonts w:ascii="Times New Roman" w:cs="Times New Roman" w:eastAsia="Times New Roman" w:hAnsi="Times New Roman"/>
          <w:sz w:val="22"/>
          <w:szCs w:val="22"/>
          <w:b w:val="1"/>
          <w:bCs w:val="1"/>
          <w:color w:val="auto"/>
        </w:rPr>
        <w:t>Section 8.04(D)</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7.06.</w:t>
      </w:r>
      <w:r>
        <w:rPr>
          <w:sz w:val="20"/>
          <w:szCs w:val="20"/>
          <w:color w:val="auto"/>
        </w:rPr>
        <w:tab/>
      </w:r>
      <w:r>
        <w:rPr>
          <w:rFonts w:ascii="Times New Roman" w:cs="Times New Roman" w:eastAsia="Times New Roman" w:hAnsi="Times New Roman"/>
          <w:sz w:val="21"/>
          <w:szCs w:val="21"/>
          <w:b w:val="1"/>
          <w:bCs w:val="1"/>
          <w:color w:val="auto"/>
        </w:rPr>
        <w:t>Cure of Defaults; Ability to Cure or Waive Before Event of Default Occurs.</w:t>
      </w:r>
    </w:p>
    <w:p>
      <w:pPr>
        <w:spacing w:after="0" w:line="224" w:lineRule="exact"/>
        <w:rPr>
          <w:sz w:val="20"/>
          <w:szCs w:val="20"/>
          <w:color w:val="auto"/>
        </w:rPr>
      </w:pPr>
    </w:p>
    <w:p>
      <w:pPr>
        <w:jc w:val="both"/>
        <w:ind w:firstLine="247"/>
        <w:spacing w:after="0" w:line="251" w:lineRule="auto"/>
        <w:rPr>
          <w:sz w:val="20"/>
          <w:szCs w:val="20"/>
          <w:color w:val="auto"/>
        </w:rPr>
      </w:pPr>
      <w:r>
        <w:rPr>
          <w:rFonts w:ascii="Times New Roman" w:cs="Times New Roman" w:eastAsia="Times New Roman" w:hAnsi="Times New Roman"/>
          <w:sz w:val="22"/>
          <w:szCs w:val="22"/>
          <w:color w:val="auto"/>
        </w:rPr>
        <w:t>For the avoidance of doubt, and without limiting the manner in which any Default can be cured, (A) a Default consisting of a failure to send a notice in accordance with this Indenture will be cured upon the sending of such notice; (B) a Default in making any payment on (or delivering any other consideration in respect of) any Note will be cured upon the delivery, in accordance with this Indenture, of such payment (or other consideration) together, if applicable, with Default Interest thereon; and (C) a Default that is (or, after notice, passage of time or both, would be) a Reporting Event of Default will be cured upon the filing of the relevant report(s) giving rise to such Default.</w:t>
      </w:r>
    </w:p>
    <w:p>
      <w:pPr>
        <w:spacing w:after="0" w:line="2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addition, for the avoidance of doubt, (A) if a Default that is not an Event of Default is cured or waived before such Default would have constituted an Event of Default, then no Event of Default will result from such Default; (B) the cure of any Event of Default will not affect any acceleration that has occurred before such cure; and (C) the cure of any Reporting Event of Default will not affect the accrual of any Special Interest before such cure. Nothing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18" w:right="339" w:bottom="1440" w:gutter="0" w:footer="0" w:header="0"/>
        </w:sectPr>
      </w:pPr>
    </w:p>
    <w:bookmarkStart w:id="85" w:name="page86"/>
    <w:bookmarkEnd w:id="85"/>
    <w:p>
      <w:pPr>
        <w:jc w:val="both"/>
        <w:spacing w:after="0" w:line="271" w:lineRule="auto"/>
        <w:rPr>
          <w:sz w:val="20"/>
          <w:szCs w:val="20"/>
          <w:color w:val="auto"/>
        </w:rPr>
      </w:pPr>
      <w:r>
        <w:rPr>
          <w:rFonts w:ascii="Times New Roman" w:cs="Times New Roman" w:eastAsia="Times New Roman" w:hAnsi="Times New Roman"/>
          <w:sz w:val="22"/>
          <w:szCs w:val="22"/>
          <w:color w:val="auto"/>
        </w:rPr>
        <w:t>immediately preceding two sentences will constitute a waiver of, or in any way limit, the right of the Trustee or any Holder to institute suit for any damages incurred as a result of any Default, even if such Default is subsequently cured.</w:t>
      </w:r>
    </w:p>
    <w:p>
      <w:pPr>
        <w:spacing w:after="0" w:line="18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7.07.</w:t>
      </w:r>
      <w:r>
        <w:rPr>
          <w:sz w:val="20"/>
          <w:szCs w:val="20"/>
          <w:color w:val="auto"/>
        </w:rPr>
        <w:tab/>
      </w:r>
      <w:r>
        <w:rPr>
          <w:rFonts w:ascii="Times New Roman" w:cs="Times New Roman" w:eastAsia="Times New Roman" w:hAnsi="Times New Roman"/>
          <w:sz w:val="21"/>
          <w:szCs w:val="21"/>
          <w:b w:val="1"/>
          <w:bCs w:val="1"/>
          <w:color w:val="auto"/>
        </w:rPr>
        <w:t>Control by Majority.</w:t>
      </w:r>
    </w:p>
    <w:p>
      <w:pPr>
        <w:spacing w:after="0" w:line="237" w:lineRule="exact"/>
        <w:rPr>
          <w:sz w:val="20"/>
          <w:szCs w:val="20"/>
          <w:color w:val="auto"/>
        </w:rPr>
      </w:pPr>
    </w:p>
    <w:p>
      <w:pPr>
        <w:jc w:val="both"/>
        <w:ind w:firstLine="270"/>
        <w:spacing w:after="0" w:line="249" w:lineRule="auto"/>
        <w:rPr>
          <w:sz w:val="20"/>
          <w:szCs w:val="20"/>
          <w:color w:val="auto"/>
        </w:rPr>
      </w:pPr>
      <w:r>
        <w:rPr>
          <w:rFonts w:ascii="Times New Roman" w:cs="Times New Roman" w:eastAsia="Times New Roman" w:hAnsi="Times New Roman"/>
          <w:sz w:val="22"/>
          <w:szCs w:val="22"/>
          <w:color w:val="auto"/>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 w:cs="Times New Roman" w:eastAsia="Times New Roman" w:hAnsi="Times New Roman"/>
          <w:sz w:val="22"/>
          <w:szCs w:val="22"/>
          <w:b w:val="1"/>
          <w:bCs w:val="1"/>
          <w:color w:val="auto"/>
        </w:rPr>
        <w:t>Section 11.01</w:t>
      </w:r>
      <w:r>
        <w:rPr>
          <w:rFonts w:ascii="Times New Roman" w:cs="Times New Roman" w:eastAsia="Times New Roman" w:hAnsi="Times New Roman"/>
          <w:sz w:val="22"/>
          <w:szCs w:val="22"/>
          <w:color w:val="auto"/>
        </w:rPr>
        <w:t>, the Trustee determines may be unduly prejudicial to the rights of other Holders (provided, that the Trustee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an affirmative obligation to determine whether any such direction is unduly prejudicial to the rights of other Holders) or may involve the Trustee in liability, unless the Trustee is offered (and, if requested, provided with) security and indemnity satisfactory to the Trustee against any loss, liability or expense to the Trustee that may result from the Trustee’s following such direction.</w:t>
      </w:r>
    </w:p>
    <w:p>
      <w:pPr>
        <w:spacing w:after="0" w:line="20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7.08.</w:t>
      </w:r>
      <w:r>
        <w:rPr>
          <w:sz w:val="20"/>
          <w:szCs w:val="20"/>
          <w:color w:val="auto"/>
        </w:rPr>
        <w:tab/>
      </w:r>
      <w:r>
        <w:rPr>
          <w:rFonts w:ascii="Times New Roman" w:cs="Times New Roman" w:eastAsia="Times New Roman" w:hAnsi="Times New Roman"/>
          <w:sz w:val="21"/>
          <w:szCs w:val="21"/>
          <w:b w:val="1"/>
          <w:bCs w:val="1"/>
          <w:color w:val="auto"/>
        </w:rPr>
        <w:t>Limitation on Suits.</w:t>
      </w:r>
    </w:p>
    <w:p>
      <w:pPr>
        <w:spacing w:after="0" w:line="224" w:lineRule="exact"/>
        <w:rPr>
          <w:sz w:val="20"/>
          <w:szCs w:val="20"/>
          <w:color w:val="auto"/>
        </w:rPr>
      </w:pPr>
    </w:p>
    <w:p>
      <w:pPr>
        <w:jc w:val="both"/>
        <w:ind w:firstLine="270"/>
        <w:spacing w:after="0" w:line="263" w:lineRule="auto"/>
        <w:rPr>
          <w:sz w:val="20"/>
          <w:szCs w:val="20"/>
          <w:color w:val="auto"/>
        </w:rPr>
      </w:pPr>
      <w:r>
        <w:rPr>
          <w:rFonts w:ascii="Times New Roman" w:cs="Times New Roman" w:eastAsia="Times New Roman" w:hAnsi="Times New Roman"/>
          <w:sz w:val="22"/>
          <w:szCs w:val="22"/>
          <w:color w:val="auto"/>
        </w:rPr>
        <w:t xml:space="preserve">No Holder may pursue any remedy with respect to this Indenture or the Notes (except to enforce (x) its rights to receive the principal of, or the Fundamental Change Repurchase Price or Redemption Price for, or any interest, if any on, any Notes; or (y) the Company’s obligations to Convert any Notes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unless:</w:t>
      </w:r>
    </w:p>
    <w:p>
      <w:pPr>
        <w:spacing w:after="0" w:line="167" w:lineRule="exact"/>
        <w:rPr>
          <w:sz w:val="20"/>
          <w:szCs w:val="20"/>
          <w:color w:val="auto"/>
        </w:rPr>
      </w:pPr>
    </w:p>
    <w:p>
      <w:pPr>
        <w:ind w:left="1180" w:hanging="524"/>
        <w:spacing w:after="0"/>
        <w:tabs>
          <w:tab w:leader="none" w:pos="11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delivered to the Trustee notice that an Event of Default is continuing;</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117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twenty five percent (25%) in aggregate principal amount of the Notes then outstanding deliver a request to the Trustee to pursue such remedy;</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4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or Holders offer and, if requested, provide to the Trustee security and indemnity satisfactory to the Trustee against any loss, liability or expense to the Trustee that may result from the Trustee’s following such request;</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0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does not comply with such request within sixty (60) calendar days after its receipt of such request and such offer of security or indemnity; and</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9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such sixty (60) calendar day period, Holders of a majority in aggregate principal amount of the Notes then outstanding do not deliver to the Trustee a direction that is inconsistent with such request.</w:t>
      </w:r>
    </w:p>
    <w:p>
      <w:pPr>
        <w:spacing w:after="0" w:line="171" w:lineRule="exact"/>
        <w:rPr>
          <w:sz w:val="20"/>
          <w:szCs w:val="20"/>
          <w:color w:val="auto"/>
        </w:rPr>
      </w:pPr>
    </w:p>
    <w:p>
      <w:pPr>
        <w:jc w:val="both"/>
        <w:ind w:firstLine="260"/>
        <w:spacing w:after="0" w:line="257" w:lineRule="auto"/>
        <w:rPr>
          <w:sz w:val="20"/>
          <w:szCs w:val="20"/>
          <w:color w:val="auto"/>
        </w:rPr>
      </w:pPr>
      <w:r>
        <w:rPr>
          <w:rFonts w:ascii="Times New Roman" w:cs="Times New Roman" w:eastAsia="Times New Roman" w:hAnsi="Times New Roman"/>
          <w:sz w:val="22"/>
          <w:szCs w:val="22"/>
          <w:color w:val="auto"/>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86" w:name="page87"/>
    <w:bookmarkEnd w:id="86"/>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Section 7.09. Absolute Right of Holders to Institute Suit for the Enforcement of the Right to Receive Payment and Conversion Consideration.</w:t>
      </w:r>
    </w:p>
    <w:p>
      <w:pPr>
        <w:spacing w:after="0" w:line="149" w:lineRule="exact"/>
        <w:rPr>
          <w:sz w:val="20"/>
          <w:szCs w:val="20"/>
          <w:color w:val="auto"/>
        </w:rPr>
      </w:pPr>
    </w:p>
    <w:p>
      <w:pPr>
        <w:jc w:val="both"/>
        <w:ind w:firstLine="261"/>
        <w:spacing w:after="0" w:line="25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Indenture or the Notes (but without limiting </w:t>
      </w:r>
      <w:r>
        <w:rPr>
          <w:rFonts w:ascii="Times New Roman" w:cs="Times New Roman" w:eastAsia="Times New Roman" w:hAnsi="Times New Roman"/>
          <w:sz w:val="22"/>
          <w:szCs w:val="22"/>
          <w:b w:val="1"/>
          <w:bCs w:val="1"/>
          <w:color w:val="auto"/>
        </w:rPr>
        <w:t>Section 8.01</w:t>
      </w:r>
      <w:r>
        <w:rPr>
          <w:rFonts w:ascii="Times New Roman" w:cs="Times New Roman" w:eastAsia="Times New Roman" w:hAnsi="Times New Roman"/>
          <w:sz w:val="22"/>
          <w:szCs w:val="22"/>
          <w:color w:val="auto"/>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Conversion of, such Note on or after the respective due dates therefor provided in this Indenture and the Notes, will not be impaired or affected without the consent of such Holder.</w:t>
      </w:r>
    </w:p>
    <w:p>
      <w:pPr>
        <w:spacing w:after="0" w:line="20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7.10.</w:t>
      </w:r>
      <w:r>
        <w:rPr>
          <w:sz w:val="20"/>
          <w:szCs w:val="20"/>
          <w:color w:val="auto"/>
        </w:rPr>
        <w:tab/>
      </w:r>
      <w:r>
        <w:rPr>
          <w:rFonts w:ascii="Times New Roman" w:cs="Times New Roman" w:eastAsia="Times New Roman" w:hAnsi="Times New Roman"/>
          <w:sz w:val="21"/>
          <w:szCs w:val="21"/>
          <w:b w:val="1"/>
          <w:bCs w:val="1"/>
          <w:color w:val="auto"/>
        </w:rPr>
        <w:t>Collection Suit by Trustee.</w:t>
      </w:r>
    </w:p>
    <w:p>
      <w:pPr>
        <w:spacing w:after="0" w:line="233" w:lineRule="exact"/>
        <w:rPr>
          <w:sz w:val="20"/>
          <w:szCs w:val="20"/>
          <w:color w:val="auto"/>
        </w:rPr>
      </w:pPr>
    </w:p>
    <w:p>
      <w:pPr>
        <w:jc w:val="both"/>
        <w:ind w:firstLine="239"/>
        <w:spacing w:after="0" w:line="249" w:lineRule="auto"/>
        <w:rPr>
          <w:sz w:val="20"/>
          <w:szCs w:val="20"/>
          <w:color w:val="auto"/>
        </w:rPr>
      </w:pPr>
      <w:r>
        <w:rPr>
          <w:rFonts w:ascii="Times New Roman" w:cs="Times New Roman" w:eastAsia="Times New Roman" w:hAnsi="Times New Roman"/>
          <w:sz w:val="22"/>
          <w:szCs w:val="22"/>
          <w:color w:val="auto"/>
        </w:rPr>
        <w:t xml:space="preserve">The Trustee will have the right, upon the occurrence and continuance of an Event of Default pursuant to </w:t>
      </w:r>
      <w:r>
        <w:rPr>
          <w:rFonts w:ascii="Times New Roman" w:cs="Times New Roman" w:eastAsia="Times New Roman" w:hAnsi="Times New Roman"/>
          <w:sz w:val="22"/>
          <w:szCs w:val="22"/>
          <w:b w:val="1"/>
          <w:bCs w:val="1"/>
          <w:color w:val="auto"/>
        </w:rPr>
        <w:t>clause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 7.01(A)</w:t>
      </w:r>
      <w:r>
        <w:rPr>
          <w:rFonts w:ascii="Times New Roman" w:cs="Times New Roman" w:eastAsia="Times New Roman" w:hAnsi="Times New Roman"/>
          <w:sz w:val="22"/>
          <w:szCs w:val="22"/>
          <w:color w:val="auto"/>
        </w:rPr>
        <w:t xml:space="preserve">, to recover judgment in its own name and as trustee of an express trust against the Company for the total unpaid or undelivered principal of, or Fundamental Change Repurchase Price or Redemption Price for, or any interest, if any, on, or Conversion Consideration due pursuant to </w:t>
      </w:r>
      <w:r>
        <w:rPr>
          <w:rFonts w:ascii="Times New Roman" w:cs="Times New Roman" w:eastAsia="Times New Roman" w:hAnsi="Times New Roman"/>
          <w:sz w:val="22"/>
          <w:szCs w:val="22"/>
          <w:b w:val="1"/>
          <w:bCs w:val="1"/>
          <w:color w:val="auto"/>
        </w:rPr>
        <w:t>Article 5</w:t>
      </w:r>
      <w:r>
        <w:rPr>
          <w:rFonts w:ascii="Times New Roman" w:cs="Times New Roman" w:eastAsia="Times New Roman" w:hAnsi="Times New Roman"/>
          <w:sz w:val="22"/>
          <w:szCs w:val="22"/>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Section 7.11.</w:t>
      </w:r>
      <w:r>
        <w:rPr>
          <w:sz w:val="20"/>
          <w:szCs w:val="20"/>
          <w:color w:val="auto"/>
        </w:rPr>
        <w:tab/>
      </w:r>
      <w:r>
        <w:rPr>
          <w:rFonts w:ascii="Times New Roman" w:cs="Times New Roman" w:eastAsia="Times New Roman" w:hAnsi="Times New Roman"/>
          <w:sz w:val="21"/>
          <w:szCs w:val="21"/>
          <w:b w:val="1"/>
          <w:bCs w:val="1"/>
          <w:color w:val="auto"/>
        </w:rPr>
        <w:t>Trustee May File Proofs of Claim.</w:t>
      </w:r>
    </w:p>
    <w:p>
      <w:pPr>
        <w:spacing w:after="0" w:line="224" w:lineRule="exact"/>
        <w:rPr>
          <w:sz w:val="20"/>
          <w:szCs w:val="20"/>
          <w:color w:val="auto"/>
        </w:rPr>
      </w:pPr>
    </w:p>
    <w:p>
      <w:pPr>
        <w:jc w:val="both"/>
        <w:ind w:firstLine="254"/>
        <w:spacing w:after="0" w:line="247" w:lineRule="auto"/>
        <w:rPr>
          <w:sz w:val="20"/>
          <w:szCs w:val="20"/>
          <w:color w:val="auto"/>
        </w:rPr>
      </w:pPr>
      <w:r>
        <w:rPr>
          <w:rFonts w:ascii="Times New Roman" w:cs="Times New Roman" w:eastAsia="Times New Roman" w:hAnsi="Times New Roman"/>
          <w:sz w:val="22"/>
          <w:szCs w:val="22"/>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To the extent that the payment of any such compensation, expenses, disbursements, advances and other amounts out of the estate in such proceeding, is denied for any reason, payment of the same will be secured by a lien (senior to the rights of Holders)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18" w:right="339" w:bottom="1440" w:gutter="0" w:footer="0" w:header="0"/>
        </w:sectPr>
      </w:pPr>
    </w:p>
    <w:bookmarkStart w:id="87" w:name="page88"/>
    <w:bookmarkEnd w:id="87"/>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7.12.</w:t>
      </w:r>
      <w:r>
        <w:rPr>
          <w:sz w:val="20"/>
          <w:szCs w:val="20"/>
          <w:color w:val="auto"/>
        </w:rPr>
        <w:tab/>
      </w:r>
      <w:r>
        <w:rPr>
          <w:rFonts w:ascii="Times New Roman" w:cs="Times New Roman" w:eastAsia="Times New Roman" w:hAnsi="Times New Roman"/>
          <w:sz w:val="21"/>
          <w:szCs w:val="21"/>
          <w:b w:val="1"/>
          <w:bCs w:val="1"/>
          <w:color w:val="auto"/>
        </w:rPr>
        <w:t>Priorities.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The Trustee will pay or deliver in the following order any money or other property that it collects pursuant to this </w:t>
      </w:r>
      <w:r>
        <w:rPr>
          <w:rFonts w:ascii="Times New Roman" w:cs="Times New Roman" w:eastAsia="Times New Roman" w:hAnsi="Times New Roman"/>
          <w:sz w:val="22"/>
          <w:szCs w:val="22"/>
          <w:b w:val="1"/>
          <w:bCs w:val="1"/>
          <w:color w:val="auto"/>
        </w:rPr>
        <w:t>Article 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Trustee and its agents and attorneys for amounts due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including payment of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fees and compensation of, and all expenses and liabilities incurred, and all advances made, by, the Trustee (in each of its capacities under this Indenture, including as Note Agent) and the costs and expenses of collection;</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Holders for unpaid amounts or other property due on the Notes, including the principal of, 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spacing w:after="0" w:line="195"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to the Company or such other Person as a court of competent jurisdiction directs.</w:t>
      </w:r>
    </w:p>
    <w:p>
      <w:pPr>
        <w:spacing w:after="0" w:line="247"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22"/>
          <w:szCs w:val="22"/>
          <w:color w:val="auto"/>
        </w:rPr>
        <w:t xml:space="preserve">The Trustee may fix a record date and payment date for any payment or delivery to the Holders pursuant to this </w:t>
      </w:r>
      <w:r>
        <w:rPr>
          <w:rFonts w:ascii="Times New Roman" w:cs="Times New Roman" w:eastAsia="Times New Roman" w:hAnsi="Times New Roman"/>
          <w:sz w:val="22"/>
          <w:szCs w:val="22"/>
          <w:b w:val="1"/>
          <w:bCs w:val="1"/>
          <w:color w:val="auto"/>
        </w:rPr>
        <w:t>Section 7.12</w:t>
      </w:r>
      <w:r>
        <w:rPr>
          <w:rFonts w:ascii="Times New Roman" w:cs="Times New Roman" w:eastAsia="Times New Roman" w:hAnsi="Times New Roman"/>
          <w:sz w:val="22"/>
          <w:szCs w:val="22"/>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2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7.13.</w:t>
      </w:r>
      <w:r>
        <w:rPr>
          <w:sz w:val="20"/>
          <w:szCs w:val="20"/>
          <w:color w:val="auto"/>
        </w:rPr>
        <w:tab/>
      </w:r>
      <w:r>
        <w:rPr>
          <w:rFonts w:ascii="Times New Roman" w:cs="Times New Roman" w:eastAsia="Times New Roman" w:hAnsi="Times New Roman"/>
          <w:sz w:val="21"/>
          <w:szCs w:val="21"/>
          <w:b w:val="1"/>
          <w:bCs w:val="1"/>
          <w:color w:val="auto"/>
        </w:rPr>
        <w:t>Undertaking for Costs.</w:t>
      </w:r>
    </w:p>
    <w:p>
      <w:pPr>
        <w:spacing w:after="0" w:line="22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21"/>
          <w:szCs w:val="21"/>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7.13</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does not apply to any suit by the Trustee, any suit by a Holder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Section 7.09</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any suit by one or more Holders of more than ten percent (10%) in aggregate principal amount of the Notes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18" w:right="339" w:bottom="1440" w:gutter="0" w:footer="0" w:header="0"/>
        </w:sectPr>
      </w:pPr>
    </w:p>
    <w:bookmarkStart w:id="88" w:name="page89"/>
    <w:bookmarkEnd w:id="88"/>
    <w:p>
      <w:pPr>
        <w:ind w:right="2660" w:firstLine="2652"/>
        <w:spacing w:after="0" w:line="448" w:lineRule="auto"/>
        <w:rPr>
          <w:sz w:val="20"/>
          <w:szCs w:val="20"/>
          <w:color w:val="auto"/>
        </w:rPr>
      </w:pPr>
      <w:r>
        <w:rPr>
          <w:rFonts w:ascii="Times New Roman" w:cs="Times New Roman" w:eastAsia="Times New Roman" w:hAnsi="Times New Roman"/>
          <w:sz w:val="22"/>
          <w:szCs w:val="22"/>
          <w:b w:val="1"/>
          <w:bCs w:val="1"/>
          <w:color w:val="auto"/>
        </w:rPr>
        <w:t>Article 8. AMENDMENTS, SUPPLEMENTS AND WAIVERS Section 8.01. Without the Consent of Holders.</w:t>
      </w:r>
    </w:p>
    <w:p>
      <w:pPr>
        <w:spacing w:after="0" w:line="1" w:lineRule="exact"/>
        <w:rPr>
          <w:sz w:val="20"/>
          <w:szCs w:val="20"/>
          <w:color w:val="auto"/>
        </w:rPr>
      </w:pPr>
    </w:p>
    <w:p>
      <w:pPr>
        <w:ind w:right="20" w:firstLine="362"/>
        <w:spacing w:after="0" w:line="287"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b w:val="1"/>
          <w:bCs w:val="1"/>
          <w:color w:val="auto"/>
        </w:rPr>
        <w:t>Section 8.02</w:t>
      </w:r>
      <w:r>
        <w:rPr>
          <w:rFonts w:ascii="Times New Roman" w:cs="Times New Roman" w:eastAsia="Times New Roman" w:hAnsi="Times New Roman"/>
          <w:sz w:val="22"/>
          <w:szCs w:val="22"/>
          <w:color w:val="auto"/>
        </w:rPr>
        <w:t>, the Company, the Guarantors and the Trustee may amend or supplement this Indenture, the Notes or the Guarantees without the consent of any Holder to:</w:t>
      </w:r>
    </w:p>
    <w:p>
      <w:pPr>
        <w:spacing w:after="0" w:line="141" w:lineRule="exact"/>
        <w:rPr>
          <w:sz w:val="20"/>
          <w:szCs w:val="20"/>
          <w:color w:val="auto"/>
        </w:rPr>
      </w:pPr>
    </w:p>
    <w:p>
      <w:pPr>
        <w:ind w:left="1180" w:hanging="524"/>
        <w:spacing w:after="0"/>
        <w:tabs>
          <w:tab w:leader="none" w:pos="11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ambiguity or correct any omission, defect or inconsistency in this Indenture or the Notes;</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additional guarantees with respect to the Company’s obligations under this Indenture or the Notes;</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the Notes or any Guarantees;</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1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to the Company’s or any Guarantor’s covenants or Events of Default for the benefit of the Holders or surrender any right or power conferred on the Company or any Guarantor;</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2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for the assumption of the Company’s or any Guarantor’s obligations under this Indenture and the Notes pursuant to, and in compliance with,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9.04</w:t>
      </w:r>
      <w:r>
        <w:rPr>
          <w:rFonts w:ascii="Times New Roman" w:cs="Times New Roman" w:eastAsia="Times New Roman" w:hAnsi="Times New Roman"/>
          <w:sz w:val="22"/>
          <w:szCs w:val="22"/>
          <w:color w:val="auto"/>
        </w:rPr>
        <w:t>, as applicable;</w:t>
      </w:r>
    </w:p>
    <w:p>
      <w:pPr>
        <w:spacing w:after="0" w:line="153" w:lineRule="exact"/>
        <w:rPr>
          <w:rFonts w:ascii="Times New Roman" w:cs="Times New Roman" w:eastAsia="Times New Roman" w:hAnsi="Times New Roman"/>
          <w:sz w:val="22"/>
          <w:szCs w:val="22"/>
          <w:color w:val="auto"/>
        </w:rPr>
      </w:pPr>
    </w:p>
    <w:p>
      <w:pPr>
        <w:ind w:firstLine="656"/>
        <w:spacing w:after="0" w:line="275" w:lineRule="auto"/>
        <w:tabs>
          <w:tab w:leader="none" w:pos="115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enter into supplemental indentures pursuant to, and in accordance with,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 xml:space="preserve"> in connection with a Common Stock Change Event;</w:t>
      </w:r>
    </w:p>
    <w:p>
      <w:pPr>
        <w:spacing w:after="0" w:line="149" w:lineRule="exact"/>
        <w:rPr>
          <w:rFonts w:ascii="Times New Roman" w:cs="Times New Roman" w:eastAsia="Times New Roman" w:hAnsi="Times New Roman"/>
          <w:sz w:val="22"/>
          <w:szCs w:val="22"/>
          <w:color w:val="auto"/>
        </w:rPr>
      </w:pPr>
    </w:p>
    <w:p>
      <w:pPr>
        <w:jc w:val="both"/>
        <w:ind w:firstLine="656"/>
        <w:spacing w:after="0" w:line="258" w:lineRule="auto"/>
        <w:tabs>
          <w:tab w:leader="none" w:pos="12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irrevocably elect or eliminate any Settlement Method or Specified Dollar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 no such election or elimination will affect any Settlement Method theretofore elected (or deemed to be elected) with respect to any Note pursuant to </w:t>
      </w:r>
      <w:r>
        <w:rPr>
          <w:rFonts w:ascii="Times New Roman" w:cs="Times New Roman" w:eastAsia="Times New Roman" w:hAnsi="Times New Roman"/>
          <w:sz w:val="22"/>
          <w:szCs w:val="22"/>
          <w:b w:val="1"/>
          <w:bCs w:val="1"/>
          <w:color w:val="auto"/>
        </w:rPr>
        <w:t>Section 5.03(A)</w:t>
      </w:r>
      <w:r>
        <w:rPr>
          <w:rFonts w:ascii="Times New Roman" w:cs="Times New Roman" w:eastAsia="Times New Roman" w:hAnsi="Times New Roman"/>
          <w:sz w:val="22"/>
          <w:szCs w:val="22"/>
          <w:color w:val="auto"/>
        </w:rPr>
        <w:t>; and (ii) such irrevocable election or elimination can in no event result in a Specified Dollar Amount of less than $1,000 per $1,000 principal amount of Notes applying to the Conversion of any Note;</w:t>
      </w:r>
    </w:p>
    <w:p>
      <w:pPr>
        <w:spacing w:after="0" w:line="171"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or provide for the acceptance of the appointment, under this Indenture, of a successor Trustee;</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9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conform the provisions of this Indenture and the Notes to the “Description of Notes” section of the Company’s preliminary offering memorandum, dated April 30, 2026, as supplemented by the related pricing term sheet, dated April 30, 2026;</w:t>
      </w:r>
    </w:p>
    <w:p>
      <w:pPr>
        <w:spacing w:after="0" w:line="163"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provide for or confirm the issuance of additional Notes pursuant to </w:t>
      </w:r>
      <w:r>
        <w:rPr>
          <w:rFonts w:ascii="Times New Roman" w:cs="Times New Roman" w:eastAsia="Times New Roman" w:hAnsi="Times New Roman"/>
          <w:sz w:val="22"/>
          <w:szCs w:val="22"/>
          <w:b w:val="1"/>
          <w:bCs w:val="1"/>
          <w:color w:val="auto"/>
        </w:rPr>
        <w:t>Section 2.03(B)</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right="20" w:firstLine="656"/>
        <w:spacing w:after="0" w:line="271" w:lineRule="auto"/>
        <w:tabs>
          <w:tab w:leader="none" w:pos="126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any requirement of the SEC in connection with any qualification of this Indenture, or any related supplemental indenture, under the Trust Indenture Act, as then in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18" w:right="339" w:bottom="1440" w:gutter="0" w:footer="0" w:header="0"/>
        </w:sectPr>
      </w:pPr>
    </w:p>
    <w:bookmarkStart w:id="89" w:name="page90"/>
    <w:bookmarkEnd w:id="89"/>
    <w:p>
      <w:pPr>
        <w:jc w:val="both"/>
        <w:ind w:firstLine="656"/>
        <w:spacing w:after="0" w:line="257" w:lineRule="auto"/>
        <w:tabs>
          <w:tab w:leader="none" w:pos="119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186" w:lineRule="exact"/>
        <w:rPr>
          <w:sz w:val="20"/>
          <w:szCs w:val="20"/>
          <w:color w:val="auto"/>
        </w:rPr>
      </w:pPr>
    </w:p>
    <w:p>
      <w:pPr>
        <w:ind w:firstLine="235"/>
        <w:spacing w:after="0" w:line="271" w:lineRule="auto"/>
        <w:rPr>
          <w:sz w:val="20"/>
          <w:szCs w:val="20"/>
          <w:color w:val="auto"/>
        </w:rPr>
      </w:pPr>
      <w:r>
        <w:rPr>
          <w:rFonts w:ascii="Times New Roman" w:cs="Times New Roman" w:eastAsia="Times New Roman" w:hAnsi="Times New Roman"/>
          <w:sz w:val="22"/>
          <w:szCs w:val="22"/>
          <w:color w:val="auto"/>
        </w:rPr>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22"/>
          <w:szCs w:val="22"/>
          <w:b w:val="1"/>
          <w:bCs w:val="1"/>
          <w:color w:val="auto"/>
        </w:rPr>
        <w:t>Section 8.01(I)</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8.02.</w:t>
      </w:r>
      <w:r>
        <w:rPr>
          <w:sz w:val="20"/>
          <w:szCs w:val="20"/>
          <w:color w:val="auto"/>
        </w:rPr>
        <w:tab/>
      </w:r>
      <w:r>
        <w:rPr>
          <w:rFonts w:ascii="Times New Roman" w:cs="Times New Roman" w:eastAsia="Times New Roman" w:hAnsi="Times New Roman"/>
          <w:sz w:val="21"/>
          <w:szCs w:val="21"/>
          <w:b w:val="1"/>
          <w:bCs w:val="1"/>
          <w:color w:val="auto"/>
        </w:rPr>
        <w:t>With the Consent of Holders.</w:t>
      </w:r>
    </w:p>
    <w:p>
      <w:pPr>
        <w:spacing w:after="0" w:line="220" w:lineRule="exact"/>
        <w:rPr>
          <w:sz w:val="20"/>
          <w:szCs w:val="20"/>
          <w:color w:val="auto"/>
        </w:rPr>
      </w:pPr>
    </w:p>
    <w:p>
      <w:pPr>
        <w:jc w:val="both"/>
        <w:ind w:firstLine="656"/>
        <w:spacing w:after="0" w:line="252" w:lineRule="auto"/>
        <w:tabs>
          <w:tab w:leader="none" w:pos="127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Sections 8.01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7.05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7.09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immediately following sentence, the Company,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Guarantors and the Trustee may, with the consent of the Holders of a majority in aggregate principal amount of the Notes then outstanding, amend or supplement this Indenture, the Notes or the Guarantees or waive compliance with any provision of this Indenture, the Notes or the Guarantees. Notwithstanding anything to the contrary in the foregoing sentence, but subject to </w:t>
      </w:r>
      <w:r>
        <w:rPr>
          <w:rFonts w:ascii="Times New Roman" w:cs="Times New Roman" w:eastAsia="Times New Roman" w:hAnsi="Times New Roman"/>
          <w:sz w:val="22"/>
          <w:szCs w:val="22"/>
          <w:b w:val="1"/>
          <w:bCs w:val="1"/>
          <w:color w:val="auto"/>
        </w:rPr>
        <w:t>Section 8.01</w:t>
      </w:r>
      <w:r>
        <w:rPr>
          <w:rFonts w:ascii="Times New Roman" w:cs="Times New Roman" w:eastAsia="Times New Roman" w:hAnsi="Times New Roman"/>
          <w:sz w:val="22"/>
          <w:szCs w:val="22"/>
          <w:color w:val="auto"/>
        </w:rPr>
        <w:t>, without the consent of each affected Holder, no amendment or supplement to this Indenture, the Notes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Guarantees, or waiver of any provision of this Indenture, the Notes or the Guarantees, may:</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or change the stated maturity, of any Note;</w:t>
      </w:r>
    </w:p>
    <w:p>
      <w:pPr>
        <w:spacing w:after="0" w:line="219" w:lineRule="exact"/>
        <w:rPr>
          <w:rFonts w:ascii="Times New Roman" w:cs="Times New Roman" w:eastAsia="Times New Roman" w:hAnsi="Times New Roman"/>
          <w:sz w:val="22"/>
          <w:szCs w:val="22"/>
          <w:color w:val="auto"/>
        </w:rPr>
      </w:pPr>
    </w:p>
    <w:p>
      <w:pPr>
        <w:ind w:left="660" w:firstLine="644"/>
        <w:spacing w:after="0" w:line="284" w:lineRule="auto"/>
        <w:tabs>
          <w:tab w:leader="none" w:pos="182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Redemption Price or Fundamental Change Repurchase Price for any Note or change the times at which, or the circumstances under which, the Notes may or will be redeemed or repurchased by the Company;</w:t>
      </w:r>
    </w:p>
    <w:p>
      <w:pPr>
        <w:spacing w:after="0" w:line="14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or extend the time for the payment, of Special Interest or Additional Interest on any Note;</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adversely affects the Conversion rights of any Note;</w:t>
      </w:r>
    </w:p>
    <w:p>
      <w:pPr>
        <w:spacing w:after="0" w:line="21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impair the rights of any Holder set forth in </w:t>
      </w:r>
      <w:r>
        <w:rPr>
          <w:rFonts w:ascii="Times New Roman" w:cs="Times New Roman" w:eastAsia="Times New Roman" w:hAnsi="Times New Roman"/>
          <w:sz w:val="22"/>
          <w:szCs w:val="22"/>
          <w:b w:val="1"/>
          <w:bCs w:val="1"/>
          <w:color w:val="auto"/>
        </w:rPr>
        <w:t>Section 7.09</w:t>
      </w:r>
      <w:r>
        <w:rPr>
          <w:rFonts w:ascii="Times New Roman" w:cs="Times New Roman" w:eastAsia="Times New Roman" w:hAnsi="Times New Roman"/>
          <w:sz w:val="22"/>
          <w:szCs w:val="22"/>
          <w:color w:val="auto"/>
        </w:rPr>
        <w:t xml:space="preserve"> (as such section is in effect on the Issue Date);</w:t>
      </w:r>
    </w:p>
    <w:p>
      <w:pPr>
        <w:spacing w:after="0" w:line="22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ranking of the Notes or the Guarantees;</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92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or amend the terms and conditions of the obligations of the Guarantors, as guarantors of the Notes, in any manner that is adverse to the rights of the Holders, as such, other than (1) any elimination or release of a Guarantee in accordance with this Indenture; or (2) to give effect to a Guarantor Business Combination Event in accordance with this Indenture;</w:t>
      </w:r>
    </w:p>
    <w:p>
      <w:pPr>
        <w:spacing w:after="0" w:line="179"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Note payable in money, or at a place of payment, other than that stated in this Indenture or the</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w:t>
      </w:r>
    </w:p>
    <w:p>
      <w:pPr>
        <w:spacing w:after="0" w:line="207"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98"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amount of Notes whose Holders must consent to any amendment, supplement, waiver or other modification;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90" w:name="page91"/>
    <w:bookmarkEnd w:id="90"/>
    <w:p>
      <w:pPr>
        <w:ind w:left="660" w:firstLine="644"/>
        <w:spacing w:after="0" w:line="271" w:lineRule="auto"/>
        <w:tabs>
          <w:tab w:leader="none" w:pos="181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direct or indirect change to any amendment, supplement, waiver or modification provision of this Indenture or the Notes that requires the consent of each affected Holder.</w:t>
      </w:r>
    </w:p>
    <w:p>
      <w:pPr>
        <w:spacing w:after="0" w:line="153" w:lineRule="exact"/>
        <w:rPr>
          <w:rFonts w:ascii="Times New Roman" w:cs="Times New Roman" w:eastAsia="Times New Roman" w:hAnsi="Times New Roman"/>
          <w:sz w:val="22"/>
          <w:szCs w:val="22"/>
          <w:color w:val="auto"/>
        </w:rPr>
      </w:pPr>
    </w:p>
    <w:p>
      <w:pPr>
        <w:jc w:val="both"/>
        <w:ind w:firstLine="656"/>
        <w:spacing w:after="0" w:line="265" w:lineRule="auto"/>
        <w:tabs>
          <w:tab w:leader="none" w:pos="127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Holders Need Not Approve the Particular Form of any Amendment</w:t>
      </w:r>
      <w:r>
        <w:rPr>
          <w:rFonts w:ascii="Times New Roman" w:cs="Times New Roman" w:eastAsia="Times New Roman" w:hAnsi="Times New Roman"/>
          <w:sz w:val="22"/>
          <w:szCs w:val="22"/>
          <w:color w:val="auto"/>
        </w:rPr>
        <w:t>. A consent of any Holder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Section 8.02 </w:t>
      </w:r>
      <w:r>
        <w:rPr>
          <w:rFonts w:ascii="Times New Roman" w:cs="Times New Roman" w:eastAsia="Times New Roman" w:hAnsi="Times New Roman"/>
          <w:sz w:val="22"/>
          <w:szCs w:val="22"/>
          <w:color w:val="auto"/>
        </w:rPr>
        <w:t>need approve only the substance, and not necessarily the particular form, of the proposed amendment, supplement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waiver.</w:t>
      </w:r>
    </w:p>
    <w:p>
      <w:pPr>
        <w:spacing w:after="0" w:line="16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8.03.</w:t>
      </w:r>
      <w:r>
        <w:rPr>
          <w:sz w:val="20"/>
          <w:szCs w:val="20"/>
          <w:color w:val="auto"/>
        </w:rPr>
        <w:tab/>
      </w:r>
      <w:r>
        <w:rPr>
          <w:rFonts w:ascii="Times New Roman" w:cs="Times New Roman" w:eastAsia="Times New Roman" w:hAnsi="Times New Roman"/>
          <w:sz w:val="21"/>
          <w:szCs w:val="21"/>
          <w:b w:val="1"/>
          <w:bCs w:val="1"/>
          <w:color w:val="auto"/>
        </w:rPr>
        <w:t>Notice of Amendments, Supplements and Waivers.</w:t>
      </w:r>
    </w:p>
    <w:p>
      <w:pPr>
        <w:spacing w:after="0" w:line="220" w:lineRule="exact"/>
        <w:rPr>
          <w:sz w:val="20"/>
          <w:szCs w:val="20"/>
          <w:color w:val="auto"/>
        </w:rPr>
      </w:pPr>
    </w:p>
    <w:p>
      <w:pPr>
        <w:jc w:val="both"/>
        <w:ind w:firstLine="315"/>
        <w:spacing w:after="0" w:line="252" w:lineRule="auto"/>
        <w:rPr>
          <w:sz w:val="20"/>
          <w:szCs w:val="20"/>
          <w:color w:val="auto"/>
        </w:rPr>
      </w:pPr>
      <w:r>
        <w:rPr>
          <w:rFonts w:ascii="Times New Roman" w:cs="Times New Roman" w:eastAsia="Times New Roman" w:hAnsi="Times New Roman"/>
          <w:sz w:val="22"/>
          <w:szCs w:val="22"/>
          <w:color w:val="auto"/>
        </w:rPr>
        <w:t xml:space="preserve">As soon as reasonably practicable after any amendment, supplement or waiver pursuant to </w:t>
      </w:r>
      <w:r>
        <w:rPr>
          <w:rFonts w:ascii="Times New Roman" w:cs="Times New Roman" w:eastAsia="Times New Roman" w:hAnsi="Times New Roman"/>
          <w:sz w:val="22"/>
          <w:szCs w:val="22"/>
          <w:b w:val="1"/>
          <w:bCs w:val="1"/>
          <w:color w:val="auto"/>
        </w:rPr>
        <w:t>Section 8.01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8.02</w:t>
      </w:r>
      <w:r>
        <w:rPr>
          <w:rFonts w:ascii="Times New Roman" w:cs="Times New Roman" w:eastAsia="Times New Roman" w:hAnsi="Times New Roman"/>
          <w:sz w:val="22"/>
          <w:szCs w:val="22"/>
          <w:color w:val="auto"/>
        </w:rPr>
        <w:t xml:space="preserve"> becomes effective, the Company will send to the Holders and the Trustee notice that (A) describes the substance of such amendment, supplement or waiver in reasonable detail and (B) states the effective date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20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8.04.</w:t>
      </w:r>
      <w:r>
        <w:rPr>
          <w:sz w:val="20"/>
          <w:szCs w:val="20"/>
          <w:color w:val="auto"/>
        </w:rPr>
        <w:tab/>
      </w:r>
      <w:r>
        <w:rPr>
          <w:rFonts w:ascii="Times New Roman" w:cs="Times New Roman" w:eastAsia="Times New Roman" w:hAnsi="Times New Roman"/>
          <w:sz w:val="21"/>
          <w:szCs w:val="21"/>
          <w:b w:val="1"/>
          <w:bCs w:val="1"/>
          <w:color w:val="auto"/>
        </w:rPr>
        <w:t>Revocation, Effect and Solicitation of Consents; Special Record Dates; Etc.</w:t>
      </w:r>
    </w:p>
    <w:p>
      <w:pPr>
        <w:spacing w:after="0" w:line="220" w:lineRule="exact"/>
        <w:rPr>
          <w:sz w:val="20"/>
          <w:szCs w:val="20"/>
          <w:color w:val="auto"/>
        </w:rPr>
      </w:pPr>
    </w:p>
    <w:p>
      <w:pPr>
        <w:jc w:val="both"/>
        <w:ind w:firstLine="656"/>
        <w:spacing w:after="0" w:line="254" w:lineRule="auto"/>
        <w:tabs>
          <w:tab w:leader="none" w:pos="11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Revocation and Effect of Consents</w:t>
      </w:r>
      <w:r>
        <w:rPr>
          <w:rFonts w:ascii="Times New Roman" w:cs="Times New Roman" w:eastAsia="Times New Roman" w:hAnsi="Times New Roman"/>
          <w:sz w:val="22"/>
          <w:szCs w:val="22"/>
          <w:color w:val="auto"/>
        </w:rPr>
        <w:t>. The consent of a Holder of a Note to an amendment, supplement or waiver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22"/>
          <w:szCs w:val="22"/>
          <w:b w:val="1"/>
          <w:bCs w:val="1"/>
          <w:color w:val="auto"/>
        </w:rPr>
        <w:t>Section 8.04(B)</w:t>
      </w:r>
      <w:r>
        <w:rPr>
          <w:rFonts w:ascii="Times New Roman" w:cs="Times New Roman" w:eastAsia="Times New Roman" w:hAnsi="Times New Roman"/>
          <w:sz w:val="22"/>
          <w:szCs w:val="22"/>
          <w:color w:val="auto"/>
        </w:rPr>
        <w:t>) any such consent with respect to such Note by delivering notice of revocation to the Trustee before the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amendment, supplement or waiver becomes effective.</w:t>
      </w:r>
    </w:p>
    <w:p>
      <w:pPr>
        <w:spacing w:after="0" w:line="17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5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Record Dates</w:t>
      </w:r>
      <w:r>
        <w:rPr>
          <w:rFonts w:ascii="Times New Roman" w:cs="Times New Roman" w:eastAsia="Times New Roman" w:hAnsi="Times New Roman"/>
          <w:sz w:val="22"/>
          <w:szCs w:val="22"/>
          <w:color w:val="auto"/>
        </w:rPr>
        <w:t>. The Company may, but is not required to, fix a record date for the purpose of determining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Holders entitled to consent or take any other action in connection with any amendment, supplement or waiver pursuant to this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If a record date is fixed, then, notwithstanding anything to the contrary in</w:t>
      </w:r>
      <w:r>
        <w:rPr>
          <w:rFonts w:ascii="Times New Roman" w:cs="Times New Roman" w:eastAsia="Times New Roman" w:hAnsi="Times New Roman"/>
          <w:sz w:val="22"/>
          <w:szCs w:val="22"/>
          <w:b w:val="1"/>
          <w:bCs w:val="1"/>
          <w:color w:val="auto"/>
        </w:rPr>
        <w:t xml:space="preserve"> Section 8.04(A)</w:t>
      </w:r>
      <w:r>
        <w:rPr>
          <w:rFonts w:ascii="Times New Roman" w:cs="Times New Roman" w:eastAsia="Times New Roman" w:hAnsi="Times New Roman"/>
          <w:sz w:val="22"/>
          <w:szCs w:val="22"/>
          <w:color w:val="auto"/>
        </w:rPr>
        <w:t>, only Persons who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such consent will be valid or effective for more than one hundred and twenty (120) calendar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record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59" w:lineRule="auto"/>
        <w:tabs>
          <w:tab w:leader="none" w:pos="115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Solicitation of Consents</w:t>
      </w:r>
      <w:r>
        <w:rPr>
          <w:rFonts w:ascii="Times New Roman" w:cs="Times New Roman" w:eastAsia="Times New Roman" w:hAnsi="Times New Roman"/>
          <w:sz w:val="22"/>
          <w:szCs w:val="22"/>
          <w:color w:val="auto"/>
        </w:rPr>
        <w:t>. For the avoidance of doubt, each reference in this Indenture or the Notes to the consent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 will be deemed to include any such consent obtained in connection with a repurchase of, or tender or exchange offer for, any Notes.</w:t>
      </w:r>
    </w:p>
    <w:p>
      <w:pPr>
        <w:spacing w:after="0" w:line="166" w:lineRule="exact"/>
        <w:rPr>
          <w:rFonts w:ascii="Times New Roman" w:cs="Times New Roman" w:eastAsia="Times New Roman" w:hAnsi="Times New Roman"/>
          <w:sz w:val="22"/>
          <w:szCs w:val="22"/>
          <w:color w:val="auto"/>
        </w:rPr>
      </w:pPr>
    </w:p>
    <w:p>
      <w:pPr>
        <w:jc w:val="both"/>
        <w:ind w:firstLine="656"/>
        <w:spacing w:after="0" w:line="265" w:lineRule="auto"/>
        <w:tabs>
          <w:tab w:leader="none" w:pos="11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and Binding Effect</w:t>
      </w:r>
      <w:r>
        <w:rPr>
          <w:rFonts w:ascii="Times New Roman" w:cs="Times New Roman" w:eastAsia="Times New Roman" w:hAnsi="Times New Roman"/>
          <w:sz w:val="22"/>
          <w:szCs w:val="22"/>
          <w:color w:val="auto"/>
        </w:rPr>
        <w:t>. Each amendment or supplement to this Indenture, the Notes or the Guarantees,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waiver of any Default, Event of Default or compliance with any provision of this Indenture, the Notes or the Guarantees, will become effective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71" w:lineRule="auto"/>
        <w:rPr>
          <w:sz w:val="20"/>
          <w:szCs w:val="20"/>
          <w:color w:val="auto"/>
        </w:rPr>
      </w:pPr>
      <w:r>
        <w:rPr>
          <w:rFonts w:ascii="Times New Roman" w:cs="Times New Roman" w:eastAsia="Times New Roman" w:hAnsi="Times New Roman"/>
          <w:sz w:val="22"/>
          <w:szCs w:val="22"/>
          <w:color w:val="auto"/>
        </w:rPr>
        <w:t>accordance with its terms and, when it becomes effective with respect to any Note (or any portion thereof), will thereafter bind every Holder of such Note (or such portion).</w:t>
      </w:r>
    </w:p>
    <w:p>
      <w:pPr>
        <w:spacing w:after="0" w:line="15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8.05.</w:t>
      </w:r>
      <w:r>
        <w:rPr>
          <w:sz w:val="20"/>
          <w:szCs w:val="20"/>
          <w:color w:val="auto"/>
        </w:rPr>
        <w:tab/>
      </w:r>
      <w:r>
        <w:rPr>
          <w:rFonts w:ascii="Times New Roman" w:cs="Times New Roman" w:eastAsia="Times New Roman" w:hAnsi="Times New Roman"/>
          <w:sz w:val="21"/>
          <w:szCs w:val="21"/>
          <w:b w:val="1"/>
          <w:bCs w:val="1"/>
          <w:color w:val="auto"/>
        </w:rPr>
        <w:t>Notations and Exchanges.</w:t>
      </w:r>
    </w:p>
    <w:p>
      <w:pPr>
        <w:spacing w:after="0" w:line="237" w:lineRule="exact"/>
        <w:rPr>
          <w:sz w:val="20"/>
          <w:szCs w:val="20"/>
          <w:color w:val="auto"/>
        </w:rPr>
      </w:pPr>
    </w:p>
    <w:p>
      <w:pPr>
        <w:jc w:val="both"/>
        <w:ind w:firstLine="224"/>
        <w:spacing w:after="0" w:line="265" w:lineRule="auto"/>
        <w:rPr>
          <w:sz w:val="20"/>
          <w:szCs w:val="20"/>
          <w:color w:val="auto"/>
        </w:rPr>
      </w:pPr>
      <w:r>
        <w:rPr>
          <w:rFonts w:ascii="Times New Roman" w:cs="Times New Roman" w:eastAsia="Times New Roman" w:hAnsi="Times New Roman"/>
          <w:sz w:val="21"/>
          <w:szCs w:val="21"/>
          <w:color w:val="auto"/>
        </w:rPr>
        <w:t xml:space="preserve">If any amendment, supplement or waiver changes the terms of a Note or a Guarantee,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21"/>
          <w:szCs w:val="21"/>
          <w:b w:val="1"/>
          <w:bCs w:val="1"/>
          <w:color w:val="auto"/>
        </w:rPr>
        <w:t>Section 2.02</w:t>
      </w:r>
      <w:r>
        <w:rPr>
          <w:rFonts w:ascii="Times New Roman" w:cs="Times New Roman" w:eastAsia="Times New Roman" w:hAnsi="Times New Roman"/>
          <w:sz w:val="21"/>
          <w:szCs w:val="21"/>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21"/>
          <w:szCs w:val="21"/>
          <w:b w:val="1"/>
          <w:bCs w:val="1"/>
          <w:color w:val="auto"/>
        </w:rPr>
        <w:t>Section 8.05</w:t>
      </w:r>
      <w:r>
        <w:rPr>
          <w:rFonts w:ascii="Times New Roman" w:cs="Times New Roman" w:eastAsia="Times New Roman" w:hAnsi="Times New Roman"/>
          <w:sz w:val="21"/>
          <w:szCs w:val="21"/>
          <w:color w:val="auto"/>
        </w:rPr>
        <w:t xml:space="preserve"> will not impair or affect the validity of such amendment, supplement or waiver.</w:t>
      </w:r>
    </w:p>
    <w:p>
      <w:pPr>
        <w:spacing w:after="0" w:line="1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8.06.</w:t>
      </w:r>
      <w:r>
        <w:rPr>
          <w:sz w:val="20"/>
          <w:szCs w:val="20"/>
          <w:color w:val="auto"/>
        </w:rPr>
        <w:tab/>
      </w:r>
      <w:r>
        <w:rPr>
          <w:rFonts w:ascii="Times New Roman" w:cs="Times New Roman" w:eastAsia="Times New Roman" w:hAnsi="Times New Roman"/>
          <w:sz w:val="21"/>
          <w:szCs w:val="21"/>
          <w:b w:val="1"/>
          <w:bCs w:val="1"/>
          <w:color w:val="auto"/>
        </w:rPr>
        <w:t>Trustee to Execute Supplemental Indentures.</w:t>
      </w:r>
    </w:p>
    <w:p>
      <w:pPr>
        <w:spacing w:after="0" w:line="220" w:lineRule="exact"/>
        <w:rPr>
          <w:sz w:val="20"/>
          <w:szCs w:val="20"/>
          <w:color w:val="auto"/>
        </w:rPr>
      </w:pPr>
    </w:p>
    <w:p>
      <w:pPr>
        <w:jc w:val="both"/>
        <w:ind w:firstLine="385"/>
        <w:spacing w:after="0" w:line="249" w:lineRule="auto"/>
        <w:rPr>
          <w:sz w:val="20"/>
          <w:szCs w:val="20"/>
          <w:color w:val="auto"/>
        </w:rPr>
      </w:pPr>
      <w:r>
        <w:rPr>
          <w:rFonts w:ascii="Times New Roman" w:cs="Times New Roman" w:eastAsia="Times New Roman" w:hAnsi="Times New Roman"/>
          <w:sz w:val="22"/>
          <w:szCs w:val="22"/>
          <w:color w:val="auto"/>
        </w:rPr>
        <w:t xml:space="preserve">The Trustee will execute and deliver any amendment or supplemental indenture authorized pursuant to this </w:t>
      </w:r>
      <w:r>
        <w:rPr>
          <w:rFonts w:ascii="Times New Roman" w:cs="Times New Roman" w:eastAsia="Times New Roman" w:hAnsi="Times New Roman"/>
          <w:sz w:val="22"/>
          <w:szCs w:val="22"/>
          <w:b w:val="1"/>
          <w:bCs w:val="1"/>
          <w:color w:val="auto"/>
        </w:rPr>
        <w:t>Article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Trustee need not (but may, in its sole and absolute discretion) execute or deliver any such amendment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supplemental indenture that the Trustee concludes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22"/>
          <w:szCs w:val="22"/>
          <w:b w:val="1"/>
          <w:bCs w:val="1"/>
          <w:color w:val="auto"/>
        </w:rPr>
        <w:t>Sections 11.01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11.02</w:t>
      </w:r>
      <w:r>
        <w:rPr>
          <w:rFonts w:ascii="Times New Roman" w:cs="Times New Roman" w:eastAsia="Times New Roman" w:hAnsi="Times New Roman"/>
          <w:sz w:val="22"/>
          <w:szCs w:val="22"/>
          <w:color w:val="auto"/>
        </w:rPr>
        <w:t>) will be fully protected in relying on, an Officer’s Certificate and an Opinion of Counsel stating that (A) the execution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209" w:lineRule="exact"/>
        <w:rPr>
          <w:sz w:val="20"/>
          <w:szCs w:val="20"/>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color w:val="auto"/>
        </w:rPr>
        <w:t>GUARANTEES</w:t>
      </w:r>
    </w:p>
    <w:p>
      <w:pPr>
        <w:spacing w:after="0" w:line="23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9.01.</w:t>
      </w:r>
      <w:r>
        <w:rPr>
          <w:sz w:val="20"/>
          <w:szCs w:val="20"/>
          <w:color w:val="auto"/>
        </w:rPr>
        <w:tab/>
      </w:r>
      <w:r>
        <w:rPr>
          <w:rFonts w:ascii="Times New Roman" w:cs="Times New Roman" w:eastAsia="Times New Roman" w:hAnsi="Times New Roman"/>
          <w:sz w:val="21"/>
          <w:szCs w:val="21"/>
          <w:b w:val="1"/>
          <w:bCs w:val="1"/>
          <w:color w:val="auto"/>
        </w:rPr>
        <w:t>Guarantees.</w:t>
      </w:r>
    </w:p>
    <w:p>
      <w:pPr>
        <w:spacing w:after="0" w:line="220" w:lineRule="exact"/>
        <w:rPr>
          <w:sz w:val="20"/>
          <w:szCs w:val="20"/>
          <w:color w:val="auto"/>
        </w:rPr>
      </w:pPr>
    </w:p>
    <w:p>
      <w:pPr>
        <w:jc w:val="both"/>
        <w:ind w:firstLine="656"/>
        <w:spacing w:after="0" w:line="252" w:lineRule="auto"/>
        <w:tabs>
          <w:tab w:leader="none" w:pos="129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By its execution of this Indenture (or any amended or supplemental indenture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8.01(B)</w:t>
      </w:r>
      <w:r>
        <w:rPr>
          <w:rFonts w:ascii="Times New Roman" w:cs="Times New Roman" w:eastAsia="Times New Roman" w:hAnsi="Times New Roman"/>
          <w:sz w:val="22"/>
          <w:szCs w:val="22"/>
          <w:color w:val="auto"/>
        </w:rPr>
        <w:t>), each Guarantor acknowledges and agrees that it receives substantial benefits from the Company and that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Guarantor is providing its Guarantee for good and valuable consideration, including such substantial benefits. Subject to this </w:t>
      </w:r>
      <w:r>
        <w:rPr>
          <w:rFonts w:ascii="Times New Roman" w:cs="Times New Roman" w:eastAsia="Times New Roman" w:hAnsi="Times New Roman"/>
          <w:sz w:val="22"/>
          <w:szCs w:val="22"/>
          <w:b w:val="1"/>
          <w:bCs w:val="1"/>
          <w:color w:val="auto"/>
        </w:rPr>
        <w:t>Article 9</w:t>
      </w:r>
      <w:r>
        <w:rPr>
          <w:rFonts w:ascii="Times New Roman" w:cs="Times New Roman" w:eastAsia="Times New Roman" w:hAnsi="Times New Roman"/>
          <w:sz w:val="22"/>
          <w:szCs w:val="22"/>
          <w:color w:val="auto"/>
        </w:rPr>
        <w:t>, each of the Guarantors hereby, jointly and severally, fully and unconditionally guarantees, to each Holder of a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authenticated and delivered by the Trustee and to the Trustee and its successors and assigns, regardless of the validity or enforceability of this Indenture, the Notes or the obligations of the Company under this Indenture or the Notes, that:</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2"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any interest on, and any Conversion Consideration for, the Notes will be promptly paid in full when due, whether at maturity, by acceleration, on a Fundamental Change Repurchase Date, upon Redemption or otherwise, and interest on the overdue principal of, any interest on, or any Conversion Consideration for, the Notes, if lawful, and all other obligations of the Company to the Holders or the Trustee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22" w:right="339" w:bottom="1440" w:gutter="0" w:footer="0" w:header="0"/>
        </w:sectPr>
      </w:pPr>
    </w:p>
    <w:bookmarkStart w:id="92" w:name="page93"/>
    <w:bookmarkEnd w:id="92"/>
    <w:p>
      <w:pPr>
        <w:ind w:left="660" w:right="20"/>
        <w:spacing w:after="0" w:line="271" w:lineRule="auto"/>
        <w:rPr>
          <w:sz w:val="20"/>
          <w:szCs w:val="20"/>
          <w:color w:val="auto"/>
        </w:rPr>
      </w:pPr>
      <w:r>
        <w:rPr>
          <w:rFonts w:ascii="Times New Roman" w:cs="Times New Roman" w:eastAsia="Times New Roman" w:hAnsi="Times New Roman"/>
          <w:sz w:val="22"/>
          <w:szCs w:val="22"/>
          <w:color w:val="auto"/>
        </w:rPr>
        <w:t>this Indenture or the Notes, will be promptly paid or delivered in full or performed, as applicable, in each case in accordance with this Indenture and the Notes; and</w:t>
      </w:r>
    </w:p>
    <w:p>
      <w:pPr>
        <w:spacing w:after="0" w:line="158" w:lineRule="exact"/>
        <w:rPr>
          <w:sz w:val="20"/>
          <w:szCs w:val="20"/>
          <w:color w:val="auto"/>
        </w:rPr>
      </w:pPr>
    </w:p>
    <w:p>
      <w:pPr>
        <w:jc w:val="both"/>
        <w:ind w:left="660" w:firstLine="644"/>
        <w:spacing w:after="0" w:line="281" w:lineRule="auto"/>
        <w:tabs>
          <w:tab w:leader="none" w:pos="178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extension of time of payment or renewal of any Notes or any of such other obligations, that the same will be promptly paid in full when due or performed in accordance with the terms of the extension or renewal, whether at stated maturity, by acceleration, on a Fundamental Change Repurchase Date, upon Redemption or otherwise,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 xml:space="preserve">”), in each case subject to </w:t>
      </w:r>
      <w:r>
        <w:rPr>
          <w:rFonts w:ascii="Times New Roman" w:cs="Times New Roman" w:eastAsia="Times New Roman" w:hAnsi="Times New Roman"/>
          <w:sz w:val="22"/>
          <w:szCs w:val="22"/>
          <w:b w:val="1"/>
          <w:bCs w:val="1"/>
          <w:color w:val="auto"/>
        </w:rPr>
        <w:t>Section 9.02</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371"/>
        <w:spacing w:after="0" w:line="263" w:lineRule="auto"/>
        <w:rPr>
          <w:sz w:val="20"/>
          <w:szCs w:val="20"/>
          <w:color w:val="auto"/>
        </w:rPr>
      </w:pPr>
      <w:r>
        <w:rPr>
          <w:rFonts w:ascii="Times New Roman" w:cs="Times New Roman" w:eastAsia="Times New Roman" w:hAnsi="Times New Roman"/>
          <w:sz w:val="22"/>
          <w:szCs w:val="22"/>
          <w:color w:val="auto"/>
        </w:rPr>
        <w:t>Upon the failure of any payment when due of any amount so guaranteed, and upon the failure of any performance so guaranteed, for whatever reason, the Guarantors will be jointly and severally obligated to pay or perform, as applicable, the same immediately. Each Guarantor agrees that this is a guarantee of payment and not a guarantee of collection.</w:t>
      </w:r>
    </w:p>
    <w:p>
      <w:pPr>
        <w:spacing w:after="0" w:line="190" w:lineRule="exact"/>
        <w:rPr>
          <w:sz w:val="20"/>
          <w:szCs w:val="20"/>
          <w:color w:val="auto"/>
        </w:rPr>
      </w:pPr>
    </w:p>
    <w:p>
      <w:pPr>
        <w:jc w:val="both"/>
        <w:ind w:firstLine="656"/>
        <w:spacing w:after="0" w:line="248" w:lineRule="auto"/>
        <w:tabs>
          <w:tab w:leader="none" w:pos="115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 Is Unconditional; Waiver of Diligence, Presentment, Etc</w:t>
      </w:r>
      <w:r>
        <w:rPr>
          <w:rFonts w:ascii="Times New Roman" w:cs="Times New Roman" w:eastAsia="Times New Roman" w:hAnsi="Times New Roman"/>
          <w:sz w:val="22"/>
          <w:szCs w:val="22"/>
          <w:color w:val="auto"/>
        </w:rPr>
        <w:t>. Each Guarantor agrees that its Guarantee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Guaranteed Obligations is unconditional, regardless of the validity or enforceability of this Indenture, the Notes or the obligations of the Company under this Indenture or the Notes, the absence of any action to enforce the same, any waiver or consent by any Holder with respect to any provisions of this Indenture or the Notes, the recovery of any judgment against the Company, any action to enforce the same or any other circumstance that might otherwise constitute a legal or equitable discharge or defense of a guarantor. Each Guarantor waives diligence, presentment, demand of payment, filing of claims with a court in the event of insolvency or bankruptcy of the Company, any right to require a proceeding first against the Company, protest, notice and all demands whatsoever, and covenants that this Guarantee will not be discharged except by complete performance of the obligations contained in this Indenture and the Notes.</w:t>
      </w:r>
    </w:p>
    <w:p>
      <w:pPr>
        <w:spacing w:after="0" w:line="185" w:lineRule="exact"/>
        <w:rPr>
          <w:rFonts w:ascii="Times New Roman" w:cs="Times New Roman" w:eastAsia="Times New Roman" w:hAnsi="Times New Roman"/>
          <w:sz w:val="22"/>
          <w:szCs w:val="22"/>
          <w:color w:val="auto"/>
        </w:rPr>
      </w:pPr>
    </w:p>
    <w:p>
      <w:pPr>
        <w:jc w:val="both"/>
        <w:ind w:firstLine="656"/>
        <w:spacing w:after="0" w:line="258" w:lineRule="auto"/>
        <w:tabs>
          <w:tab w:leader="none" w:pos="123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Reinstatement of Guarantee Upon Return of Payments</w:t>
      </w:r>
      <w:r>
        <w:rPr>
          <w:rFonts w:ascii="Times New Roman" w:cs="Times New Roman" w:eastAsia="Times New Roman" w:hAnsi="Times New Roman"/>
          <w:sz w:val="22"/>
          <w:szCs w:val="22"/>
          <w:color w:val="auto"/>
        </w:rPr>
        <w:t>. If any Holder or the Trustee is required by any court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to return, to the Company, the Guarantors or any custodian, trustee, liquidator or other similar official acting in relation to the Company or the Guarantors, any consideration paid or delivered by the Company or the Guarantors to such Holder or the Trustee, then each Guarantee, to the extent theretofore discharged, will be reinstated in full force and effect.</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4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Subrogation</w:t>
      </w:r>
      <w:r>
        <w:rPr>
          <w:rFonts w:ascii="Times New Roman" w:cs="Times New Roman" w:eastAsia="Times New Roman" w:hAnsi="Times New Roman"/>
          <w:sz w:val="22"/>
          <w:szCs w:val="22"/>
          <w:color w:val="auto"/>
        </w:rPr>
        <w:t>. Each Guarantor agrees that any right of subrogation, reimbursement or contribution it may have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relation to the Holders or in respect of any Guaranteed Obligations will be subordinated to, and will not be enforceable until payment in full of, all Guaranteed Obligations. Each Guarantor further agrees that, as between the Guarantors, on the one hand, and the Holders and the Trustee, on the other hand, (i) the maturity of the Guaranteed Obligations may be accelerated as provided in </w:t>
      </w:r>
      <w:r>
        <w:rPr>
          <w:rFonts w:ascii="Times New Roman" w:cs="Times New Roman" w:eastAsia="Times New Roman" w:hAnsi="Times New Roman"/>
          <w:sz w:val="22"/>
          <w:szCs w:val="22"/>
          <w:b w:val="1"/>
          <w:bCs w:val="1"/>
          <w:color w:val="auto"/>
        </w:rPr>
        <w:t>Article 7</w:t>
      </w:r>
      <w:r>
        <w:rPr>
          <w:rFonts w:ascii="Times New Roman" w:cs="Times New Roman" w:eastAsia="Times New Roman" w:hAnsi="Times New Roman"/>
          <w:sz w:val="22"/>
          <w:szCs w:val="22"/>
          <w:color w:val="auto"/>
        </w:rPr>
        <w:t xml:space="preserve">, notwithstanding any stay, injunction or other prohibition preventing such acceleration in respect of the Guaranteed Obligations; and (ii) if any Guaranteed Obligations are accelerated pursuant to </w:t>
      </w:r>
      <w:r>
        <w:rPr>
          <w:rFonts w:ascii="Times New Roman" w:cs="Times New Roman" w:eastAsia="Times New Roman" w:hAnsi="Times New Roman"/>
          <w:sz w:val="22"/>
          <w:szCs w:val="22"/>
          <w:b w:val="1"/>
          <w:bCs w:val="1"/>
          <w:color w:val="auto"/>
        </w:rPr>
        <w:t>Article 7</w:t>
      </w:r>
      <w:r>
        <w:rPr>
          <w:rFonts w:ascii="Times New Roman" w:cs="Times New Roman" w:eastAsia="Times New Roman" w:hAnsi="Times New Roman"/>
          <w:sz w:val="22"/>
          <w:szCs w:val="22"/>
          <w:color w:val="auto"/>
        </w:rPr>
        <w:t>, then such Guaranteed Obligations will, whether or not due and payable, immediately become due and payable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71" w:lineRule="auto"/>
        <w:rPr>
          <w:sz w:val="20"/>
          <w:szCs w:val="20"/>
          <w:color w:val="auto"/>
        </w:rPr>
      </w:pPr>
      <w:r>
        <w:rPr>
          <w:rFonts w:ascii="Times New Roman" w:cs="Times New Roman" w:eastAsia="Times New Roman" w:hAnsi="Times New Roman"/>
          <w:sz w:val="22"/>
          <w:szCs w:val="22"/>
          <w:color w:val="auto"/>
        </w:rPr>
        <w:t>Each Guarantor will have the right to seek contribution from any non-paying Guarantor, but only if the exercise of such right does not impair the rights of the Holders under any Guarantee.</w:t>
      </w:r>
    </w:p>
    <w:p>
      <w:pPr>
        <w:spacing w:after="0" w:line="15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9.02.</w:t>
      </w:r>
      <w:r>
        <w:rPr>
          <w:sz w:val="20"/>
          <w:szCs w:val="20"/>
          <w:color w:val="auto"/>
        </w:rPr>
        <w:tab/>
      </w:r>
      <w:r>
        <w:rPr>
          <w:rFonts w:ascii="Times New Roman" w:cs="Times New Roman" w:eastAsia="Times New Roman" w:hAnsi="Times New Roman"/>
          <w:sz w:val="21"/>
          <w:szCs w:val="21"/>
          <w:b w:val="1"/>
          <w:bCs w:val="1"/>
          <w:color w:val="auto"/>
        </w:rPr>
        <w:t>Limitation on Guarantor Liability.</w:t>
      </w:r>
    </w:p>
    <w:p>
      <w:pPr>
        <w:spacing w:after="0" w:line="237" w:lineRule="exact"/>
        <w:rPr>
          <w:sz w:val="20"/>
          <w:szCs w:val="20"/>
          <w:color w:val="auto"/>
        </w:rPr>
      </w:pPr>
    </w:p>
    <w:p>
      <w:pPr>
        <w:jc w:val="both"/>
        <w:ind w:firstLine="229"/>
        <w:spacing w:after="0" w:line="248" w:lineRule="auto"/>
        <w:rPr>
          <w:sz w:val="20"/>
          <w:szCs w:val="20"/>
          <w:color w:val="auto"/>
        </w:rPr>
      </w:pPr>
      <w:r>
        <w:rPr>
          <w:rFonts w:ascii="Times New Roman" w:cs="Times New Roman" w:eastAsia="Times New Roman" w:hAnsi="Times New Roman"/>
          <w:sz w:val="22"/>
          <w:szCs w:val="22"/>
          <w:color w:val="auto"/>
        </w:rPr>
        <w:t>Each Guarantor, and, by its acceptance of any Note, each Holder, confirms that each Guarantor and the Holders intend that the Guarantee of each Guarantor not constitute a fraudulent transfer or conveyance for purposes of Bankruptcy Law, the Uniform Fraudulent Conveyance Act, the Uniform Fraudulent Transfer Act or any similar federal or state law to the extent applicable to any Guarantee. Each of the Trustee, the Holders and each Guarantor irrevocably agrees that the obligations of each Guarantor under its Guarantee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its Guarantee, result in the obligations of such Guarantor under its Guarantee not constituting a fraudulent transfer or conveyance.</w:t>
      </w:r>
    </w:p>
    <w:p>
      <w:pPr>
        <w:spacing w:after="0" w:line="20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9.03.</w:t>
      </w:r>
      <w:r>
        <w:rPr>
          <w:sz w:val="20"/>
          <w:szCs w:val="20"/>
          <w:color w:val="auto"/>
        </w:rPr>
        <w:tab/>
      </w:r>
      <w:r>
        <w:rPr>
          <w:rFonts w:ascii="Times New Roman" w:cs="Times New Roman" w:eastAsia="Times New Roman" w:hAnsi="Times New Roman"/>
          <w:sz w:val="21"/>
          <w:szCs w:val="21"/>
          <w:b w:val="1"/>
          <w:bCs w:val="1"/>
          <w:color w:val="auto"/>
        </w:rPr>
        <w:t>Execution and Delivery of Guarantee.</w:t>
      </w:r>
    </w:p>
    <w:p>
      <w:pPr>
        <w:spacing w:after="0" w:line="220" w:lineRule="exact"/>
        <w:rPr>
          <w:sz w:val="20"/>
          <w:szCs w:val="20"/>
          <w:color w:val="auto"/>
        </w:rPr>
      </w:pPr>
    </w:p>
    <w:p>
      <w:pPr>
        <w:jc w:val="both"/>
        <w:ind w:firstLine="258"/>
        <w:spacing w:after="0" w:line="252" w:lineRule="auto"/>
        <w:rPr>
          <w:sz w:val="20"/>
          <w:szCs w:val="20"/>
          <w:color w:val="auto"/>
        </w:rPr>
      </w:pPr>
      <w:r>
        <w:rPr>
          <w:rFonts w:ascii="Times New Roman" w:cs="Times New Roman" w:eastAsia="Times New Roman" w:hAnsi="Times New Roman"/>
          <w:sz w:val="22"/>
          <w:szCs w:val="22"/>
          <w:color w:val="auto"/>
        </w:rPr>
        <w:t xml:space="preserve">The execution by each Guarantor of this Indenture (or an amended or supplemental indenture pursuant to </w:t>
      </w:r>
      <w:r>
        <w:rPr>
          <w:rFonts w:ascii="Times New Roman" w:cs="Times New Roman" w:eastAsia="Times New Roman" w:hAnsi="Times New Roman"/>
          <w:sz w:val="22"/>
          <w:szCs w:val="22"/>
          <w:b w:val="1"/>
          <w:bCs w:val="1"/>
          <w:color w:val="auto"/>
        </w:rPr>
        <w:t>Section 8.01(B)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9.05</w:t>
      </w:r>
      <w:r>
        <w:rPr>
          <w:rFonts w:ascii="Times New Roman" w:cs="Times New Roman" w:eastAsia="Times New Roman" w:hAnsi="Times New Roman"/>
          <w:sz w:val="22"/>
          <w:szCs w:val="22"/>
          <w:color w:val="auto"/>
        </w:rPr>
        <w:t>) evidences the Guarantee of such Guarantor, whereupon each Note then or thereafter outstanding will also represent,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entitled to the benefits of, such Guarantee. A Guarantee’s validity will not be affected by the failure of any officer of a Guarantor executing this Indenture or any such amended or supplemental indenture on such Guarantor’s behalf to hold, at the time any Note is authenticated, the same or any other office at such Guarantor, and each Guarantee will be valid and enforceable even if no notation, certificate or other instrument is set upon or attached to, or otherwise executed and delivered to the Holder of, any Note.</w:t>
      </w:r>
    </w:p>
    <w:p>
      <w:pPr>
        <w:spacing w:after="0" w:line="2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9.04.</w:t>
      </w:r>
      <w:r>
        <w:rPr>
          <w:sz w:val="20"/>
          <w:szCs w:val="20"/>
          <w:color w:val="auto"/>
        </w:rPr>
        <w:tab/>
      </w:r>
      <w:r>
        <w:rPr>
          <w:rFonts w:ascii="Times New Roman" w:cs="Times New Roman" w:eastAsia="Times New Roman" w:hAnsi="Times New Roman"/>
          <w:sz w:val="21"/>
          <w:szCs w:val="21"/>
          <w:b w:val="1"/>
          <w:bCs w:val="1"/>
          <w:color w:val="auto"/>
        </w:rPr>
        <w:t>When the Guarantors May Merge, Etc.</w:t>
      </w:r>
    </w:p>
    <w:p>
      <w:pPr>
        <w:spacing w:after="0" w:line="220" w:lineRule="exact"/>
        <w:rPr>
          <w:sz w:val="20"/>
          <w:szCs w:val="20"/>
          <w:color w:val="auto"/>
        </w:rPr>
      </w:pPr>
    </w:p>
    <w:p>
      <w:pPr>
        <w:jc w:val="both"/>
        <w:ind w:firstLine="656"/>
        <w:spacing w:after="0" w:line="258" w:lineRule="auto"/>
        <w:tabs>
          <w:tab w:leader="none" w:pos="1177"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No Guarantor will consolidate with or merge with or into, or (directly, or indirectly through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Subsidiaries) sell, lease or otherwise transfer, in one transaction or a series of transactions, all or substantially all of the assets of such Guarantor and its Subsidiaries, taken as a whole, to another Person (a “</w:t>
      </w:r>
      <w:r>
        <w:rPr>
          <w:rFonts w:ascii="Times New Roman" w:cs="Times New Roman" w:eastAsia="Times New Roman" w:hAnsi="Times New Roman"/>
          <w:sz w:val="22"/>
          <w:szCs w:val="22"/>
          <w:b w:val="1"/>
          <w:bCs w:val="1"/>
          <w:color w:val="auto"/>
        </w:rPr>
        <w:t>Guarantor Business Combination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Event</w:t>
      </w:r>
      <w:r>
        <w:rPr>
          <w:rFonts w:ascii="Times New Roman" w:cs="Times New Roman" w:eastAsia="Times New Roman" w:hAnsi="Times New Roman"/>
          <w:sz w:val="22"/>
          <w:szCs w:val="22"/>
          <w:color w:val="auto"/>
        </w:rPr>
        <w:t>”), unless: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1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either (x) is such Guarantor or (y) if not such Guarantor, is a corporation, limited liability company, limited partnership or other similar entity (the “</w:t>
      </w:r>
      <w:r>
        <w:rPr>
          <w:rFonts w:ascii="Times New Roman" w:cs="Times New Roman" w:eastAsia="Times New Roman" w:hAnsi="Times New Roman"/>
          <w:sz w:val="22"/>
          <w:szCs w:val="22"/>
          <w:b w:val="1"/>
          <w:bCs w:val="1"/>
          <w:color w:val="auto"/>
        </w:rPr>
        <w:t>Guarantor Successor Entity</w:t>
      </w:r>
      <w:r>
        <w:rPr>
          <w:rFonts w:ascii="Times New Roman" w:cs="Times New Roman" w:eastAsia="Times New Roman" w:hAnsi="Times New Roman"/>
          <w:sz w:val="22"/>
          <w:szCs w:val="22"/>
          <w:color w:val="auto"/>
        </w:rPr>
        <w:t xml:space="preserve">”) duly organized and existing under the laws of the United States of America, any State thereof or the District of Columbia that expressly assumes (by executing and delivering to the Trustee, at or before the effective time of such Guarantor Business Combination Event, a supplemental indenture pursuant to </w:t>
      </w:r>
      <w:r>
        <w:rPr>
          <w:rFonts w:ascii="Times New Roman" w:cs="Times New Roman" w:eastAsia="Times New Roman" w:hAnsi="Times New Roman"/>
          <w:sz w:val="22"/>
          <w:szCs w:val="22"/>
          <w:b w:val="1"/>
          <w:bCs w:val="1"/>
          <w:color w:val="auto"/>
        </w:rPr>
        <w:t>Section 8.01(E)</w:t>
      </w:r>
      <w:r>
        <w:rPr>
          <w:rFonts w:ascii="Times New Roman" w:cs="Times New Roman" w:eastAsia="Times New Roman" w:hAnsi="Times New Roman"/>
          <w:sz w:val="22"/>
          <w:szCs w:val="22"/>
          <w:color w:val="auto"/>
        </w:rPr>
        <w:t>) all of such Guarantor’s obligations under this Indenture and the Notes;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94" w:name="page95"/>
    <w:bookmarkEnd w:id="94"/>
    <w:p>
      <w:pPr>
        <w:ind w:left="660" w:firstLine="644"/>
        <w:spacing w:after="0" w:line="271" w:lineRule="auto"/>
        <w:tabs>
          <w:tab w:leader="none" w:pos="195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Guarantor Business Combination Event, no Default will have occurred and be continuing;</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except as provided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6</w:t>
      </w:r>
      <w:r>
        <w:rPr>
          <w:rFonts w:ascii="Times New Roman" w:cs="Times New Roman" w:eastAsia="Times New Roman" w:hAnsi="Times New Roman"/>
          <w:sz w:val="22"/>
          <w:szCs w:val="22"/>
          <w:color w:val="auto"/>
        </w:rPr>
        <w:t>, nothing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9.04(A)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prevent any Guarantor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consolidating with or merging with or into, or selling, leasing or otherwise transferring, in one transaction or a series of transactions, all or substantially all of the assets of such Guarantor and its Subsidiaries, taken as a whole, to the Company or another Guarantor.</w:t>
      </w:r>
    </w:p>
    <w:p>
      <w:pPr>
        <w:spacing w:after="0" w:line="195" w:lineRule="exact"/>
        <w:rPr>
          <w:sz w:val="20"/>
          <w:szCs w:val="20"/>
          <w:color w:val="auto"/>
        </w:rPr>
      </w:pPr>
    </w:p>
    <w:p>
      <w:pPr>
        <w:jc w:val="both"/>
        <w:ind w:firstLine="656"/>
        <w:spacing w:after="0" w:line="254" w:lineRule="auto"/>
        <w:tabs>
          <w:tab w:leader="none" w:pos="12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Delivery of Officer’s Certificate and Opinion of Counsel to the Trustee</w:t>
      </w:r>
      <w:r>
        <w:rPr>
          <w:rFonts w:ascii="Times New Roman" w:cs="Times New Roman" w:eastAsia="Times New Roman" w:hAnsi="Times New Roman"/>
          <w:sz w:val="22"/>
          <w:szCs w:val="22"/>
          <w:color w:val="auto"/>
        </w:rPr>
        <w:t>. At or before the effective time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Guarantor Business Combination Event, the Company will deliver to the Trustee an Officer’s Certificate and Opinion of Counsel, each stating that (i) such Guarantor Business Combination Event (and, if applicable, the related supplemental indenture) comply with </w:t>
      </w:r>
      <w:r>
        <w:rPr>
          <w:rFonts w:ascii="Times New Roman" w:cs="Times New Roman" w:eastAsia="Times New Roman" w:hAnsi="Times New Roman"/>
          <w:sz w:val="22"/>
          <w:szCs w:val="22"/>
          <w:b w:val="1"/>
          <w:bCs w:val="1"/>
          <w:color w:val="auto"/>
        </w:rPr>
        <w:t>Section 9.04(A)</w:t>
      </w:r>
      <w:r>
        <w:rPr>
          <w:rFonts w:ascii="Times New Roman" w:cs="Times New Roman" w:eastAsia="Times New Roman" w:hAnsi="Times New Roman"/>
          <w:sz w:val="22"/>
          <w:szCs w:val="22"/>
          <w:color w:val="auto"/>
        </w:rPr>
        <w:t>; and (ii) all conditions precedent to such Guarantor Business Combination Event provided in this Indenture have been satisfied.</w:t>
      </w:r>
    </w:p>
    <w:p>
      <w:pPr>
        <w:spacing w:after="0" w:line="17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0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Guarantor Successor Entity Substituted</w:t>
      </w:r>
      <w:r>
        <w:rPr>
          <w:rFonts w:ascii="Times New Roman" w:cs="Times New Roman" w:eastAsia="Times New Roman" w:hAnsi="Times New Roman"/>
          <w:sz w:val="22"/>
          <w:szCs w:val="22"/>
          <w:color w:val="auto"/>
        </w:rPr>
        <w:t>. At the effective time of any Guarantor Business Combination Event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complies with </w:t>
      </w:r>
      <w:r>
        <w:rPr>
          <w:rFonts w:ascii="Times New Roman" w:cs="Times New Roman" w:eastAsia="Times New Roman" w:hAnsi="Times New Roman"/>
          <w:sz w:val="22"/>
          <w:szCs w:val="22"/>
          <w:b w:val="1"/>
          <w:bCs w:val="1"/>
          <w:color w:val="auto"/>
        </w:rPr>
        <w:t>Section 9.04(A)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9.04(B)</w:t>
      </w:r>
      <w:r>
        <w:rPr>
          <w:rFonts w:ascii="Times New Roman" w:cs="Times New Roman" w:eastAsia="Times New Roman" w:hAnsi="Times New Roman"/>
          <w:sz w:val="22"/>
          <w:szCs w:val="22"/>
          <w:color w:val="auto"/>
        </w:rPr>
        <w:t>, the Guarantor Successor Entity (if not the applicable Guarantor) will succeed to, and may exercise every right and power of, such Guarantor under this Indenture and the Notes with the same effect as if such Guarantor Successor Entity had been named as a Guarantor in this Indenture and the Notes, and, except in the case of a lease, the predecessor Guarantor will be discharged from its obligations under this Indenture and the Notes.</w:t>
      </w:r>
    </w:p>
    <w:p>
      <w:pPr>
        <w:spacing w:after="0" w:line="17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9.05.</w:t>
      </w:r>
      <w:r>
        <w:rPr>
          <w:sz w:val="20"/>
          <w:szCs w:val="20"/>
          <w:color w:val="auto"/>
        </w:rPr>
        <w:tab/>
      </w:r>
      <w:r>
        <w:rPr>
          <w:rFonts w:ascii="Times New Roman" w:cs="Times New Roman" w:eastAsia="Times New Roman" w:hAnsi="Times New Roman"/>
          <w:sz w:val="21"/>
          <w:szCs w:val="21"/>
          <w:b w:val="1"/>
          <w:bCs w:val="1"/>
          <w:color w:val="auto"/>
        </w:rPr>
        <w:t>Future Guarantors.</w:t>
      </w:r>
    </w:p>
    <w:p>
      <w:pPr>
        <w:spacing w:after="0" w:line="224" w:lineRule="exact"/>
        <w:rPr>
          <w:sz w:val="20"/>
          <w:szCs w:val="20"/>
          <w:color w:val="auto"/>
        </w:rPr>
      </w:pPr>
    </w:p>
    <w:p>
      <w:pPr>
        <w:jc w:val="both"/>
        <w:ind w:firstLine="247"/>
        <w:spacing w:after="0" w:line="256" w:lineRule="auto"/>
        <w:rPr>
          <w:sz w:val="20"/>
          <w:szCs w:val="20"/>
          <w:color w:val="auto"/>
        </w:rPr>
      </w:pPr>
      <w:r>
        <w:rPr>
          <w:rFonts w:ascii="Times New Roman" w:cs="Times New Roman" w:eastAsia="Times New Roman" w:hAnsi="Times New Roman"/>
          <w:sz w:val="22"/>
          <w:szCs w:val="22"/>
          <w:color w:val="auto"/>
        </w:rPr>
        <w:t xml:space="preserve">If, after the Issue Date, any Domestic Subsidiary of the Company guarantees the 2033 Notes, then the Company will, as soon as reasonably practicable but no later than thirty (30) calendar days after such Domestic Subsidiary guarantees the 2033 Notes, cause such Domestic Subsidiary to execute an amended or supplemental indenture pursuant to </w:t>
      </w:r>
      <w:r>
        <w:rPr>
          <w:rFonts w:ascii="Times New Roman" w:cs="Times New Roman" w:eastAsia="Times New Roman" w:hAnsi="Times New Roman"/>
          <w:sz w:val="22"/>
          <w:szCs w:val="22"/>
          <w:b w:val="1"/>
          <w:bCs w:val="1"/>
          <w:color w:val="auto"/>
        </w:rPr>
        <w:t>Section 8.01(B)</w:t>
      </w:r>
      <w:r>
        <w:rPr>
          <w:rFonts w:ascii="Times New Roman" w:cs="Times New Roman" w:eastAsia="Times New Roman" w:hAnsi="Times New Roman"/>
          <w:sz w:val="22"/>
          <w:szCs w:val="22"/>
          <w:color w:val="auto"/>
        </w:rPr>
        <w:t xml:space="preserve"> causing such Domestic Subsidiary to become a Guarantor under this Indenture.</w:t>
      </w:r>
    </w:p>
    <w:p>
      <w:pPr>
        <w:spacing w:after="0" w:line="19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9.06.</w:t>
      </w:r>
      <w:r>
        <w:rPr>
          <w:sz w:val="20"/>
          <w:szCs w:val="20"/>
          <w:color w:val="auto"/>
        </w:rPr>
        <w:tab/>
      </w:r>
      <w:r>
        <w:rPr>
          <w:rFonts w:ascii="Times New Roman" w:cs="Times New Roman" w:eastAsia="Times New Roman" w:hAnsi="Times New Roman"/>
          <w:sz w:val="21"/>
          <w:szCs w:val="21"/>
          <w:b w:val="1"/>
          <w:bCs w:val="1"/>
          <w:color w:val="auto"/>
        </w:rPr>
        <w:t>Application of Certain Provisions to the Guarantors.</w:t>
      </w:r>
    </w:p>
    <w:p>
      <w:pPr>
        <w:spacing w:after="0" w:line="220" w:lineRule="exact"/>
        <w:rPr>
          <w:sz w:val="20"/>
          <w:szCs w:val="20"/>
          <w:color w:val="auto"/>
        </w:rPr>
      </w:pPr>
    </w:p>
    <w:p>
      <w:pPr>
        <w:jc w:val="both"/>
        <w:ind w:firstLine="656"/>
        <w:spacing w:after="0" w:line="258" w:lineRule="auto"/>
        <w:tabs>
          <w:tab w:leader="none" w:pos="11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Certificates and Opinions of Counsel</w:t>
      </w:r>
      <w:r>
        <w:rPr>
          <w:rFonts w:ascii="Times New Roman" w:cs="Times New Roman" w:eastAsia="Times New Roman" w:hAnsi="Times New Roman"/>
          <w:sz w:val="22"/>
          <w:szCs w:val="22"/>
          <w:color w:val="auto"/>
        </w:rPr>
        <w:t>. Upon any request or application by any Guarantor to the Trustee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take any action under this Indenture, the Trustee will be entitled to receive an Officer’s Certificate and an Opinion of Counsel pursuant to </w:t>
      </w:r>
      <w:r>
        <w:rPr>
          <w:rFonts w:ascii="Times New Roman" w:cs="Times New Roman" w:eastAsia="Times New Roman" w:hAnsi="Times New Roman"/>
          <w:sz w:val="22"/>
          <w:szCs w:val="22"/>
          <w:b w:val="1"/>
          <w:bCs w:val="1"/>
          <w:color w:val="auto"/>
        </w:rPr>
        <w:t>Section 12.02</w:t>
      </w:r>
      <w:r>
        <w:rPr>
          <w:rFonts w:ascii="Times New Roman" w:cs="Times New Roman" w:eastAsia="Times New Roman" w:hAnsi="Times New Roman"/>
          <w:sz w:val="22"/>
          <w:szCs w:val="22"/>
          <w:color w:val="auto"/>
        </w:rPr>
        <w:t xml:space="preserve"> with the same effect as if each reference to the Company in </w:t>
      </w:r>
      <w:r>
        <w:rPr>
          <w:rFonts w:ascii="Times New Roman" w:cs="Times New Roman" w:eastAsia="Times New Roman" w:hAnsi="Times New Roman"/>
          <w:sz w:val="22"/>
          <w:szCs w:val="22"/>
          <w:b w:val="1"/>
          <w:bCs w:val="1"/>
          <w:color w:val="auto"/>
        </w:rPr>
        <w:t>Section 12.02</w:t>
      </w:r>
      <w:r>
        <w:rPr>
          <w:rFonts w:ascii="Times New Roman" w:cs="Times New Roman" w:eastAsia="Times New Roman" w:hAnsi="Times New Roman"/>
          <w:sz w:val="22"/>
          <w:szCs w:val="22"/>
          <w:color w:val="auto"/>
        </w:rPr>
        <w:t xml:space="preserve"> or in the definitions of “Officer,” “Officer’s Certificate” or “Opinion of Counsel” were instead a reference to such Guarantor.</w:t>
      </w:r>
    </w:p>
    <w:p>
      <w:pPr>
        <w:spacing w:after="0" w:line="167" w:lineRule="exact"/>
        <w:rPr>
          <w:rFonts w:ascii="Times New Roman" w:cs="Times New Roman" w:eastAsia="Times New Roman" w:hAnsi="Times New Roman"/>
          <w:sz w:val="22"/>
          <w:szCs w:val="22"/>
          <w:color w:val="auto"/>
        </w:rPr>
      </w:pPr>
    </w:p>
    <w:p>
      <w:pPr>
        <w:ind w:firstLine="656"/>
        <w:spacing w:after="0" w:line="275" w:lineRule="auto"/>
        <w:tabs>
          <w:tab w:leader="none" w:pos="116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Company Order</w:t>
      </w:r>
      <w:r>
        <w:rPr>
          <w:rFonts w:ascii="Times New Roman" w:cs="Times New Roman" w:eastAsia="Times New Roman" w:hAnsi="Times New Roman"/>
          <w:sz w:val="22"/>
          <w:szCs w:val="22"/>
          <w:color w:val="auto"/>
        </w:rPr>
        <w:t>. A Company Order may be given by any Guarantor with the same effect as if each reference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in the definitions of “Company Order” or “Officer” were instead a reference to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95" w:name="page96"/>
    <w:bookmarkEnd w:id="95"/>
    <w:p>
      <w:pPr>
        <w:ind w:right="20" w:firstLine="656"/>
        <w:spacing w:after="0" w:line="275" w:lineRule="auto"/>
        <w:tabs>
          <w:tab w:leader="none" w:pos="119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and Demands</w:t>
      </w:r>
      <w:r>
        <w:rPr>
          <w:rFonts w:ascii="Times New Roman" w:cs="Times New Roman" w:eastAsia="Times New Roman" w:hAnsi="Times New Roman"/>
          <w:sz w:val="22"/>
          <w:szCs w:val="22"/>
          <w:color w:val="auto"/>
        </w:rPr>
        <w:t>. Any notice or demand that this Indenture requires or permits to be given by the Trustee,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any Holders, to the Company may instead be given to any Guarantor.</w:t>
      </w:r>
    </w:p>
    <w:p>
      <w:pPr>
        <w:spacing w:after="0" w:line="14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Section 9.07.</w:t>
      </w:r>
      <w:r>
        <w:rPr>
          <w:sz w:val="20"/>
          <w:szCs w:val="20"/>
          <w:color w:val="auto"/>
        </w:rPr>
        <w:tab/>
      </w:r>
      <w:r>
        <w:rPr>
          <w:rFonts w:ascii="Times New Roman" w:cs="Times New Roman" w:eastAsia="Times New Roman" w:hAnsi="Times New Roman"/>
          <w:sz w:val="21"/>
          <w:szCs w:val="21"/>
          <w:b w:val="1"/>
          <w:bCs w:val="1"/>
          <w:color w:val="auto"/>
        </w:rPr>
        <w:t>Automatic Release of Guarantees.</w:t>
      </w:r>
    </w:p>
    <w:p>
      <w:pPr>
        <w:spacing w:after="0" w:line="233" w:lineRule="exact"/>
        <w:rPr>
          <w:sz w:val="20"/>
          <w:szCs w:val="20"/>
          <w:color w:val="auto"/>
        </w:rPr>
      </w:pPr>
    </w:p>
    <w:p>
      <w:pPr>
        <w:jc w:val="both"/>
        <w:ind w:firstLine="275"/>
        <w:spacing w:after="0" w:line="25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Article 9</w:t>
      </w:r>
      <w:r>
        <w:rPr>
          <w:rFonts w:ascii="Times New Roman" w:cs="Times New Roman" w:eastAsia="Times New Roman" w:hAnsi="Times New Roman"/>
          <w:sz w:val="22"/>
          <w:szCs w:val="22"/>
          <w:color w:val="auto"/>
        </w:rPr>
        <w:t>, the Guarantee of a Guarantor will be automatically released, and such Guarantor’s obligations under its Guarantee will be automatically released and discharged, and, in each case, be of no future force and effect, upon the occurrence of any of the following events:</w:t>
      </w:r>
    </w:p>
    <w:p>
      <w:pPr>
        <w:spacing w:after="0" w:line="170" w:lineRule="exact"/>
        <w:rPr>
          <w:sz w:val="20"/>
          <w:szCs w:val="20"/>
          <w:color w:val="auto"/>
        </w:rPr>
      </w:pPr>
    </w:p>
    <w:p>
      <w:pPr>
        <w:ind w:firstLine="656"/>
        <w:spacing w:after="0" w:line="271" w:lineRule="auto"/>
        <w:tabs>
          <w:tab w:leader="none" w:pos="130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first date when no 2033 Notes are outstanding or such Guarantor is released from its obligations as a guarantor under the 2033 Notes;</w:t>
      </w:r>
    </w:p>
    <w:p>
      <w:pPr>
        <w:spacing w:after="0" w:line="171"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under this Indenture and the Notes are discharged in accordance with the terms of this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95" w:lineRule="exact"/>
        <w:rPr>
          <w:rFonts w:ascii="Times New Roman" w:cs="Times New Roman" w:eastAsia="Times New Roman" w:hAnsi="Times New Roman"/>
          <w:sz w:val="22"/>
          <w:szCs w:val="22"/>
          <w:color w:val="auto"/>
        </w:rPr>
      </w:pPr>
    </w:p>
    <w:p>
      <w:pPr>
        <w:jc w:val="both"/>
        <w:ind w:firstLine="656"/>
        <w:spacing w:after="0" w:line="252" w:lineRule="auto"/>
        <w:tabs>
          <w:tab w:leader="none" w:pos="116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sale, assignment, transfer, conveyance, exchange or other disposition (by merger, consolidation or otherwise) of the Capital Stock of such Guarantor after which the applicable Guarantor is no longer a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guarantees and other obligations of such Guarantor in respect of the 2033 Notes that gave rise to such Guarantee terminate upon consummation of such transaction;</w:t>
      </w:r>
    </w:p>
    <w:p>
      <w:pPr>
        <w:spacing w:after="0" w:line="19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or consolidation of such Guarantor into the Company; or</w:t>
      </w:r>
    </w:p>
    <w:p>
      <w:pPr>
        <w:spacing w:after="0" w:line="219" w:lineRule="exact"/>
        <w:rPr>
          <w:rFonts w:ascii="Times New Roman" w:cs="Times New Roman" w:eastAsia="Times New Roman" w:hAnsi="Times New Roman"/>
          <w:sz w:val="22"/>
          <w:szCs w:val="22"/>
          <w:color w:val="auto"/>
        </w:rPr>
      </w:pPr>
    </w:p>
    <w:p>
      <w:pPr>
        <w:ind w:right="20" w:firstLine="656"/>
        <w:spacing w:after="0" w:line="271" w:lineRule="auto"/>
        <w:tabs>
          <w:tab w:leader="none" w:pos="116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obligations to make payments or deliver other Conversion Consideration with respect to all Notes are discharged in full after the same has become due.</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For the avoidance of doubt, this </w:t>
      </w:r>
      <w:r>
        <w:rPr>
          <w:rFonts w:ascii="Times New Roman" w:cs="Times New Roman" w:eastAsia="Times New Roman" w:hAnsi="Times New Roman"/>
          <w:sz w:val="22"/>
          <w:szCs w:val="22"/>
          <w:b w:val="1"/>
          <w:bCs w:val="1"/>
          <w:color w:val="auto"/>
        </w:rPr>
        <w:t>Section 9.07</w:t>
      </w:r>
      <w:r>
        <w:rPr>
          <w:rFonts w:ascii="Times New Roman" w:cs="Times New Roman" w:eastAsia="Times New Roman" w:hAnsi="Times New Roman"/>
          <w:sz w:val="22"/>
          <w:szCs w:val="22"/>
          <w:color w:val="auto"/>
        </w:rPr>
        <w:t xml:space="preserve"> will not limit the operation of </w:t>
      </w:r>
      <w:r>
        <w:rPr>
          <w:rFonts w:ascii="Times New Roman" w:cs="Times New Roman" w:eastAsia="Times New Roman" w:hAnsi="Times New Roman"/>
          <w:sz w:val="22"/>
          <w:szCs w:val="22"/>
          <w:b w:val="1"/>
          <w:bCs w:val="1"/>
          <w:color w:val="auto"/>
        </w:rPr>
        <w:t>Section 5.09</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300"/>
        <w:spacing w:after="0"/>
        <w:tabs>
          <w:tab w:leader="none" w:pos="446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color w:val="auto"/>
        </w:rPr>
        <w:t>SATISFACTION AND DISCHARGE</w:t>
      </w:r>
    </w:p>
    <w:p>
      <w:pPr>
        <w:spacing w:after="0" w:line="23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10.01.</w:t>
      </w:r>
      <w:r>
        <w:rPr>
          <w:sz w:val="20"/>
          <w:szCs w:val="20"/>
          <w:color w:val="auto"/>
        </w:rPr>
        <w:tab/>
      </w:r>
      <w:r>
        <w:rPr>
          <w:rFonts w:ascii="Times New Roman" w:cs="Times New Roman" w:eastAsia="Times New Roman" w:hAnsi="Times New Roman"/>
          <w:sz w:val="21"/>
          <w:szCs w:val="21"/>
          <w:b w:val="1"/>
          <w:bCs w:val="1"/>
          <w:color w:val="auto"/>
        </w:rPr>
        <w:t>Termination of Company’s Obligations.</w:t>
      </w: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This Indenture will be discharged, and will cease to be of further effect as to all Notes issued under this Indenture, when:</w:t>
      </w:r>
    </w:p>
    <w:p>
      <w:pPr>
        <w:spacing w:after="0" w:line="216" w:lineRule="exact"/>
        <w:rPr>
          <w:sz w:val="20"/>
          <w:szCs w:val="20"/>
          <w:color w:val="auto"/>
        </w:rPr>
      </w:pPr>
    </w:p>
    <w:p>
      <w:pPr>
        <w:jc w:val="both"/>
        <w:ind w:firstLine="656"/>
        <w:spacing w:after="0" w:line="258" w:lineRule="auto"/>
        <w:tabs>
          <w:tab w:leader="none" w:pos="128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Notes then outstanding (other than Notes replaced pursuant to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spacing w:after="0" w:line="171" w:lineRule="exact"/>
        <w:rPr>
          <w:rFonts w:ascii="Times New Roman" w:cs="Times New Roman" w:eastAsia="Times New Roman" w:hAnsi="Times New Roman"/>
          <w:sz w:val="22"/>
          <w:szCs w:val="22"/>
          <w:color w:val="auto"/>
        </w:rPr>
      </w:pPr>
    </w:p>
    <w:p>
      <w:pPr>
        <w:jc w:val="both"/>
        <w:ind w:firstLine="656"/>
        <w:spacing w:after="0" w:line="275" w:lineRule="auto"/>
        <w:tabs>
          <w:tab w:leader="none" w:pos="1248"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xml:space="preserve">satisfy all amounts or other property due on all Notes then outstanding (other than Notes replaced pursuant to </w:t>
      </w:r>
      <w:r>
        <w:rPr>
          <w:rFonts w:ascii="Times New Roman" w:cs="Times New Roman" w:eastAsia="Times New Roman" w:hAnsi="Times New Roman"/>
          <w:sz w:val="22"/>
          <w:szCs w:val="22"/>
          <w:b w:val="1"/>
          <w:bCs w:val="1"/>
          <w:color w:val="auto"/>
        </w:rPr>
        <w:t>Section 2.13</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160" w:hanging="504"/>
        <w:spacing w:after="0"/>
        <w:tabs>
          <w:tab w:leader="none" w:pos="11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other amounts payable by it under this Indenture; and</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0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the Trustee an Officer’s Certificate and an Opinion of Counsel, each stating that the conditions precedent to the discharge of this Indenture have been satisfied;</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 12.01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survive such discharge and, until no Notes remain outstanding,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 xml:space="preserve">2.15 </w:t>
      </w:r>
      <w:r>
        <w:rPr>
          <w:rFonts w:ascii="Times New Roman" w:cs="Times New Roman" w:eastAsia="Times New Roman" w:hAnsi="Times New Roman"/>
          <w:sz w:val="22"/>
          <w:szCs w:val="22"/>
          <w:color w:val="auto"/>
        </w:rPr>
        <w:t>and the obligations of the Trustee, the Paying Agent and the Conversion Agent with respect to money or other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deposited with them will survive such discharge.</w:t>
      </w:r>
    </w:p>
    <w:p>
      <w:pPr>
        <w:spacing w:after="0" w:line="1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At the Company’s request, the Trustee will acknowledge the satisfaction and discharge of this Indenture.</w:t>
      </w:r>
    </w:p>
    <w:p>
      <w:pPr>
        <w:spacing w:after="0" w:line="25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10.02.</w:t>
      </w:r>
      <w:r>
        <w:rPr>
          <w:sz w:val="20"/>
          <w:szCs w:val="20"/>
          <w:color w:val="auto"/>
        </w:rPr>
        <w:tab/>
      </w:r>
      <w:r>
        <w:rPr>
          <w:rFonts w:ascii="Times New Roman" w:cs="Times New Roman" w:eastAsia="Times New Roman" w:hAnsi="Times New Roman"/>
          <w:sz w:val="21"/>
          <w:szCs w:val="21"/>
          <w:b w:val="1"/>
          <w:bCs w:val="1"/>
          <w:color w:val="auto"/>
        </w:rPr>
        <w:t>Repayment to Company.</w:t>
      </w:r>
    </w:p>
    <w:p>
      <w:pPr>
        <w:spacing w:after="0" w:line="224" w:lineRule="exact"/>
        <w:rPr>
          <w:sz w:val="20"/>
          <w:szCs w:val="20"/>
          <w:color w:val="auto"/>
        </w:rPr>
      </w:pPr>
    </w:p>
    <w:p>
      <w:pPr>
        <w:jc w:val="both"/>
        <w:ind w:firstLine="216"/>
        <w:spacing w:after="0" w:line="250" w:lineRule="auto"/>
        <w:rPr>
          <w:sz w:val="20"/>
          <w:szCs w:val="20"/>
          <w:color w:val="auto"/>
        </w:rPr>
      </w:pPr>
      <w:r>
        <w:rPr>
          <w:rFonts w:ascii="Times New Roman" w:cs="Times New Roman" w:eastAsia="Times New Roman" w:hAnsi="Times New Roman"/>
          <w:sz w:val="22"/>
          <w:szCs w:val="22"/>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20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10.03.</w:t>
      </w:r>
      <w:r>
        <w:rPr>
          <w:sz w:val="20"/>
          <w:szCs w:val="20"/>
          <w:color w:val="auto"/>
        </w:rPr>
        <w:tab/>
      </w:r>
      <w:r>
        <w:rPr>
          <w:rFonts w:ascii="Times New Roman" w:cs="Times New Roman" w:eastAsia="Times New Roman" w:hAnsi="Times New Roman"/>
          <w:sz w:val="21"/>
          <w:szCs w:val="21"/>
          <w:b w:val="1"/>
          <w:bCs w:val="1"/>
          <w:color w:val="auto"/>
        </w:rPr>
        <w:t>Reinstatement.</w:t>
      </w:r>
    </w:p>
    <w:p>
      <w:pPr>
        <w:spacing w:after="0" w:line="224" w:lineRule="exact"/>
        <w:rPr>
          <w:sz w:val="20"/>
          <w:szCs w:val="20"/>
          <w:color w:val="auto"/>
        </w:rPr>
      </w:pPr>
    </w:p>
    <w:p>
      <w:pPr>
        <w:jc w:val="both"/>
        <w:ind w:firstLine="322"/>
        <w:spacing w:after="0" w:line="265" w:lineRule="auto"/>
        <w:rPr>
          <w:sz w:val="20"/>
          <w:szCs w:val="20"/>
          <w:color w:val="auto"/>
        </w:rPr>
      </w:pPr>
      <w:r>
        <w:rPr>
          <w:rFonts w:ascii="Times New Roman" w:cs="Times New Roman" w:eastAsia="Times New Roman" w:hAnsi="Times New Roman"/>
          <w:sz w:val="21"/>
          <w:szCs w:val="21"/>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21"/>
          <w:szCs w:val="21"/>
          <w:b w:val="1"/>
          <w:bCs w:val="1"/>
          <w:color w:val="auto"/>
        </w:rPr>
        <w:t>Section 10.01</w:t>
      </w:r>
      <w:r>
        <w:rPr>
          <w:rFonts w:ascii="Times New Roman" w:cs="Times New Roman" w:eastAsia="Times New Roman" w:hAnsi="Times New Roman"/>
          <w:sz w:val="21"/>
          <w:szCs w:val="21"/>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21"/>
          <w:szCs w:val="21"/>
          <w:b w:val="1"/>
          <w:bCs w:val="1"/>
          <w:color w:val="auto"/>
        </w:rPr>
        <w:t>Section 10.01</w:t>
      </w:r>
      <w:r>
        <w:rPr>
          <w:rFonts w:ascii="Times New Roman" w:cs="Times New Roman" w:eastAsia="Times New Roman" w:hAnsi="Times New Roman"/>
          <w:sz w:val="21"/>
          <w:szCs w:val="21"/>
          <w:color w:val="auto"/>
        </w:rPr>
        <w:t xml:space="preserve"> will be rescinded;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18" w:right="339" w:bottom="1440" w:gutter="0" w:footer="0" w:header="0"/>
        </w:sectPr>
      </w:pPr>
    </w:p>
    <w:bookmarkStart w:id="97" w:name="page98"/>
    <w:bookmarkEnd w:id="97"/>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1"/>
          <w:szCs w:val="21"/>
          <w:b w:val="1"/>
          <w:bCs w:val="1"/>
          <w:color w:val="auto"/>
        </w:rPr>
        <w:t>TRUSTEE</w:t>
      </w:r>
    </w:p>
    <w:p>
      <w:pPr>
        <w:spacing w:after="0" w:line="22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11.01.</w:t>
      </w:r>
      <w:r>
        <w:rPr>
          <w:sz w:val="20"/>
          <w:szCs w:val="20"/>
          <w:color w:val="auto"/>
        </w:rPr>
        <w:tab/>
      </w:r>
      <w:r>
        <w:rPr>
          <w:rFonts w:ascii="Times New Roman" w:cs="Times New Roman" w:eastAsia="Times New Roman" w:hAnsi="Times New Roman"/>
          <w:sz w:val="21"/>
          <w:szCs w:val="21"/>
          <w:b w:val="1"/>
          <w:bCs w:val="1"/>
          <w:color w:val="auto"/>
        </w:rPr>
        <w:t>Duties of the Trustee.</w:t>
      </w:r>
    </w:p>
    <w:p>
      <w:pPr>
        <w:spacing w:after="0" w:line="224" w:lineRule="exact"/>
        <w:rPr>
          <w:sz w:val="20"/>
          <w:szCs w:val="20"/>
          <w:color w:val="auto"/>
        </w:rPr>
      </w:pPr>
    </w:p>
    <w:p>
      <w:pPr>
        <w:jc w:val="both"/>
        <w:ind w:firstLine="656"/>
        <w:spacing w:after="0" w:line="256" w:lineRule="auto"/>
        <w:tabs>
          <w:tab w:leader="none" w:pos="117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has occurred and is continuing, and a Responsible Officer of the Trustee has written notice or actual knowledge of the same, then, without limiting the generality of </w:t>
      </w:r>
      <w:r>
        <w:rPr>
          <w:rFonts w:ascii="Times New Roman" w:cs="Times New Roman" w:eastAsia="Times New Roman" w:hAnsi="Times New Roman"/>
          <w:sz w:val="22"/>
          <w:szCs w:val="22"/>
          <w:b w:val="1"/>
          <w:bCs w:val="1"/>
          <w:color w:val="auto"/>
        </w:rPr>
        <w:t>Section 11.02(F)</w:t>
      </w:r>
      <w:r>
        <w:rPr>
          <w:rFonts w:ascii="Times New Roman" w:cs="Times New Roman" w:eastAsia="Times New Roman" w:hAnsi="Times New Roman"/>
          <w:sz w:val="22"/>
          <w:szCs w:val="22"/>
          <w:color w:val="auto"/>
        </w:rPr>
        <w:t>,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33"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26"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absence of gross negligence or willful misconduct on its part, the Trustee may, without investigation, conclusively rely, as to the truth of the statements and the correctness of the opinions expressed therein, upon Officer’s Certificates or Opinions of Counsel that are provided to the Trustee and conform to the requirements of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the Trustee will examine the certificates and opinions to determine whether or not they conform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requirements of this Indenture.</w:t>
      </w:r>
    </w:p>
    <w:p>
      <w:pPr>
        <w:spacing w:after="0" w:line="178"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negligence or willful misconduct, except that:</w:t>
      </w:r>
    </w:p>
    <w:p>
      <w:pPr>
        <w:spacing w:after="0" w:line="215"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paragraph will not limit the effect of </w:t>
      </w:r>
      <w:r>
        <w:rPr>
          <w:rFonts w:ascii="Times New Roman" w:cs="Times New Roman" w:eastAsia="Times New Roman" w:hAnsi="Times New Roman"/>
          <w:sz w:val="22"/>
          <w:szCs w:val="22"/>
          <w:b w:val="1"/>
          <w:bCs w:val="1"/>
          <w:color w:val="auto"/>
        </w:rPr>
        <w:t>Section 11.01(B)</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60" w:firstLine="644"/>
        <w:spacing w:after="0" w:line="271" w:lineRule="auto"/>
        <w:tabs>
          <w:tab w:leader="none" w:pos="1795"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any error of judgment made in good faith by a Responsible Officer, unless it is proved that the Trustee was negligent in ascertaining the pertinent facts; and</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7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will not be liable with respect to any action it takes or omits to take in good faith in accordance with a direction received by it pursuant to </w:t>
      </w:r>
      <w:r>
        <w:rPr>
          <w:rFonts w:ascii="Times New Roman" w:cs="Times New Roman" w:eastAsia="Times New Roman" w:hAnsi="Times New Roman"/>
          <w:sz w:val="22"/>
          <w:szCs w:val="22"/>
          <w:b w:val="1"/>
          <w:bCs w:val="1"/>
          <w:color w:val="auto"/>
        </w:rPr>
        <w:t>Section 7.07</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will require the Trustee to expend or risk its own funds or incur any liability.</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7"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in its individual capacity for the obligations evidenced by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18" w:right="339" w:bottom="1440" w:gutter="0" w:footer="0" w:header="0"/>
        </w:sectPr>
      </w:pPr>
    </w:p>
    <w:bookmarkStart w:id="98" w:name="page99"/>
    <w:bookmarkEnd w:id="98"/>
    <w:p>
      <w:pPr>
        <w:jc w:val="both"/>
        <w:ind w:firstLine="656"/>
        <w:spacing w:after="0" w:line="257" w:lineRule="auto"/>
        <w:tabs>
          <w:tab w:leader="none" w:pos="126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provision of this Indenture that in any way relates to the Trustee (including any provision that affects the liability of, or affords protection to, the Trustee) is subject to this </w:t>
      </w:r>
      <w:r>
        <w:rPr>
          <w:rFonts w:ascii="Times New Roman" w:cs="Times New Roman" w:eastAsia="Times New Roman" w:hAnsi="Times New Roman"/>
          <w:sz w:val="22"/>
          <w:szCs w:val="22"/>
          <w:b w:val="1"/>
          <w:bCs w:val="1"/>
          <w:color w:val="auto"/>
        </w:rPr>
        <w:t>Section 11.01</w:t>
      </w:r>
      <w:r>
        <w:rPr>
          <w:rFonts w:ascii="Times New Roman" w:cs="Times New Roman" w:eastAsia="Times New Roman" w:hAnsi="Times New Roman"/>
          <w:sz w:val="22"/>
          <w:szCs w:val="22"/>
          <w:color w:val="auto"/>
        </w:rPr>
        <w:t>, regardless of whether such provision so expressly provides.</w:t>
      </w:r>
    </w:p>
    <w:p>
      <w:pPr>
        <w:spacing w:after="0" w:line="18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11.02.</w:t>
      </w:r>
      <w:r>
        <w:rPr>
          <w:sz w:val="20"/>
          <w:szCs w:val="20"/>
          <w:color w:val="auto"/>
        </w:rPr>
        <w:tab/>
      </w:r>
      <w:r>
        <w:rPr>
          <w:rFonts w:ascii="Times New Roman" w:cs="Times New Roman" w:eastAsia="Times New Roman" w:hAnsi="Times New Roman"/>
          <w:sz w:val="21"/>
          <w:szCs w:val="21"/>
          <w:b w:val="1"/>
          <w:bCs w:val="1"/>
          <w:color w:val="auto"/>
        </w:rPr>
        <w:t>Rights of the Trustee.</w:t>
      </w:r>
    </w:p>
    <w:p>
      <w:pPr>
        <w:spacing w:after="0" w:line="224" w:lineRule="exact"/>
        <w:rPr>
          <w:sz w:val="20"/>
          <w:szCs w:val="20"/>
          <w:color w:val="auto"/>
        </w:rPr>
      </w:pPr>
    </w:p>
    <w:p>
      <w:pPr>
        <w:ind w:firstLine="656"/>
        <w:spacing w:after="0" w:line="271" w:lineRule="auto"/>
        <w:tabs>
          <w:tab w:leader="none" w:pos="121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on any document that it believes to be genuine and signed or presented by the proper Person, and the Trustee need not investigate any fact or matter stated in such document.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22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78" w:lineRule="exact"/>
        <w:rPr>
          <w:rFonts w:ascii="Times New Roman" w:cs="Times New Roman" w:eastAsia="Times New Roman" w:hAnsi="Times New Roman"/>
          <w:sz w:val="22"/>
          <w:szCs w:val="22"/>
          <w:color w:val="auto"/>
        </w:rPr>
      </w:pPr>
    </w:p>
    <w:p>
      <w:pPr>
        <w:ind w:firstLine="656"/>
        <w:spacing w:after="0" w:line="271" w:lineRule="auto"/>
        <w:tabs>
          <w:tab w:leader="none" w:pos="114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and agents and will not be responsible for the misconduct or negligence of any such agent appointed with due care.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29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for any action it takes or omits to take in good faith and that it believes to be authorized or within the rights or powers vested in it by this Indenture.</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1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Company will be sufficient if signed by an Officer of the Company.</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5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responsible or liable for any punitive, special, indirect or consequential loss or damage (including lost profits), even if the Trustee has been advised of the likelihood of such loss or damage and regardless of the form of action.</w:t>
      </w:r>
    </w:p>
    <w:p>
      <w:pPr>
        <w:spacing w:after="0" w:line="172" w:lineRule="exact"/>
        <w:rPr>
          <w:rFonts w:ascii="Times New Roman" w:cs="Times New Roman" w:eastAsia="Times New Roman" w:hAnsi="Times New Roman"/>
          <w:sz w:val="22"/>
          <w:szCs w:val="22"/>
          <w:color w:val="auto"/>
        </w:rPr>
      </w:pPr>
    </w:p>
    <w:p>
      <w:pPr>
        <w:ind w:left="1280" w:hanging="624"/>
        <w:spacing w:after="0"/>
        <w:tabs>
          <w:tab w:leader="none" w:pos="12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rights of the Trustee set forth in this Indenture will not be construed as duties imposed on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Trustee.</w:t>
      </w:r>
    </w:p>
    <w:p>
      <w:pPr>
        <w:spacing w:after="0" w:line="207" w:lineRule="exact"/>
        <w:rPr>
          <w:rFonts w:ascii="Times New Roman" w:cs="Times New Roman" w:eastAsia="Times New Roman" w:hAnsi="Times New Roman"/>
          <w:sz w:val="22"/>
          <w:szCs w:val="22"/>
          <w:color w:val="auto"/>
        </w:rPr>
      </w:pPr>
    </w:p>
    <w:p>
      <w:pPr>
        <w:ind w:firstLine="656"/>
        <w:spacing w:after="0" w:line="271" w:lineRule="auto"/>
        <w:tabs>
          <w:tab w:leader="none" w:pos="12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required to give any bond or surety in respect of the execution or performance of this Indenture or otherwise.</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Responsible Officer of the Trustee has received notice from the Company that Special Interest or Additional Interest is owing or accruing, on the Notes, the Trustee may assume that no Special Interest or Additional Interest, as applicable, is payable or accruing.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99" w:name="page100"/>
    <w:bookmarkEnd w:id="99"/>
    <w:p>
      <w:pPr>
        <w:jc w:val="both"/>
        <w:ind w:firstLine="656"/>
        <w:spacing w:after="0" w:line="257" w:lineRule="auto"/>
        <w:tabs>
          <w:tab w:leader="none" w:pos="1387"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86"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charged with knowledge of any document or agreement other than this Indenture and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95" w:lineRule="exact"/>
        <w:rPr>
          <w:rFonts w:ascii="Times New Roman" w:cs="Times New Roman" w:eastAsia="Times New Roman" w:hAnsi="Times New Roman"/>
          <w:sz w:val="22"/>
          <w:szCs w:val="22"/>
          <w:color w:val="auto"/>
        </w:rPr>
      </w:pPr>
    </w:p>
    <w:p>
      <w:pPr>
        <w:jc w:val="both"/>
        <w:ind w:firstLine="656"/>
        <w:spacing w:after="0" w:line="256" w:lineRule="auto"/>
        <w:tabs>
          <w:tab w:leader="none" w:pos="123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nor any Note Agent will have any responsibility or liability to any person for any action taken or not taken by, or any records or any other aspect of the operations of, the Depositary (including the delivery of notices, or the making of payments, through the facilities of the Depositary) and may conclusively rely, without investigation, on any information provided by the Depositary.</w:t>
      </w:r>
    </w:p>
    <w:p>
      <w:pPr>
        <w:spacing w:after="0" w:line="1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11.03.</w:t>
      </w:r>
      <w:r>
        <w:rPr>
          <w:sz w:val="20"/>
          <w:szCs w:val="20"/>
          <w:color w:val="auto"/>
        </w:rPr>
        <w:tab/>
      </w:r>
      <w:r>
        <w:rPr>
          <w:rFonts w:ascii="Times New Roman" w:cs="Times New Roman" w:eastAsia="Times New Roman" w:hAnsi="Times New Roman"/>
          <w:sz w:val="21"/>
          <w:szCs w:val="21"/>
          <w:b w:val="1"/>
          <w:bCs w:val="1"/>
          <w:color w:val="auto"/>
        </w:rPr>
        <w:t>Individual Rights of the Trustee.</w:t>
      </w:r>
    </w:p>
    <w:p>
      <w:pPr>
        <w:spacing w:after="0" w:line="224" w:lineRule="exact"/>
        <w:rPr>
          <w:sz w:val="20"/>
          <w:szCs w:val="20"/>
          <w:color w:val="auto"/>
        </w:rPr>
      </w:pPr>
    </w:p>
    <w:p>
      <w:pPr>
        <w:jc w:val="both"/>
        <w:ind w:firstLine="279"/>
        <w:spacing w:after="0" w:line="253" w:lineRule="auto"/>
        <w:rPr>
          <w:sz w:val="20"/>
          <w:szCs w:val="20"/>
          <w:color w:val="auto"/>
        </w:rPr>
      </w:pPr>
      <w:r>
        <w:rPr>
          <w:rFonts w:ascii="Times New Roman" w:cs="Times New Roman" w:eastAsia="Times New Roman" w:hAnsi="Times New Roman"/>
          <w:sz w:val="22"/>
          <w:szCs w:val="22"/>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22"/>
          <w:szCs w:val="22"/>
          <w:b w:val="1"/>
          <w:bCs w:val="1"/>
          <w:color w:val="auto"/>
        </w:rPr>
        <w:t>Section 11.03</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11.04.</w:t>
      </w:r>
      <w:r>
        <w:rPr>
          <w:sz w:val="20"/>
          <w:szCs w:val="20"/>
          <w:color w:val="auto"/>
        </w:rPr>
        <w:tab/>
      </w:r>
      <w:r>
        <w:rPr>
          <w:rFonts w:ascii="Times New Roman" w:cs="Times New Roman" w:eastAsia="Times New Roman" w:hAnsi="Times New Roman"/>
          <w:sz w:val="21"/>
          <w:szCs w:val="21"/>
          <w:b w:val="1"/>
          <w:bCs w:val="1"/>
          <w:color w:val="auto"/>
        </w:rPr>
        <w:t>Trustee’s Disclaimer.</w:t>
      </w:r>
    </w:p>
    <w:p>
      <w:pPr>
        <w:spacing w:after="0" w:line="224" w:lineRule="exact"/>
        <w:rPr>
          <w:sz w:val="20"/>
          <w:szCs w:val="20"/>
          <w:color w:val="auto"/>
        </w:rPr>
      </w:pPr>
    </w:p>
    <w:p>
      <w:pPr>
        <w:jc w:val="both"/>
        <w:ind w:firstLine="222"/>
        <w:spacing w:after="0" w:line="268" w:lineRule="auto"/>
        <w:rPr>
          <w:sz w:val="20"/>
          <w:szCs w:val="20"/>
          <w:color w:val="auto"/>
        </w:rPr>
      </w:pPr>
      <w:r>
        <w:rPr>
          <w:rFonts w:ascii="Times New Roman" w:cs="Times New Roman" w:eastAsia="Times New Roman" w:hAnsi="Times New Roman"/>
          <w:sz w:val="21"/>
          <w:szCs w:val="21"/>
          <w:color w:val="auto"/>
        </w:rPr>
        <w:t>The Trustee will not be (A) responsible for, and makes no representation as to, the validity or adequacy of this Indenture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spacing w:after="0" w:line="18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11.05.</w:t>
      </w:r>
      <w:r>
        <w:rPr>
          <w:sz w:val="20"/>
          <w:szCs w:val="20"/>
          <w:color w:val="auto"/>
        </w:rPr>
        <w:tab/>
      </w:r>
      <w:r>
        <w:rPr>
          <w:rFonts w:ascii="Times New Roman" w:cs="Times New Roman" w:eastAsia="Times New Roman" w:hAnsi="Times New Roman"/>
          <w:sz w:val="21"/>
          <w:szCs w:val="21"/>
          <w:b w:val="1"/>
          <w:bCs w:val="1"/>
          <w:color w:val="auto"/>
        </w:rPr>
        <w:t>Notice of Defaults.</w:t>
      </w:r>
    </w:p>
    <w:p>
      <w:pPr>
        <w:spacing w:after="0" w:line="224"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21"/>
          <w:szCs w:val="21"/>
          <w:color w:val="auto"/>
        </w:rPr>
        <w:t xml:space="preserve">If a Default occurs and is continuing and is actually known to a Responsible Officer of the Trustee, then the Trustee will send Holders a notice of such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except in the case of a Default in the payment of the principal of, or interest, if any, on, any Note, the Trustee may withhold such notice if and for so long as it in good faith determines that withholding such notice is in the interests of the Holders. For the avoidance of doubt, the Trustee will not be required to deliver such notice at any time after such Default is cured or waived. The Trustee will not be deemed to have notice or be charged with knowledge of any Default or Event of Default unless (A) written notice thereof has been received by a Responsible Officer;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such notice references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Notes and this Indenture and states on its face that a Default or Event of Default, as applicable, has occurred.</w:t>
      </w:r>
    </w:p>
    <w:p>
      <w:pPr>
        <w:spacing w:after="0" w:line="24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11.06.</w:t>
      </w:r>
      <w:r>
        <w:rPr>
          <w:sz w:val="20"/>
          <w:szCs w:val="20"/>
          <w:color w:val="auto"/>
        </w:rPr>
        <w:tab/>
      </w:r>
      <w:r>
        <w:rPr>
          <w:rFonts w:ascii="Times New Roman" w:cs="Times New Roman" w:eastAsia="Times New Roman" w:hAnsi="Times New Roman"/>
          <w:sz w:val="21"/>
          <w:szCs w:val="21"/>
          <w:b w:val="1"/>
          <w:bCs w:val="1"/>
          <w:color w:val="auto"/>
        </w:rPr>
        <w:t>Compensation and Indemnity.</w:t>
      </w:r>
    </w:p>
    <w:p>
      <w:pPr>
        <w:spacing w:after="0" w:line="224" w:lineRule="exact"/>
        <w:rPr>
          <w:sz w:val="20"/>
          <w:szCs w:val="20"/>
          <w:color w:val="auto"/>
        </w:rPr>
      </w:pPr>
    </w:p>
    <w:p>
      <w:pPr>
        <w:jc w:val="both"/>
        <w:ind w:firstLine="656"/>
        <w:spacing w:after="0" w:line="251" w:lineRule="auto"/>
        <w:tabs>
          <w:tab w:leader="none" w:pos="130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from time to time, pay the Trustee and the Note Agents reasonable compensation for its acceptance of this Indenture and services under this Indenture as separately agreed to by the Company and the Trustee.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194" w:lineRule="exact"/>
        <w:rPr>
          <w:rFonts w:ascii="Times New Roman" w:cs="Times New Roman" w:eastAsia="Times New Roman" w:hAnsi="Times New Roman"/>
          <w:sz w:val="22"/>
          <w:szCs w:val="22"/>
          <w:color w:val="auto"/>
        </w:rPr>
      </w:pPr>
    </w:p>
    <w:p>
      <w:pPr>
        <w:jc w:val="both"/>
        <w:ind w:firstLine="656"/>
        <w:spacing w:after="0" w:line="247" w:lineRule="auto"/>
        <w:tabs>
          <w:tab w:leader="none" w:pos="119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 indemnify the Trustee (in each of its capacities under this Indenture) and its directors, officers, employees and agents, in their capacities as such,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is attributable (as determined by a final decision of a court of competent jurisdiction) to its negligence or willful misconduct.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22"/>
          <w:szCs w:val="22"/>
          <w:b w:val="1"/>
          <w:bCs w:val="1"/>
          <w:color w:val="auto"/>
        </w:rPr>
        <w:t>Section 11.06(B)</w:t>
      </w:r>
      <w:r>
        <w:rPr>
          <w:rFonts w:ascii="Times New Roman" w:cs="Times New Roman" w:eastAsia="Times New Roman" w:hAnsi="Times New Roman"/>
          <w:sz w:val="22"/>
          <w:szCs w:val="22"/>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1" w:lineRule="exact"/>
        <w:rPr>
          <w:rFonts w:ascii="Times New Roman" w:cs="Times New Roman" w:eastAsia="Times New Roman" w:hAnsi="Times New Roman"/>
          <w:sz w:val="22"/>
          <w:szCs w:val="22"/>
          <w:color w:val="auto"/>
        </w:rPr>
      </w:pPr>
    </w:p>
    <w:p>
      <w:pPr>
        <w:ind w:firstLine="656"/>
        <w:spacing w:after="0" w:line="287" w:lineRule="auto"/>
        <w:tabs>
          <w:tab w:leader="none" w:pos="116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Company under this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xml:space="preserve"> will survive the resignation or removal of the Trustee and the discharge of this Indenture.</w:t>
      </w:r>
    </w:p>
    <w:p>
      <w:pPr>
        <w:spacing w:after="0" w:line="13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9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secure the Company’s payment obligations in this </w:t>
      </w:r>
      <w:r>
        <w:rPr>
          <w:rFonts w:ascii="Times New Roman" w:cs="Times New Roman" w:eastAsia="Times New Roman" w:hAnsi="Times New Roman"/>
          <w:sz w:val="22"/>
          <w:szCs w:val="22"/>
          <w:b w:val="1"/>
          <w:bCs w:val="1"/>
          <w:color w:val="auto"/>
        </w:rPr>
        <w:t>Section 11.06</w:t>
      </w:r>
      <w:r>
        <w:rPr>
          <w:rFonts w:ascii="Times New Roman" w:cs="Times New Roman" w:eastAsia="Times New Roman" w:hAnsi="Times New Roman"/>
          <w:sz w:val="22"/>
          <w:szCs w:val="22"/>
          <w:color w:val="auto"/>
        </w:rPr>
        <w:t>, the Trustee will have a lien prior to the Notes on all money or property held or collected by the Trustee, except that held in trust to pay principal of, or interest, if any, on, particular Notes, which lien will survive the discharge of this Indenture.</w:t>
      </w:r>
    </w:p>
    <w:p>
      <w:pPr>
        <w:spacing w:after="0" w:line="166" w:lineRule="exact"/>
        <w:rPr>
          <w:rFonts w:ascii="Times New Roman" w:cs="Times New Roman" w:eastAsia="Times New Roman" w:hAnsi="Times New Roman"/>
          <w:sz w:val="22"/>
          <w:szCs w:val="22"/>
          <w:color w:val="auto"/>
        </w:rPr>
      </w:pPr>
    </w:p>
    <w:p>
      <w:pPr>
        <w:ind w:firstLine="656"/>
        <w:spacing w:after="0" w:line="275" w:lineRule="auto"/>
        <w:tabs>
          <w:tab w:leader="none" w:pos="116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incurs expenses or renders services after an Event of Default pursuant to </w:t>
      </w:r>
      <w:r>
        <w:rPr>
          <w:rFonts w:ascii="Times New Roman" w:cs="Times New Roman" w:eastAsia="Times New Roman" w:hAnsi="Times New Roman"/>
          <w:sz w:val="22"/>
          <w:szCs w:val="22"/>
          <w:b w:val="1"/>
          <w:bCs w:val="1"/>
          <w:color w:val="auto"/>
        </w:rPr>
        <w:t>clause (x)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(xi)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7.01(A) </w:t>
      </w:r>
      <w:r>
        <w:rPr>
          <w:rFonts w:ascii="Times New Roman" w:cs="Times New Roman" w:eastAsia="Times New Roman" w:hAnsi="Times New Roman"/>
          <w:sz w:val="22"/>
          <w:szCs w:val="22"/>
          <w:color w:val="auto"/>
        </w:rPr>
        <w:t>occurs, then such expenses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22" w:right="339" w:bottom="1440" w:gutter="0" w:footer="0" w:header="0"/>
        </w:sectPr>
      </w:pPr>
    </w:p>
    <w:bookmarkStart w:id="101" w:name="page102"/>
    <w:bookmarkEnd w:id="101"/>
    <w:p>
      <w:pPr>
        <w:spacing w:after="0" w:line="271" w:lineRule="auto"/>
        <w:rPr>
          <w:sz w:val="20"/>
          <w:szCs w:val="20"/>
          <w:color w:val="auto"/>
        </w:rPr>
      </w:pPr>
      <w:r>
        <w:rPr>
          <w:rFonts w:ascii="Times New Roman" w:cs="Times New Roman" w:eastAsia="Times New Roman" w:hAnsi="Times New Roman"/>
          <w:sz w:val="22"/>
          <w:szCs w:val="22"/>
          <w:color w:val="auto"/>
        </w:rPr>
        <w:t>compensation for such services (including the fees and expenses of its agents and counsel) are intended to constitute expenses of administration under any Bankruptcy Law.</w:t>
      </w:r>
    </w:p>
    <w:p>
      <w:pPr>
        <w:spacing w:after="0" w:line="15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11.07.</w:t>
      </w:r>
      <w:r>
        <w:rPr>
          <w:sz w:val="20"/>
          <w:szCs w:val="20"/>
          <w:color w:val="auto"/>
        </w:rPr>
        <w:tab/>
      </w:r>
      <w:r>
        <w:rPr>
          <w:rFonts w:ascii="Times New Roman" w:cs="Times New Roman" w:eastAsia="Times New Roman" w:hAnsi="Times New Roman"/>
          <w:sz w:val="21"/>
          <w:szCs w:val="21"/>
          <w:b w:val="1"/>
          <w:bCs w:val="1"/>
          <w:color w:val="auto"/>
        </w:rPr>
        <w:t>Replacement of the Trustee.</w:t>
      </w:r>
    </w:p>
    <w:p>
      <w:pPr>
        <w:spacing w:after="0" w:line="233" w:lineRule="exact"/>
        <w:rPr>
          <w:sz w:val="20"/>
          <w:szCs w:val="20"/>
          <w:color w:val="auto"/>
        </w:rPr>
      </w:pPr>
    </w:p>
    <w:p>
      <w:pPr>
        <w:jc w:val="both"/>
        <w:ind w:firstLine="656"/>
        <w:spacing w:after="0" w:line="259" w:lineRule="auto"/>
        <w:tabs>
          <w:tab w:leader="none" w:pos="125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11.07</w:t>
      </w:r>
      <w:r>
        <w:rPr>
          <w:rFonts w:ascii="Times New Roman" w:cs="Times New Roman" w:eastAsia="Times New Roman" w:hAnsi="Times New Roman"/>
          <w:sz w:val="22"/>
          <w:szCs w:val="22"/>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22"/>
          <w:szCs w:val="22"/>
          <w:b w:val="1"/>
          <w:bCs w:val="1"/>
          <w:color w:val="auto"/>
        </w:rPr>
        <w:t>Section 11.07</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auto"/>
        </w:rPr>
      </w:pPr>
    </w:p>
    <w:p>
      <w:pPr>
        <w:jc w:val="both"/>
        <w:ind w:firstLine="656"/>
        <w:spacing w:after="0" w:line="263" w:lineRule="auto"/>
        <w:tabs>
          <w:tab w:leader="none" w:pos="12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6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Trustee fails to comply with </w:t>
      </w:r>
      <w:r>
        <w:rPr>
          <w:rFonts w:ascii="Times New Roman" w:cs="Times New Roman" w:eastAsia="Times New Roman" w:hAnsi="Times New Roman"/>
          <w:sz w:val="22"/>
          <w:szCs w:val="22"/>
          <w:b w:val="1"/>
          <w:bCs w:val="1"/>
          <w:color w:val="auto"/>
        </w:rPr>
        <w:t>Section 11.09</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660" w:firstLine="644"/>
        <w:spacing w:after="0" w:line="271" w:lineRule="auto"/>
        <w:tabs>
          <w:tab w:leader="none" w:pos="1792"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to be bankrupt or insolvent or an order for relief is entered with respect to the Trustee under any Bankruptcy Law;</w:t>
      </w:r>
    </w:p>
    <w:p>
      <w:pPr>
        <w:spacing w:after="0" w:line="157"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 or</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1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3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63" w:lineRule="exact"/>
        <w:rPr>
          <w:rFonts w:ascii="Times New Roman" w:cs="Times New Roman" w:eastAsia="Times New Roman" w:hAnsi="Times New Roman"/>
          <w:sz w:val="22"/>
          <w:szCs w:val="22"/>
          <w:color w:val="auto"/>
        </w:rPr>
      </w:pPr>
    </w:p>
    <w:p>
      <w:pPr>
        <w:jc w:val="both"/>
        <w:ind w:firstLine="656"/>
        <w:spacing w:after="0" w:line="259" w:lineRule="auto"/>
        <w:tabs>
          <w:tab w:leader="none" w:pos="117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Trustee, after written request by a Holder of at least six (6) months, fails to comply with </w:t>
      </w:r>
      <w:r>
        <w:rPr>
          <w:rFonts w:ascii="Times New Roman" w:cs="Times New Roman" w:eastAsia="Times New Roman" w:hAnsi="Times New Roman"/>
          <w:sz w:val="22"/>
          <w:szCs w:val="22"/>
          <w:b w:val="1"/>
          <w:bCs w:val="1"/>
          <w:color w:val="auto"/>
        </w:rPr>
        <w:t>Section 11.09</w:t>
      </w:r>
      <w:r>
        <w:rPr>
          <w:rFonts w:ascii="Times New Roman" w:cs="Times New Roman" w:eastAsia="Times New Roman" w:hAnsi="Times New Roman"/>
          <w:sz w:val="22"/>
          <w:szCs w:val="22"/>
          <w:color w:val="auto"/>
        </w:rPr>
        <w:t>, then such Holder may petition any court of competent jurisdiction for the removal of the Trustee and the appointment of a successor Trustee.</w:t>
      </w:r>
    </w:p>
    <w:p>
      <w:pPr>
        <w:spacing w:after="0" w:line="183" w:lineRule="exact"/>
        <w:rPr>
          <w:rFonts w:ascii="Times New Roman" w:cs="Times New Roman" w:eastAsia="Times New Roman" w:hAnsi="Times New Roman"/>
          <w:sz w:val="22"/>
          <w:szCs w:val="22"/>
          <w:color w:val="auto"/>
        </w:rPr>
      </w:pPr>
    </w:p>
    <w:p>
      <w:pPr>
        <w:jc w:val="both"/>
        <w:ind w:firstLine="656"/>
        <w:spacing w:after="0" w:line="248" w:lineRule="auto"/>
        <w:tabs>
          <w:tab w:leader="none" w:pos="113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22"/>
          <w:szCs w:val="22"/>
          <w:b w:val="1"/>
          <w:bCs w:val="1"/>
          <w:color w:val="auto"/>
        </w:rPr>
        <w:t>Section 11.06(D)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102" w:name="page103"/>
    <w:bookmarkEnd w:id="102"/>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11.08.</w:t>
      </w:r>
      <w:r>
        <w:rPr>
          <w:sz w:val="20"/>
          <w:szCs w:val="20"/>
          <w:color w:val="auto"/>
        </w:rPr>
        <w:tab/>
      </w:r>
      <w:r>
        <w:rPr>
          <w:rFonts w:ascii="Times New Roman" w:cs="Times New Roman" w:eastAsia="Times New Roman" w:hAnsi="Times New Roman"/>
          <w:sz w:val="21"/>
          <w:szCs w:val="21"/>
          <w:b w:val="1"/>
          <w:bCs w:val="1"/>
          <w:color w:val="auto"/>
        </w:rPr>
        <w:t>Successor Trustee by Merger, Etc.</w:t>
      </w:r>
    </w:p>
    <w:p>
      <w:pPr>
        <w:spacing w:after="0" w:line="224" w:lineRule="exact"/>
        <w:rPr>
          <w:sz w:val="20"/>
          <w:szCs w:val="20"/>
          <w:color w:val="auto"/>
        </w:rPr>
      </w:pPr>
    </w:p>
    <w:p>
      <w:pPr>
        <w:jc w:val="both"/>
        <w:ind w:firstLine="258"/>
        <w:spacing w:after="0" w:line="253" w:lineRule="auto"/>
        <w:rPr>
          <w:sz w:val="20"/>
          <w:szCs w:val="20"/>
          <w:color w:val="auto"/>
        </w:rPr>
      </w:pPr>
      <w:r>
        <w:rPr>
          <w:rFonts w:ascii="Times New Roman" w:cs="Times New Roman" w:eastAsia="Times New Roman" w:hAnsi="Times New Roman"/>
          <w:sz w:val="22"/>
          <w:szCs w:val="22"/>
          <w:color w:val="auto"/>
        </w:rPr>
        <w:t xml:space="preserve">Any entity into which the Trustee may be merged or converted or with which it may be consolidated, or any entity resulting from any merger, conversion or consolidation to which the Trustee is a party, or any entity succeeding to all or substantially all of the corporate trust business of the Trustee, will (without the execution or filing of any paper or any further act on the part of any of the parties to this Indenture) be the successor of the Trustee under this Indenture,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entity is otherwise qualified and eligible to act as such under this </w:t>
      </w:r>
      <w:r>
        <w:rPr>
          <w:rFonts w:ascii="Times New Roman" w:cs="Times New Roman" w:eastAsia="Times New Roman" w:hAnsi="Times New Roman"/>
          <w:sz w:val="22"/>
          <w:szCs w:val="22"/>
          <w:b w:val="1"/>
          <w:bCs w:val="1"/>
          <w:color w:val="auto"/>
        </w:rPr>
        <w:t>Article 11</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11.09.</w:t>
      </w:r>
      <w:r>
        <w:rPr>
          <w:sz w:val="20"/>
          <w:szCs w:val="20"/>
          <w:color w:val="auto"/>
        </w:rPr>
        <w:tab/>
      </w:r>
      <w:r>
        <w:rPr>
          <w:rFonts w:ascii="Times New Roman" w:cs="Times New Roman" w:eastAsia="Times New Roman" w:hAnsi="Times New Roman"/>
          <w:sz w:val="21"/>
          <w:szCs w:val="21"/>
          <w:b w:val="1"/>
          <w:bCs w:val="1"/>
          <w:color w:val="auto"/>
        </w:rPr>
        <w:t>Eligibility; Disqualification.</w:t>
      </w:r>
    </w:p>
    <w:p>
      <w:pPr>
        <w:spacing w:after="0" w:line="224" w:lineRule="exact"/>
        <w:rPr>
          <w:sz w:val="20"/>
          <w:szCs w:val="20"/>
          <w:color w:val="auto"/>
        </w:rPr>
      </w:pPr>
    </w:p>
    <w:p>
      <w:pPr>
        <w:jc w:val="both"/>
        <w:ind w:firstLine="258"/>
        <w:spacing w:after="0" w:line="256" w:lineRule="auto"/>
        <w:rPr>
          <w:sz w:val="20"/>
          <w:szCs w:val="20"/>
          <w:color w:val="auto"/>
        </w:rPr>
      </w:pPr>
      <w:r>
        <w:rPr>
          <w:rFonts w:ascii="Times New Roman" w:cs="Times New Roman" w:eastAsia="Times New Roman" w:hAnsi="Times New Roman"/>
          <w:sz w:val="22"/>
          <w:szCs w:val="22"/>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199"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Article 12.</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22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12.01.</w:t>
      </w:r>
      <w:r>
        <w:rPr>
          <w:sz w:val="20"/>
          <w:szCs w:val="20"/>
          <w:color w:val="auto"/>
        </w:rPr>
        <w:tab/>
      </w:r>
      <w:r>
        <w:rPr>
          <w:rFonts w:ascii="Times New Roman" w:cs="Times New Roman" w:eastAsia="Times New Roman" w:hAnsi="Times New Roman"/>
          <w:sz w:val="21"/>
          <w:szCs w:val="21"/>
          <w:b w:val="1"/>
          <w:bCs w:val="1"/>
          <w:color w:val="auto"/>
        </w:rPr>
        <w:t>Notices.</w:t>
      </w:r>
    </w:p>
    <w:p>
      <w:pPr>
        <w:spacing w:after="0" w:line="224"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22"/>
          <w:szCs w:val="22"/>
          <w:color w:val="auto"/>
        </w:rPr>
        <w:t>Any notice or communication by the Company or any Guarantor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If to the Company or any Guarantor: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2045 East Innovation Circle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Tempe, Arizona 85284</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1271 6th Avenue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New York 10020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Greg Rodgers and Andrew Blumenthal</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Lunken Operations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18"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22"/>
          <w:szCs w:val="22"/>
          <w:color w:val="auto"/>
        </w:rPr>
        <w:t>5065 Wooster Road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Cincinnati, OH 45226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Administrator for Amkor Technology Inc. 0% Cvt Sr Nts due 2031</w:t>
      </w:r>
    </w:p>
    <w:p>
      <w:pPr>
        <w:spacing w:after="0" w:line="236" w:lineRule="exact"/>
        <w:rPr>
          <w:sz w:val="20"/>
          <w:szCs w:val="20"/>
          <w:color w:val="auto"/>
        </w:rPr>
      </w:pPr>
    </w:p>
    <w:p>
      <w:pPr>
        <w:jc w:val="both"/>
        <w:ind w:firstLine="285"/>
        <w:spacing w:after="0" w:line="257"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the preceding paragraph, notices to the Trustee (other than a notice pursuant to </w:t>
      </w:r>
      <w:r>
        <w:rPr>
          <w:rFonts w:ascii="Times New Roman" w:cs="Times New Roman" w:eastAsia="Times New Roman" w:hAnsi="Times New Roman"/>
          <w:sz w:val="22"/>
          <w:szCs w:val="22"/>
          <w:b w:val="1"/>
          <w:bCs w:val="1"/>
          <w:color w:val="auto"/>
        </w:rPr>
        <w:t>Section 2.12</w:t>
      </w:r>
      <w:r>
        <w:rPr>
          <w:rFonts w:ascii="Times New Roman" w:cs="Times New Roman" w:eastAsia="Times New Roman" w:hAnsi="Times New Roman"/>
          <w:sz w:val="22"/>
          <w:szCs w:val="22"/>
          <w:color w:val="auto"/>
        </w:rPr>
        <w:t>) or any Note Agent must be in writing and will be deemed to have been given upon actual receipt by the Trustee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Note Agent, as applicable.</w:t>
      </w:r>
    </w:p>
    <w:p>
      <w:pPr>
        <w:spacing w:after="0" w:line="200" w:lineRule="exact"/>
        <w:rPr>
          <w:sz w:val="20"/>
          <w:szCs w:val="20"/>
          <w:color w:val="auto"/>
        </w:rPr>
      </w:pPr>
    </w:p>
    <w:p>
      <w:pPr>
        <w:jc w:val="both"/>
        <w:ind w:firstLine="222"/>
        <w:spacing w:after="0" w:line="271" w:lineRule="auto"/>
        <w:rPr>
          <w:sz w:val="20"/>
          <w:szCs w:val="20"/>
          <w:color w:val="auto"/>
        </w:rPr>
      </w:pPr>
      <w:r>
        <w:rPr>
          <w:rFonts w:ascii="Times New Roman" w:cs="Times New Roman" w:eastAsia="Times New Roman" w:hAnsi="Times New Roman"/>
          <w:sz w:val="22"/>
          <w:szCs w:val="22"/>
          <w:color w:val="auto"/>
        </w:rPr>
        <w:t>The Company, any Guarantor or the Trustee, by notice to the others, may designate additional or different addresses (including facsimile numbers and electronic addresses) for subsequent notices or communications.</w:t>
      </w:r>
    </w:p>
    <w:p>
      <w:pPr>
        <w:spacing w:after="0" w:line="19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22"/>
          <w:szCs w:val="22"/>
          <w:color w:val="auto"/>
        </w:rPr>
        <w:t>The Trustee will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will be deemed original signatures for all purposes. Any person that uses electronic signatures or electronic methods to send communications to the Trustee assumes all risks arising out of such use, including the risk of the Trustee acting on an unauthorized communication and the risk of interception or misuse by third parties. Notwithstanding anything to the contrary in this paragraph, the Trustee may, in any instance and in its sole discretion, require that an original document bearing a manual signature be delivered to the Trustee in lieu of, or in addition to, any such electronic communication.</w:t>
      </w:r>
    </w:p>
    <w:p>
      <w:pPr>
        <w:spacing w:after="0" w:line="218"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22"/>
          <w:szCs w:val="22"/>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is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206" w:lineRule="exact"/>
        <w:rPr>
          <w:sz w:val="20"/>
          <w:szCs w:val="20"/>
          <w:color w:val="auto"/>
        </w:rPr>
      </w:pPr>
    </w:p>
    <w:p>
      <w:pPr>
        <w:jc w:val="both"/>
        <w:ind w:firstLine="223"/>
        <w:spacing w:after="0" w:line="251" w:lineRule="auto"/>
        <w:rPr>
          <w:sz w:val="20"/>
          <w:szCs w:val="20"/>
          <w:color w:val="auto"/>
        </w:rPr>
      </w:pPr>
      <w:r>
        <w:rPr>
          <w:rFonts w:ascii="Times New Roman" w:cs="Times New Roman" w:eastAsia="Times New Roman" w:hAnsi="Times New Roman"/>
          <w:sz w:val="22"/>
          <w:szCs w:val="22"/>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208" w:lineRule="exact"/>
        <w:rPr>
          <w:sz w:val="20"/>
          <w:szCs w:val="20"/>
          <w:color w:val="auto"/>
        </w:rPr>
      </w:pPr>
    </w:p>
    <w:p>
      <w:pPr>
        <w:jc w:val="both"/>
        <w:ind w:firstLine="245"/>
        <w:spacing w:after="0" w:line="284" w:lineRule="auto"/>
        <w:rPr>
          <w:sz w:val="20"/>
          <w:szCs w:val="20"/>
          <w:color w:val="auto"/>
        </w:rPr>
      </w:pPr>
      <w:r>
        <w:rPr>
          <w:rFonts w:ascii="Times New Roman" w:cs="Times New Roman" w:eastAsia="Times New Roman" w:hAnsi="Times New Roman"/>
          <w:sz w:val="22"/>
          <w:szCs w:val="22"/>
          <w:color w:val="auto"/>
        </w:rPr>
        <w:t>If the Trustee is then acting as the Depositary’s custodian for the Notes, then, at the reasonable request of the Company to the Trustee, the Trustee will cause any notice prepared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104" w:name="page105"/>
    <w:bookmarkEnd w:id="104"/>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the Company to be sent to any Holder(s) pursuant to the Depositary Procedures,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20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22"/>
          <w:szCs w:val="22"/>
          <w:color w:val="auto"/>
        </w:rPr>
        <w:t>If a notice or communication is mailed or sent in the manner provided above within the time prescribed, it will be deemed to have been duly given, whether or not the addressee receives it.</w:t>
      </w:r>
    </w:p>
    <w:p>
      <w:pPr>
        <w:spacing w:after="0" w:line="185" w:lineRule="exact"/>
        <w:rPr>
          <w:sz w:val="20"/>
          <w:szCs w:val="20"/>
          <w:color w:val="auto"/>
        </w:rPr>
      </w:pPr>
    </w:p>
    <w:p>
      <w:pPr>
        <w:jc w:val="both"/>
        <w:ind w:firstLine="233"/>
        <w:spacing w:after="0" w:line="251" w:lineRule="auto"/>
        <w:rPr>
          <w:sz w:val="20"/>
          <w:szCs w:val="20"/>
          <w:color w:val="auto"/>
        </w:rPr>
      </w:pPr>
      <w:r>
        <w:rPr>
          <w:rFonts w:ascii="Times New Roman" w:cs="Times New Roman" w:eastAsia="Times New Roman" w:hAnsi="Times New Roman"/>
          <w:sz w:val="22"/>
          <w:szCs w:val="22"/>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 for purposes of the interpretation of this Indenture, such notice will be deemed to have been duly sent at the time otherwise required by this Indenture); and (B) whenever any provision of this Indenture requires a party to send notice to more than one receiving party, and each receiving party is the same Person acting in different capacities, then only one such notice need be sent to such Person.</w:t>
      </w:r>
    </w:p>
    <w:p>
      <w:pPr>
        <w:spacing w:after="0" w:line="20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12.02.</w:t>
      </w:r>
      <w:r>
        <w:rPr>
          <w:sz w:val="20"/>
          <w:szCs w:val="20"/>
          <w:color w:val="auto"/>
        </w:rPr>
        <w:tab/>
      </w:r>
      <w:r>
        <w:rPr>
          <w:rFonts w:ascii="Times New Roman" w:cs="Times New Roman" w:eastAsia="Times New Roman" w:hAnsi="Times New Roman"/>
          <w:sz w:val="21"/>
          <w:szCs w:val="21"/>
          <w:b w:val="1"/>
          <w:bCs w:val="1"/>
          <w:color w:val="auto"/>
        </w:rPr>
        <w:t>Delivery of Officer’s Certificate and Opinion of Counsel as to Conditions Precedent.</w:t>
      </w:r>
    </w:p>
    <w:p>
      <w:pPr>
        <w:spacing w:after="0" w:line="237" w:lineRule="exact"/>
        <w:rPr>
          <w:sz w:val="20"/>
          <w:szCs w:val="20"/>
          <w:color w:val="auto"/>
        </w:rPr>
      </w:pPr>
    </w:p>
    <w:p>
      <w:pPr>
        <w:jc w:val="both"/>
        <w:ind w:right="20" w:firstLine="259"/>
        <w:spacing w:after="0" w:line="271" w:lineRule="auto"/>
        <w:rPr>
          <w:sz w:val="20"/>
          <w:szCs w:val="20"/>
          <w:color w:val="auto"/>
        </w:rPr>
      </w:pPr>
      <w:r>
        <w:rPr>
          <w:rFonts w:ascii="Times New Roman" w:cs="Times New Roman" w:eastAsia="Times New Roman" w:hAnsi="Times New Roman"/>
          <w:sz w:val="22"/>
          <w:szCs w:val="22"/>
          <w:color w:val="auto"/>
        </w:rPr>
        <w:t>Upon any request or application by the Company to the Trustee to take any action under this Indenture (other than the initial authentication of Notes under this Indenture), the Company will furnish to the Trustee:</w:t>
      </w:r>
    </w:p>
    <w:p>
      <w:pPr>
        <w:spacing w:after="0" w:line="154" w:lineRule="exact"/>
        <w:rPr>
          <w:sz w:val="20"/>
          <w:szCs w:val="20"/>
          <w:color w:val="auto"/>
        </w:rPr>
      </w:pPr>
    </w:p>
    <w:p>
      <w:pPr>
        <w:ind w:firstLine="656"/>
        <w:spacing w:after="0" w:line="275" w:lineRule="auto"/>
        <w:tabs>
          <w:tab w:leader="none" w:pos="11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that complies with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 xml:space="preserve"> and states that, in the opinion of the signatory thereto, all conditions precedent and covenants, if any, provided for in this Indenture relating to such action have been satisfied; and</w:t>
      </w:r>
    </w:p>
    <w:p>
      <w:pPr>
        <w:spacing w:after="0" w:line="149" w:lineRule="exact"/>
        <w:rPr>
          <w:rFonts w:ascii="Times New Roman" w:cs="Times New Roman" w:eastAsia="Times New Roman" w:hAnsi="Times New Roman"/>
          <w:sz w:val="22"/>
          <w:szCs w:val="22"/>
          <w:color w:val="auto"/>
        </w:rPr>
      </w:pPr>
    </w:p>
    <w:p>
      <w:pPr>
        <w:ind w:firstLine="656"/>
        <w:spacing w:after="0" w:line="287" w:lineRule="auto"/>
        <w:tabs>
          <w:tab w:leader="none" w:pos="122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Opinion of Counsel that complies with </w:t>
      </w:r>
      <w:r>
        <w:rPr>
          <w:rFonts w:ascii="Times New Roman" w:cs="Times New Roman" w:eastAsia="Times New Roman" w:hAnsi="Times New Roman"/>
          <w:sz w:val="22"/>
          <w:szCs w:val="22"/>
          <w:b w:val="1"/>
          <w:bCs w:val="1"/>
          <w:color w:val="auto"/>
        </w:rPr>
        <w:t>Section 12.03</w:t>
      </w:r>
      <w:r>
        <w:rPr>
          <w:rFonts w:ascii="Times New Roman" w:cs="Times New Roman" w:eastAsia="Times New Roman" w:hAnsi="Times New Roman"/>
          <w:sz w:val="22"/>
          <w:szCs w:val="22"/>
          <w:color w:val="auto"/>
        </w:rPr>
        <w:t xml:space="preserve"> and states that, in the opinion of such counsel, all such conditions precedent and covenants, if any, have been satisfied.</w:t>
      </w:r>
    </w:p>
    <w:p>
      <w:pPr>
        <w:spacing w:after="0" w:line="13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12.03.</w:t>
      </w:r>
      <w:r>
        <w:rPr>
          <w:sz w:val="20"/>
          <w:szCs w:val="20"/>
          <w:color w:val="auto"/>
        </w:rPr>
        <w:tab/>
      </w:r>
      <w:r>
        <w:rPr>
          <w:rFonts w:ascii="Times New Roman" w:cs="Times New Roman" w:eastAsia="Times New Roman" w:hAnsi="Times New Roman"/>
          <w:sz w:val="21"/>
          <w:szCs w:val="21"/>
          <w:b w:val="1"/>
          <w:bCs w:val="1"/>
          <w:color w:val="auto"/>
        </w:rPr>
        <w:t>Statements Required in Officer’s Certificate and Opinion of Counsel.</w:t>
      </w:r>
    </w:p>
    <w:p>
      <w:pPr>
        <w:spacing w:after="0" w:line="220" w:lineRule="exact"/>
        <w:rPr>
          <w:sz w:val="20"/>
          <w:szCs w:val="20"/>
          <w:color w:val="auto"/>
        </w:rPr>
      </w:pPr>
    </w:p>
    <w:p>
      <w:pPr>
        <w:ind w:firstLine="247"/>
        <w:spacing w:after="0" w:line="275" w:lineRule="auto"/>
        <w:rPr>
          <w:sz w:val="20"/>
          <w:szCs w:val="20"/>
          <w:color w:val="auto"/>
        </w:rPr>
      </w:pPr>
      <w:r>
        <w:rPr>
          <w:rFonts w:ascii="Times New Roman" w:cs="Times New Roman" w:eastAsia="Times New Roman" w:hAnsi="Times New Roman"/>
          <w:sz w:val="22"/>
          <w:szCs w:val="22"/>
          <w:color w:val="auto"/>
        </w:rPr>
        <w:t xml:space="preserve">Each Officer’s Certificate (other than an Officer’s Certificate pursuant to </w:t>
      </w:r>
      <w:r>
        <w:rPr>
          <w:rFonts w:ascii="Times New Roman" w:cs="Times New Roman" w:eastAsia="Times New Roman" w:hAnsi="Times New Roman"/>
          <w:sz w:val="22"/>
          <w:szCs w:val="22"/>
          <w:b w:val="1"/>
          <w:bCs w:val="1"/>
          <w:color w:val="auto"/>
        </w:rPr>
        <w:t>Section 3.05</w:t>
      </w:r>
      <w:r>
        <w:rPr>
          <w:rFonts w:ascii="Times New Roman" w:cs="Times New Roman" w:eastAsia="Times New Roman" w:hAnsi="Times New Roman"/>
          <w:sz w:val="22"/>
          <w:szCs w:val="22"/>
          <w:color w:val="auto"/>
        </w:rPr>
        <w:t>) or Opinion of Counsel with respect to compliance with a covenant or condition provided for in this Indenture will include:</w:t>
      </w:r>
    </w:p>
    <w:p>
      <w:pPr>
        <w:spacing w:after="0" w:line="153" w:lineRule="exact"/>
        <w:rPr>
          <w:sz w:val="20"/>
          <w:szCs w:val="20"/>
          <w:color w:val="auto"/>
        </w:rPr>
      </w:pPr>
    </w:p>
    <w:p>
      <w:pPr>
        <w:ind w:left="1180" w:hanging="524"/>
        <w:spacing w:after="0"/>
        <w:tabs>
          <w:tab w:leader="none" w:pos="118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signatory thereto has read such covenant or condition;</w:t>
      </w:r>
    </w:p>
    <w:p>
      <w:pPr>
        <w:spacing w:after="0" w:line="233" w:lineRule="exact"/>
        <w:rPr>
          <w:rFonts w:ascii="Times New Roman" w:cs="Times New Roman" w:eastAsia="Times New Roman" w:hAnsi="Times New Roman"/>
          <w:sz w:val="22"/>
          <w:szCs w:val="22"/>
          <w:color w:val="auto"/>
        </w:rPr>
      </w:pPr>
    </w:p>
    <w:p>
      <w:pPr>
        <w:ind w:right="20" w:firstLine="656"/>
        <w:spacing w:after="0" w:line="271" w:lineRule="auto"/>
        <w:tabs>
          <w:tab w:leader="none" w:pos="127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therein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18" w:right="339" w:bottom="1440" w:gutter="0" w:footer="0" w:header="0"/>
        </w:sectPr>
      </w:pPr>
    </w:p>
    <w:bookmarkStart w:id="105" w:name="page106"/>
    <w:bookmarkEnd w:id="105"/>
    <w:p>
      <w:pPr>
        <w:jc w:val="both"/>
        <w:ind w:firstLine="656"/>
        <w:spacing w:after="0" w:line="257" w:lineRule="auto"/>
        <w:tabs>
          <w:tab w:leader="none" w:pos="123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8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in the opinion of such signatory, such covenant or condition has been satisfied.</w:t>
      </w:r>
    </w:p>
    <w:p>
      <w:pPr>
        <w:spacing w:after="0" w:line="21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12.04.</w:t>
      </w:r>
      <w:r>
        <w:rPr>
          <w:sz w:val="20"/>
          <w:szCs w:val="20"/>
          <w:color w:val="auto"/>
        </w:rPr>
        <w:tab/>
      </w:r>
      <w:r>
        <w:rPr>
          <w:rFonts w:ascii="Times New Roman" w:cs="Times New Roman" w:eastAsia="Times New Roman" w:hAnsi="Times New Roman"/>
          <w:sz w:val="21"/>
          <w:szCs w:val="21"/>
          <w:b w:val="1"/>
          <w:bCs w:val="1"/>
          <w:color w:val="auto"/>
        </w:rPr>
        <w:t>Rules by the Trustee, the Registrar, the Paying Agent and the Conversion Agent.</w:t>
      </w:r>
    </w:p>
    <w:p>
      <w:pPr>
        <w:spacing w:after="0" w:line="224" w:lineRule="exact"/>
        <w:rPr>
          <w:sz w:val="20"/>
          <w:szCs w:val="20"/>
          <w:color w:val="auto"/>
        </w:rPr>
      </w:pPr>
    </w:p>
    <w:p>
      <w:pPr>
        <w:jc w:val="both"/>
        <w:ind w:firstLine="245"/>
        <w:spacing w:after="0" w:line="271" w:lineRule="auto"/>
        <w:rPr>
          <w:sz w:val="20"/>
          <w:szCs w:val="20"/>
          <w:color w:val="auto"/>
        </w:rPr>
      </w:pPr>
      <w:r>
        <w:rPr>
          <w:rFonts w:ascii="Times New Roman" w:cs="Times New Roman" w:eastAsia="Times New Roman" w:hAnsi="Times New Roman"/>
          <w:sz w:val="22"/>
          <w:szCs w:val="22"/>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12.05.</w:t>
      </w:r>
      <w:r>
        <w:rPr>
          <w:sz w:val="20"/>
          <w:szCs w:val="20"/>
          <w:color w:val="auto"/>
        </w:rPr>
        <w:tab/>
      </w:r>
      <w:r>
        <w:rPr>
          <w:rFonts w:ascii="Times New Roman" w:cs="Times New Roman" w:eastAsia="Times New Roman" w:hAnsi="Times New Roman"/>
          <w:sz w:val="21"/>
          <w:szCs w:val="21"/>
          <w:b w:val="1"/>
          <w:bCs w:val="1"/>
          <w:color w:val="auto"/>
        </w:rPr>
        <w:t>No Personal Liability of Directors, Officers, Employees, Partners and Stockholders.</w:t>
      </w:r>
    </w:p>
    <w:p>
      <w:pPr>
        <w:spacing w:after="0" w:line="237" w:lineRule="exact"/>
        <w:rPr>
          <w:sz w:val="20"/>
          <w:szCs w:val="20"/>
          <w:color w:val="auto"/>
        </w:rPr>
      </w:pPr>
    </w:p>
    <w:p>
      <w:pPr>
        <w:jc w:val="both"/>
        <w:ind w:firstLine="223"/>
        <w:spacing w:after="0" w:line="250" w:lineRule="auto"/>
        <w:rPr>
          <w:sz w:val="20"/>
          <w:szCs w:val="20"/>
          <w:color w:val="auto"/>
        </w:rPr>
      </w:pPr>
      <w:r>
        <w:rPr>
          <w:rFonts w:ascii="Times New Roman" w:cs="Times New Roman" w:eastAsia="Times New Roman" w:hAnsi="Times New Roman"/>
          <w:sz w:val="22"/>
          <w:szCs w:val="22"/>
          <w:color w:val="auto"/>
        </w:rPr>
        <w:t>No past, present or future director, officer, employee, incorporator, partner or stockholder of the Company or any Guarantor, as such, will have any liability for any obligations of the Company or any Guarantor under this Indenture, the Notes or the Guarantees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20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12.06.</w:t>
      </w:r>
      <w:r>
        <w:rPr>
          <w:sz w:val="20"/>
          <w:szCs w:val="20"/>
          <w:color w:val="auto"/>
        </w:rPr>
        <w:tab/>
      </w:r>
      <w:r>
        <w:rPr>
          <w:rFonts w:ascii="Times New Roman" w:cs="Times New Roman" w:eastAsia="Times New Roman" w:hAnsi="Times New Roman"/>
          <w:sz w:val="21"/>
          <w:szCs w:val="21"/>
          <w:b w:val="1"/>
          <w:bCs w:val="1"/>
          <w:color w:val="auto"/>
        </w:rPr>
        <w:t>Governing Law; Waiver of Jury Trial.</w:t>
      </w:r>
    </w:p>
    <w:p>
      <w:pPr>
        <w:spacing w:after="0" w:line="237" w:lineRule="exact"/>
        <w:rPr>
          <w:sz w:val="20"/>
          <w:szCs w:val="20"/>
          <w:color w:val="auto"/>
        </w:rPr>
      </w:pPr>
    </w:p>
    <w:p>
      <w:pPr>
        <w:jc w:val="both"/>
        <w:ind w:firstLine="367"/>
        <w:spacing w:after="0" w:line="250" w:lineRule="auto"/>
        <w:rPr>
          <w:sz w:val="20"/>
          <w:szCs w:val="20"/>
          <w:color w:val="auto"/>
        </w:rPr>
      </w:pPr>
      <w:r>
        <w:rPr>
          <w:rFonts w:ascii="Times New Roman" w:cs="Times New Roman" w:eastAsia="Times New Roman" w:hAnsi="Times New Roman"/>
          <w:sz w:val="22"/>
          <w:szCs w:val="22"/>
          <w:color w:val="auto"/>
        </w:rPr>
        <w:t>THIS INDENTURE, THE GUARANTEES AND THE NOTES, AND ANY CLAIM, CONTROVERSY OR DISPUTE ARISING UNDER OR RELATED TO THIS INDENTURE, THE GUARANTEES OR THE NOTES, WILL BE GOVERNED BY AND CONSTRUED IN ACCORDANCE WITH THE LAWS OF THE STATE OF NEW YORK. EACH OF THE COMPANY, EACH GUARANTOR AND THE TRUSTEE IRREVOCABLY WAIVES, TO THE FULLEST EXTENT PERMITTED BY APPLICABLE LAW, ANY AND ALL RIGHT TO TRIAL BY JURY IN ANY LEGAL PROCEEDING ARISING OUT OF OR RELATING TO THIS INDENTURE, THE NOTES, THE GUARANTEES OR THE TRANSACTIONS CONTEMPLATED BY THIS INDENTURE, THE NOTES OR THE GUARANTEES.</w:t>
      </w:r>
    </w:p>
    <w:p>
      <w:pPr>
        <w:spacing w:after="0" w:line="20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12.07.</w:t>
      </w:r>
      <w:r>
        <w:rPr>
          <w:sz w:val="20"/>
          <w:szCs w:val="20"/>
          <w:color w:val="auto"/>
        </w:rPr>
        <w:tab/>
      </w:r>
      <w:r>
        <w:rPr>
          <w:rFonts w:ascii="Times New Roman" w:cs="Times New Roman" w:eastAsia="Times New Roman" w:hAnsi="Times New Roman"/>
          <w:sz w:val="21"/>
          <w:szCs w:val="21"/>
          <w:b w:val="1"/>
          <w:bCs w:val="1"/>
          <w:color w:val="auto"/>
        </w:rPr>
        <w:t>Submission to Jurisdiction.</w:t>
      </w:r>
    </w:p>
    <w:p>
      <w:pPr>
        <w:spacing w:after="0" w:line="224"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21"/>
          <w:szCs w:val="21"/>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21"/>
          <w:szCs w:val="21"/>
          <w:b w:val="1"/>
          <w:bCs w:val="1"/>
          <w:color w:val="auto"/>
        </w:rPr>
        <w:t>Specified Courts</w:t>
      </w:r>
      <w:r>
        <w:rPr>
          <w:rFonts w:ascii="Times New Roman" w:cs="Times New Roman" w:eastAsia="Times New Roman" w:hAnsi="Times New Roman"/>
          <w:sz w:val="21"/>
          <w:szCs w:val="21"/>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21"/>
          <w:szCs w:val="21"/>
          <w:b w:val="1"/>
          <w:bCs w:val="1"/>
          <w:color w:val="auto"/>
        </w:rPr>
        <w:t>Section 12.01</w:t>
      </w:r>
      <w:r>
        <w:rPr>
          <w:rFonts w:ascii="Times New Roman" w:cs="Times New Roman" w:eastAsia="Times New Roman" w:hAnsi="Times New Roman"/>
          <w:sz w:val="21"/>
          <w:szCs w:val="21"/>
          <w:color w:val="auto"/>
        </w:rPr>
        <w:t xml:space="preserve"> will be effective service of process for any such suit, action or proceeding brought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22"/>
          <w:szCs w:val="22"/>
          <w:color w:val="auto"/>
        </w:rPr>
        <w:t>court. Each of the Company, each Guarantor,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9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12.08.</w:t>
      </w:r>
      <w:r>
        <w:rPr>
          <w:sz w:val="20"/>
          <w:szCs w:val="20"/>
          <w:color w:val="auto"/>
        </w:rPr>
        <w:tab/>
      </w:r>
      <w:r>
        <w:rPr>
          <w:rFonts w:ascii="Times New Roman" w:cs="Times New Roman" w:eastAsia="Times New Roman" w:hAnsi="Times New Roman"/>
          <w:sz w:val="21"/>
          <w:szCs w:val="21"/>
          <w:b w:val="1"/>
          <w:bCs w:val="1"/>
          <w:color w:val="auto"/>
        </w:rPr>
        <w:t>No Adverse Interpretation of Other Agreements.</w:t>
      </w:r>
    </w:p>
    <w:p>
      <w:pPr>
        <w:spacing w:after="0" w:line="22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22"/>
          <w:szCs w:val="22"/>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20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12.09.</w:t>
      </w:r>
      <w:r>
        <w:rPr>
          <w:sz w:val="20"/>
          <w:szCs w:val="20"/>
          <w:color w:val="auto"/>
        </w:rPr>
        <w:tab/>
      </w:r>
      <w:r>
        <w:rPr>
          <w:rFonts w:ascii="Times New Roman" w:cs="Times New Roman" w:eastAsia="Times New Roman" w:hAnsi="Times New Roman"/>
          <w:sz w:val="21"/>
          <w:szCs w:val="21"/>
          <w:b w:val="1"/>
          <w:bCs w:val="1"/>
          <w:color w:val="auto"/>
        </w:rPr>
        <w:t>Successors.</w:t>
      </w:r>
    </w:p>
    <w:p>
      <w:pPr>
        <w:spacing w:after="0" w:line="224"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22"/>
          <w:szCs w:val="22"/>
          <w:color w:val="auto"/>
        </w:rPr>
        <w:t>All agreements of each of the Company and each Guarantor in this Indenture and the Notes will bind its successors. All agreements of the Trustee in this Indenture will bind its successors.</w:t>
      </w:r>
    </w:p>
    <w:p>
      <w:pPr>
        <w:spacing w:after="0" w:line="1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12.10.</w:t>
      </w:r>
      <w:r>
        <w:rPr>
          <w:sz w:val="20"/>
          <w:szCs w:val="20"/>
          <w:color w:val="auto"/>
        </w:rPr>
        <w:tab/>
      </w:r>
      <w:r>
        <w:rPr>
          <w:rFonts w:ascii="Times New Roman" w:cs="Times New Roman" w:eastAsia="Times New Roman" w:hAnsi="Times New Roman"/>
          <w:sz w:val="21"/>
          <w:szCs w:val="21"/>
          <w:b w:val="1"/>
          <w:bCs w:val="1"/>
          <w:color w:val="auto"/>
        </w:rPr>
        <w:t>Force Majeure.</w:t>
      </w:r>
    </w:p>
    <w:p>
      <w:pPr>
        <w:spacing w:after="0" w:line="224" w:lineRule="exact"/>
        <w:rPr>
          <w:sz w:val="20"/>
          <w:szCs w:val="20"/>
          <w:color w:val="auto"/>
        </w:rPr>
      </w:pPr>
    </w:p>
    <w:p>
      <w:pPr>
        <w:jc w:val="both"/>
        <w:ind w:firstLine="277"/>
        <w:spacing w:after="0" w:line="272" w:lineRule="auto"/>
        <w:rPr>
          <w:sz w:val="20"/>
          <w:szCs w:val="20"/>
          <w:color w:val="auto"/>
        </w:rPr>
      </w:pPr>
      <w:r>
        <w:rPr>
          <w:rFonts w:ascii="Times New Roman" w:cs="Times New Roman" w:eastAsia="Times New Roman" w:hAnsi="Times New Roman"/>
          <w:sz w:val="21"/>
          <w:szCs w:val="21"/>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spacing w:after="0" w:line="184"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12.11.</w:t>
      </w:r>
      <w:r>
        <w:rPr>
          <w:sz w:val="20"/>
          <w:szCs w:val="20"/>
          <w:color w:val="auto"/>
        </w:rPr>
        <w:tab/>
      </w:r>
      <w:r>
        <w:rPr>
          <w:rFonts w:ascii="Times New Roman" w:cs="Times New Roman" w:eastAsia="Times New Roman" w:hAnsi="Times New Roman"/>
          <w:sz w:val="21"/>
          <w:szCs w:val="21"/>
          <w:b w:val="1"/>
          <w:bCs w:val="1"/>
          <w:color w:val="auto"/>
        </w:rPr>
        <w:t>U.S.A. PATRIOT Act.</w:t>
      </w:r>
    </w:p>
    <w:p>
      <w:pPr>
        <w:spacing w:after="0" w:line="224" w:lineRule="exact"/>
        <w:rPr>
          <w:sz w:val="20"/>
          <w:szCs w:val="20"/>
          <w:color w:val="auto"/>
        </w:rPr>
      </w:pPr>
    </w:p>
    <w:p>
      <w:pPr>
        <w:jc w:val="both"/>
        <w:ind w:firstLine="256"/>
        <w:spacing w:after="0" w:line="253" w:lineRule="auto"/>
        <w:rPr>
          <w:sz w:val="20"/>
          <w:szCs w:val="20"/>
          <w:color w:val="auto"/>
        </w:rPr>
      </w:pPr>
      <w:r>
        <w:rPr>
          <w:rFonts w:ascii="Times New Roman" w:cs="Times New Roman" w:eastAsia="Times New Roman" w:hAnsi="Times New Roman"/>
          <w:sz w:val="22"/>
          <w:szCs w:val="22"/>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20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12.12.</w:t>
      </w:r>
      <w:r>
        <w:rPr>
          <w:sz w:val="20"/>
          <w:szCs w:val="20"/>
          <w:color w:val="auto"/>
        </w:rPr>
        <w:tab/>
      </w:r>
      <w:r>
        <w:rPr>
          <w:rFonts w:ascii="Times New Roman" w:cs="Times New Roman" w:eastAsia="Times New Roman" w:hAnsi="Times New Roman"/>
          <w:sz w:val="21"/>
          <w:szCs w:val="21"/>
          <w:b w:val="1"/>
          <w:bCs w:val="1"/>
          <w:color w:val="auto"/>
        </w:rPr>
        <w:t>Calculations.</w:t>
      </w:r>
    </w:p>
    <w:p>
      <w:pPr>
        <w:spacing w:after="0" w:line="224" w:lineRule="exact"/>
        <w:rPr>
          <w:sz w:val="20"/>
          <w:szCs w:val="20"/>
          <w:color w:val="auto"/>
        </w:rPr>
      </w:pPr>
    </w:p>
    <w:p>
      <w:pPr>
        <w:jc w:val="both"/>
        <w:ind w:firstLine="263"/>
        <w:spacing w:after="0" w:line="256" w:lineRule="auto"/>
        <w:rPr>
          <w:sz w:val="20"/>
          <w:szCs w:val="20"/>
          <w:color w:val="auto"/>
        </w:rPr>
      </w:pPr>
      <w:r>
        <w:rPr>
          <w:rFonts w:ascii="Times New Roman" w:cs="Times New Roman" w:eastAsia="Times New Roman" w:hAnsi="Times New Roman"/>
          <w:sz w:val="22"/>
          <w:szCs w:val="22"/>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w:t>
      </w:r>
    </w:p>
    <w:p>
      <w:pPr>
        <w:spacing w:after="0" w:line="203" w:lineRule="exact"/>
        <w:rPr>
          <w:sz w:val="20"/>
          <w:szCs w:val="20"/>
          <w:color w:val="auto"/>
        </w:rPr>
      </w:pPr>
    </w:p>
    <w:p>
      <w:pPr>
        <w:jc w:val="both"/>
        <w:ind w:firstLine="241"/>
        <w:spacing w:after="0" w:line="271" w:lineRule="auto"/>
        <w:rPr>
          <w:sz w:val="20"/>
          <w:szCs w:val="20"/>
          <w:color w:val="auto"/>
        </w:rPr>
      </w:pPr>
      <w:r>
        <w:rPr>
          <w:rFonts w:ascii="Times New Roman" w:cs="Times New Roman" w:eastAsia="Times New Roman" w:hAnsi="Times New Roman"/>
          <w:sz w:val="22"/>
          <w:szCs w:val="22"/>
          <w:color w:val="auto"/>
        </w:rPr>
        <w:t>The Company will make all calculations in good faith, and, absent manifest error, its calculations will be final and binding on all Holders. The Company will provide a schedule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22"/>
          <w:szCs w:val="22"/>
          <w:color w:val="auto"/>
        </w:rPr>
        <w:t>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 For the avoidance of doubt, the Trustee will not be obligated to make or confirm any calculations or other amounts called for under this Indenture or the Notes.</w:t>
      </w:r>
    </w:p>
    <w:p>
      <w:pPr>
        <w:spacing w:after="0" w:line="19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12.13.</w:t>
      </w:r>
      <w:r>
        <w:rPr>
          <w:sz w:val="20"/>
          <w:szCs w:val="20"/>
          <w:color w:val="auto"/>
        </w:rPr>
        <w:tab/>
      </w:r>
      <w:r>
        <w:rPr>
          <w:rFonts w:ascii="Times New Roman" w:cs="Times New Roman" w:eastAsia="Times New Roman" w:hAnsi="Times New Roman"/>
          <w:sz w:val="21"/>
          <w:szCs w:val="21"/>
          <w:b w:val="1"/>
          <w:bCs w:val="1"/>
          <w:color w:val="auto"/>
        </w:rPr>
        <w:t>Severability.</w:t>
      </w:r>
    </w:p>
    <w:p>
      <w:pPr>
        <w:spacing w:after="0" w:line="224" w:lineRule="exact"/>
        <w:rPr>
          <w:sz w:val="20"/>
          <w:szCs w:val="20"/>
          <w:color w:val="auto"/>
        </w:rPr>
      </w:pPr>
    </w:p>
    <w:p>
      <w:pPr>
        <w:jc w:val="both"/>
        <w:ind w:right="20" w:firstLine="242"/>
        <w:spacing w:after="0" w:line="271" w:lineRule="auto"/>
        <w:rPr>
          <w:sz w:val="20"/>
          <w:szCs w:val="20"/>
          <w:color w:val="auto"/>
        </w:rPr>
      </w:pPr>
      <w:r>
        <w:rPr>
          <w:rFonts w:ascii="Times New Roman" w:cs="Times New Roman" w:eastAsia="Times New Roman" w:hAnsi="Times New Roman"/>
          <w:sz w:val="22"/>
          <w:szCs w:val="22"/>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Section 12.14.</w:t>
      </w:r>
      <w:r>
        <w:rPr>
          <w:sz w:val="20"/>
          <w:szCs w:val="20"/>
          <w:color w:val="auto"/>
        </w:rPr>
        <w:tab/>
      </w:r>
      <w:r>
        <w:rPr>
          <w:rFonts w:ascii="Times New Roman" w:cs="Times New Roman" w:eastAsia="Times New Roman" w:hAnsi="Times New Roman"/>
          <w:sz w:val="21"/>
          <w:szCs w:val="21"/>
          <w:b w:val="1"/>
          <w:bCs w:val="1"/>
          <w:color w:val="auto"/>
        </w:rPr>
        <w:t>Counterparts.</w:t>
      </w:r>
    </w:p>
    <w:p>
      <w:pPr>
        <w:spacing w:after="0" w:line="237" w:lineRule="exact"/>
        <w:rPr>
          <w:sz w:val="20"/>
          <w:szCs w:val="20"/>
          <w:color w:val="auto"/>
        </w:rPr>
      </w:pPr>
    </w:p>
    <w:p>
      <w:pPr>
        <w:jc w:val="both"/>
        <w:ind w:firstLine="270"/>
        <w:spacing w:after="0" w:line="257" w:lineRule="auto"/>
        <w:rPr>
          <w:sz w:val="20"/>
          <w:szCs w:val="20"/>
          <w:color w:val="auto"/>
        </w:rPr>
      </w:pPr>
      <w:r>
        <w:rPr>
          <w:rFonts w:ascii="Times New Roman" w:cs="Times New Roman" w:eastAsia="Times New Roman" w:hAnsi="Times New Roman"/>
          <w:sz w:val="22"/>
          <w:szCs w:val="22"/>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spacing w:after="0" w:line="19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12.15.</w:t>
      </w:r>
      <w:r>
        <w:rPr>
          <w:sz w:val="20"/>
          <w:szCs w:val="20"/>
          <w:color w:val="auto"/>
        </w:rPr>
        <w:tab/>
      </w:r>
      <w:r>
        <w:rPr>
          <w:rFonts w:ascii="Times New Roman" w:cs="Times New Roman" w:eastAsia="Times New Roman" w:hAnsi="Times New Roman"/>
          <w:sz w:val="21"/>
          <w:szCs w:val="21"/>
          <w:b w:val="1"/>
          <w:bCs w:val="1"/>
          <w:color w:val="auto"/>
        </w:rPr>
        <w:t>Table of Contents, Headings, Etc.</w:t>
      </w:r>
    </w:p>
    <w:p>
      <w:pPr>
        <w:spacing w:after="0" w:line="224" w:lineRule="exact"/>
        <w:rPr>
          <w:sz w:val="20"/>
          <w:szCs w:val="20"/>
          <w:color w:val="auto"/>
        </w:rPr>
      </w:pPr>
    </w:p>
    <w:p>
      <w:pPr>
        <w:jc w:val="both"/>
        <w:ind w:firstLine="284"/>
        <w:spacing w:after="0" w:line="263" w:lineRule="auto"/>
        <w:rPr>
          <w:sz w:val="20"/>
          <w:szCs w:val="20"/>
          <w:color w:val="auto"/>
        </w:rPr>
      </w:pPr>
      <w:r>
        <w:rPr>
          <w:rFonts w:ascii="Times New Roman" w:cs="Times New Roman" w:eastAsia="Times New Roman" w:hAnsi="Times New Roman"/>
          <w:sz w:val="22"/>
          <w:szCs w:val="22"/>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90"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12.16.</w:t>
      </w:r>
      <w:r>
        <w:rPr>
          <w:sz w:val="20"/>
          <w:szCs w:val="20"/>
          <w:color w:val="auto"/>
        </w:rPr>
        <w:tab/>
      </w:r>
      <w:r>
        <w:rPr>
          <w:rFonts w:ascii="Times New Roman" w:cs="Times New Roman" w:eastAsia="Times New Roman" w:hAnsi="Times New Roman"/>
          <w:sz w:val="21"/>
          <w:szCs w:val="21"/>
          <w:b w:val="1"/>
          <w:bCs w:val="1"/>
          <w:color w:val="auto"/>
        </w:rPr>
        <w:t>Withholding Taxes.</w:t>
      </w:r>
    </w:p>
    <w:p>
      <w:pPr>
        <w:spacing w:after="0" w:line="224" w:lineRule="exact"/>
        <w:rPr>
          <w:sz w:val="20"/>
          <w:szCs w:val="20"/>
          <w:color w:val="auto"/>
        </w:rPr>
      </w:pPr>
    </w:p>
    <w:p>
      <w:pPr>
        <w:jc w:val="both"/>
        <w:ind w:firstLine="248"/>
        <w:spacing w:after="0" w:line="250" w:lineRule="auto"/>
        <w:rPr>
          <w:sz w:val="20"/>
          <w:szCs w:val="20"/>
          <w:color w:val="auto"/>
        </w:rPr>
      </w:pPr>
      <w:r>
        <w:rPr>
          <w:rFonts w:ascii="Times New Roman" w:cs="Times New Roman" w:eastAsia="Times New Roman" w:hAnsi="Times New Roman"/>
          <w:sz w:val="22"/>
          <w:szCs w:val="22"/>
          <w:color w:val="auto"/>
        </w:rPr>
        <w:t>Each Holder of a Note agrees, and each beneficial owner of an interest in a Global Note, by its acquisition of such interest, is deemed to agree, that if the Company, any Guarantor or other applicable withholding agent (including the Trustee) pays withholding taxes or backup withholding on behalf of such Holder or beneficial owner as a result of an adjustment or the non-occurrence of an adjustment to the Conversion Rate or otherwise with respect to the Notes, then the Company, such Guarantor or such withholding agent, as applicable, may, at its option,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2" w:right="339" w:bottom="1440" w:gutter="0" w:footer="0" w:header="0"/>
        </w:sectPr>
      </w:pPr>
    </w:p>
    <w:bookmarkStart w:id="108" w:name="page109"/>
    <w:bookmarkEnd w:id="108"/>
    <w:p>
      <w:pPr>
        <w:ind w:firstLine="270"/>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to this Indenture have caused this Indenture to be duly executed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00" w:lineRule="exact"/>
        <w:rPr>
          <w:sz w:val="20"/>
          <w:szCs w:val="20"/>
          <w:color w:val="auto"/>
        </w:rPr>
      </w:pPr>
    </w:p>
    <w:p>
      <w:pPr>
        <w:spacing w:after="0" w:line="24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13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8" w:lineRule="exact"/>
        <w:rPr>
          <w:sz w:val="20"/>
          <w:szCs w:val="20"/>
          <w:color w:val="auto"/>
        </w:rPr>
      </w:pPr>
    </w:p>
    <w:p>
      <w:pPr>
        <w:ind w:left="4380"/>
        <w:spacing w:after="0"/>
        <w:tabs>
          <w:tab w:leader="none" w:pos="51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Megan Faust</w:t>
      </w:r>
    </w:p>
    <w:p>
      <w:pPr>
        <w:spacing w:after="0" w:line="4" w:lineRule="exact"/>
        <w:rPr>
          <w:sz w:val="20"/>
          <w:szCs w:val="20"/>
          <w:color w:val="auto"/>
        </w:rPr>
      </w:pPr>
    </w:p>
    <w:p>
      <w:pPr>
        <w:ind w:left="4380"/>
        <w:spacing w:after="0"/>
        <w:tabs>
          <w:tab w:leader="none" w:pos="5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Chief Financial Officer and Treasurer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Guardian Assets,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13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9" w:lineRule="exact"/>
        <w:rPr>
          <w:sz w:val="20"/>
          <w:szCs w:val="20"/>
          <w:color w:val="auto"/>
        </w:rPr>
      </w:pPr>
    </w:p>
    <w:p>
      <w:pPr>
        <w:ind w:left="4380"/>
        <w:spacing w:after="0"/>
        <w:tabs>
          <w:tab w:leader="none" w:pos="51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Megan Faust</w:t>
      </w:r>
    </w:p>
    <w:p>
      <w:pPr>
        <w:spacing w:after="0" w:line="15" w:lineRule="exact"/>
        <w:rPr>
          <w:sz w:val="20"/>
          <w:szCs w:val="20"/>
          <w:color w:val="auto"/>
        </w:rPr>
      </w:pPr>
    </w:p>
    <w:p>
      <w:pPr>
        <w:ind w:left="4380"/>
        <w:spacing w:after="0"/>
        <w:tabs>
          <w:tab w:leader="none" w:pos="5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Chief Financial Officer and Treasurer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U.S. Bank Trust Company, National Association, as Trustee</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Ivy L. Wegener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54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8" w:lineRule="exact"/>
        <w:rPr>
          <w:sz w:val="20"/>
          <w:szCs w:val="20"/>
          <w:color w:val="auto"/>
        </w:rPr>
      </w:pPr>
    </w:p>
    <w:p>
      <w:pPr>
        <w:ind w:left="4380"/>
        <w:spacing w:after="0"/>
        <w:tabs>
          <w:tab w:leader="none" w:pos="51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Ivy L. Wegener</w:t>
      </w:r>
    </w:p>
    <w:p>
      <w:pPr>
        <w:spacing w:after="0" w:line="4" w:lineRule="exact"/>
        <w:rPr>
          <w:sz w:val="20"/>
          <w:szCs w:val="20"/>
          <w:color w:val="auto"/>
        </w:rPr>
      </w:pPr>
    </w:p>
    <w:p>
      <w:pPr>
        <w:ind w:left="4380"/>
        <w:spacing w:after="0"/>
        <w:tabs>
          <w:tab w:leader="none" w:pos="50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Indenture]</w:t>
      </w:r>
    </w:p>
    <w:p>
      <w:pPr>
        <w:sectPr>
          <w:pgSz w:w="11900" w:h="16838" w:orient="portrait"/>
          <w:cols w:equalWidth="0" w:num="1">
            <w:col w:w="11240"/>
          </w:cols>
          <w:pgMar w:left="320" w:top="1418"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86"/>
        </w:trPr>
        <w:tc>
          <w:tcPr>
            <w:tcW w:w="10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40" w:type="dxa"/>
            <w:vAlign w:val="bottom"/>
          </w:tcPr>
          <w:p>
            <w:pPr>
              <w:ind w:left="3700"/>
              <w:spacing w:after="0"/>
              <w:rPr>
                <w:sz w:val="20"/>
                <w:szCs w:val="20"/>
                <w:color w:val="auto"/>
              </w:rPr>
            </w:pPr>
            <w:r>
              <w:rPr>
                <w:rFonts w:ascii="Times New Roman" w:cs="Times New Roman" w:eastAsia="Times New Roman" w:hAnsi="Times New Roman"/>
                <w:sz w:val="22"/>
                <w:szCs w:val="22"/>
                <w:b w:val="1"/>
                <w:bCs w:val="1"/>
                <w:color w:val="auto"/>
                <w:w w:val="96"/>
              </w:rPr>
              <w:t>EXHIBIT A</w:t>
            </w:r>
          </w:p>
        </w:tc>
      </w:tr>
      <w:tr>
        <w:trPr>
          <w:trHeight w:val="447"/>
        </w:trPr>
        <w:tc>
          <w:tcPr>
            <w:tcW w:w="10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00" w:type="dxa"/>
            <w:vAlign w:val="bottom"/>
            <w:gridSpan w:val="2"/>
          </w:tcPr>
          <w:p>
            <w:pPr>
              <w:jc w:val="center"/>
              <w:ind w:right="4732"/>
              <w:spacing w:after="0"/>
              <w:rPr>
                <w:sz w:val="20"/>
                <w:szCs w:val="20"/>
                <w:color w:val="auto"/>
              </w:rPr>
            </w:pPr>
            <w:r>
              <w:rPr>
                <w:rFonts w:ascii="Times New Roman" w:cs="Times New Roman" w:eastAsia="Times New Roman" w:hAnsi="Times New Roman"/>
                <w:sz w:val="22"/>
                <w:szCs w:val="22"/>
                <w:color w:val="auto"/>
                <w:w w:val="97"/>
              </w:rPr>
              <w:t>FORM OF NOTE</w:t>
            </w:r>
          </w:p>
        </w:tc>
      </w:tr>
      <w:tr>
        <w:trPr>
          <w:trHeight w:val="20"/>
        </w:trPr>
        <w:tc>
          <w:tcPr>
            <w:tcW w:w="10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532"/>
        </w:trPr>
        <w:tc>
          <w:tcPr>
            <w:tcW w:w="1060" w:type="dxa"/>
            <w:vAlign w:val="bottom"/>
          </w:tcPr>
          <w:p>
            <w:pPr>
              <w:spacing w:after="0"/>
              <w:rPr>
                <w:sz w:val="24"/>
                <w:szCs w:val="24"/>
                <w:color w:val="auto"/>
              </w:rPr>
            </w:pPr>
          </w:p>
        </w:tc>
        <w:tc>
          <w:tcPr>
            <w:tcW w:w="10180" w:type="dxa"/>
            <w:vAlign w:val="bottom"/>
            <w:gridSpan w:val="3"/>
          </w:tcPr>
          <w:p>
            <w:pPr>
              <w:jc w:val="center"/>
              <w:ind w:right="952"/>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22"/>
                <w:szCs w:val="22"/>
                <w:i w:val="1"/>
                <w:iCs w:val="1"/>
                <w:color w:val="auto"/>
                <w:w w:val="97"/>
              </w:rPr>
              <w:t>Insert Global Note Legend, if applicable</w:t>
            </w:r>
            <w:r>
              <w:rPr>
                <w:rFonts w:ascii="Times New Roman" w:cs="Times New Roman" w:eastAsia="Times New Roman" w:hAnsi="Times New Roman"/>
                <w:sz w:val="22"/>
                <w:szCs w:val="22"/>
                <w:color w:val="auto"/>
                <w:w w:val="97"/>
              </w:rPr>
              <w:t>]</w:t>
            </w:r>
          </w:p>
        </w:tc>
      </w:tr>
      <w:tr>
        <w:trPr>
          <w:trHeight w:val="513"/>
        </w:trPr>
        <w:tc>
          <w:tcPr>
            <w:tcW w:w="1060" w:type="dxa"/>
            <w:vAlign w:val="bottom"/>
          </w:tcPr>
          <w:p>
            <w:pPr>
              <w:spacing w:after="0"/>
              <w:rPr>
                <w:sz w:val="24"/>
                <w:szCs w:val="24"/>
                <w:color w:val="auto"/>
              </w:rPr>
            </w:pPr>
          </w:p>
        </w:tc>
        <w:tc>
          <w:tcPr>
            <w:tcW w:w="10180" w:type="dxa"/>
            <w:vAlign w:val="bottom"/>
            <w:gridSpan w:val="3"/>
          </w:tcPr>
          <w:p>
            <w:pPr>
              <w:jc w:val="center"/>
              <w:ind w:right="952"/>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Insert Restricted Note Legend, if applicable</w:t>
            </w:r>
            <w:r>
              <w:rPr>
                <w:rFonts w:ascii="Times New Roman" w:cs="Times New Roman" w:eastAsia="Times New Roman" w:hAnsi="Times New Roman"/>
                <w:sz w:val="22"/>
                <w:szCs w:val="22"/>
                <w:color w:val="auto"/>
                <w:w w:val="98"/>
              </w:rPr>
              <w:t>]</w:t>
            </w:r>
          </w:p>
        </w:tc>
      </w:tr>
      <w:tr>
        <w:trPr>
          <w:trHeight w:val="499"/>
        </w:trPr>
        <w:tc>
          <w:tcPr>
            <w:tcW w:w="1060" w:type="dxa"/>
            <w:vAlign w:val="bottom"/>
          </w:tcPr>
          <w:p>
            <w:pPr>
              <w:spacing w:after="0"/>
              <w:rPr>
                <w:sz w:val="24"/>
                <w:szCs w:val="24"/>
                <w:color w:val="auto"/>
              </w:rPr>
            </w:pPr>
          </w:p>
        </w:tc>
        <w:tc>
          <w:tcPr>
            <w:tcW w:w="10180" w:type="dxa"/>
            <w:vAlign w:val="bottom"/>
            <w:gridSpan w:val="3"/>
          </w:tcPr>
          <w:p>
            <w:pPr>
              <w:jc w:val="center"/>
              <w:ind w:right="952"/>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i w:val="1"/>
                <w:iCs w:val="1"/>
                <w:color w:val="auto"/>
                <w:w w:val="98"/>
              </w:rPr>
              <w:t>Insert Non-Affiliate Legend</w:t>
            </w:r>
            <w:r>
              <w:rPr>
                <w:rFonts w:ascii="Times New Roman" w:cs="Times New Roman" w:eastAsia="Times New Roman" w:hAnsi="Times New Roman"/>
                <w:sz w:val="22"/>
                <w:szCs w:val="22"/>
                <w:color w:val="auto"/>
                <w:w w:val="98"/>
              </w:rPr>
              <w:t>]</w:t>
            </w:r>
          </w:p>
        </w:tc>
      </w:tr>
      <w:tr>
        <w:trPr>
          <w:trHeight w:val="500"/>
        </w:trPr>
        <w:tc>
          <w:tcPr>
            <w:tcW w:w="1060" w:type="dxa"/>
            <w:vAlign w:val="bottom"/>
          </w:tcPr>
          <w:p>
            <w:pPr>
              <w:spacing w:after="0"/>
              <w:rPr>
                <w:sz w:val="24"/>
                <w:szCs w:val="24"/>
                <w:color w:val="auto"/>
              </w:rPr>
            </w:pPr>
          </w:p>
        </w:tc>
        <w:tc>
          <w:tcPr>
            <w:tcW w:w="10180" w:type="dxa"/>
            <w:vAlign w:val="bottom"/>
            <w:gridSpan w:val="3"/>
          </w:tcPr>
          <w:p>
            <w:pPr>
              <w:jc w:val="center"/>
              <w:ind w:right="932"/>
              <w:spacing w:after="0"/>
              <w:rPr>
                <w:sz w:val="20"/>
                <w:szCs w:val="20"/>
                <w:color w:val="auto"/>
              </w:rPr>
            </w:pPr>
            <w:r>
              <w:rPr>
                <w:rFonts w:ascii="Times New Roman" w:cs="Times New Roman" w:eastAsia="Times New Roman" w:hAnsi="Times New Roman"/>
                <w:sz w:val="22"/>
                <w:szCs w:val="22"/>
                <w:b w:val="1"/>
                <w:bCs w:val="1"/>
                <w:color w:val="auto"/>
                <w:w w:val="97"/>
              </w:rPr>
              <w:t>AMKOR TECHNOLOGY, INC.</w:t>
            </w:r>
          </w:p>
        </w:tc>
      </w:tr>
      <w:tr>
        <w:trPr>
          <w:trHeight w:val="499"/>
        </w:trPr>
        <w:tc>
          <w:tcPr>
            <w:tcW w:w="1060" w:type="dxa"/>
            <w:vAlign w:val="bottom"/>
          </w:tcPr>
          <w:p>
            <w:pPr>
              <w:spacing w:after="0"/>
              <w:rPr>
                <w:sz w:val="24"/>
                <w:szCs w:val="24"/>
                <w:color w:val="auto"/>
              </w:rPr>
            </w:pPr>
          </w:p>
        </w:tc>
        <w:tc>
          <w:tcPr>
            <w:tcW w:w="10180" w:type="dxa"/>
            <w:vAlign w:val="bottom"/>
            <w:gridSpan w:val="3"/>
          </w:tcPr>
          <w:p>
            <w:pPr>
              <w:jc w:val="center"/>
              <w:ind w:right="952"/>
              <w:spacing w:after="0"/>
              <w:rPr>
                <w:sz w:val="20"/>
                <w:szCs w:val="20"/>
                <w:color w:val="auto"/>
              </w:rPr>
            </w:pPr>
            <w:r>
              <w:rPr>
                <w:rFonts w:ascii="Times New Roman" w:cs="Times New Roman" w:eastAsia="Times New Roman" w:hAnsi="Times New Roman"/>
                <w:sz w:val="22"/>
                <w:szCs w:val="22"/>
                <w:b w:val="1"/>
                <w:bCs w:val="1"/>
                <w:color w:val="auto"/>
                <w:w w:val="98"/>
              </w:rPr>
              <w:t>0.00% Convertible Senior Note due 2031</w:t>
            </w:r>
          </w:p>
        </w:tc>
      </w:tr>
      <w:tr>
        <w:trPr>
          <w:trHeight w:val="481"/>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w w:val="97"/>
              </w:rPr>
              <w:t>CUSIP No.:</w:t>
            </w:r>
          </w:p>
        </w:tc>
        <w:tc>
          <w:tcPr>
            <w:tcW w:w="1018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[___][</w:t>
            </w:r>
            <w:r>
              <w:rPr>
                <w:rFonts w:ascii="Times New Roman" w:cs="Times New Roman" w:eastAsia="Times New Roman" w:hAnsi="Times New Roman"/>
                <w:sz w:val="22"/>
                <w:szCs w:val="22"/>
                <w:i w:val="1"/>
                <w:iCs w:val="1"/>
                <w:color w:val="auto"/>
              </w:rPr>
              <w:t>Insert for a “restricted” CUSIP number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Certificate No. [___]</w:t>
            </w:r>
          </w:p>
        </w:tc>
      </w:tr>
      <w:tr>
        <w:trPr>
          <w:trHeight w:val="371"/>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ISIN No.:</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[___][</w:t>
            </w:r>
            <w:r>
              <w:rPr>
                <w:rFonts w:ascii="Times New Roman" w:cs="Times New Roman" w:eastAsia="Times New Roman" w:hAnsi="Times New Roman"/>
                <w:sz w:val="22"/>
                <w:szCs w:val="22"/>
                <w:i w:val="1"/>
                <w:iCs w:val="1"/>
                <w:color w:val="auto"/>
              </w:rPr>
              <w:t>Insert for a “restricted” ISIN number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tc>
      </w:tr>
    </w:tbl>
    <w:p>
      <w:pPr>
        <w:spacing w:after="0" w:line="134" w:lineRule="exact"/>
        <w:rPr>
          <w:sz w:val="20"/>
          <w:szCs w:val="20"/>
          <w:color w:val="auto"/>
        </w:rPr>
      </w:pPr>
    </w:p>
    <w:p>
      <w:pPr>
        <w:jc w:val="both"/>
        <w:ind w:firstLine="206"/>
        <w:spacing w:after="0" w:line="233" w:lineRule="auto"/>
        <w:rPr>
          <w:sz w:val="20"/>
          <w:szCs w:val="20"/>
          <w:color w:val="auto"/>
        </w:rPr>
      </w:pPr>
      <w:r>
        <w:rPr>
          <w:rFonts w:ascii="Times New Roman" w:cs="Times New Roman" w:eastAsia="Times New Roman" w:hAnsi="Times New Roman"/>
          <w:sz w:val="22"/>
          <w:szCs w:val="22"/>
          <w:color w:val="auto"/>
        </w:rPr>
        <w:t>Amkor Technology, Inc., a Delaware corporation,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on July 15, 2031, to the extent applicable, to pay Special Interest and Additional Interest thereon, as provided in the Indenture referred to below, until the principal and all accrued and unpaid interest, if any, are paid or duly provided for.</w:t>
      </w:r>
    </w:p>
    <w:p>
      <w:pPr>
        <w:spacing w:after="0" w:line="220"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2"/>
          <w:szCs w:val="22"/>
          <w:color w:val="auto"/>
        </w:rPr>
        <w:t>Interest Payment Dates:</w:t>
      </w:r>
      <w:r>
        <w:rPr>
          <w:sz w:val="20"/>
          <w:szCs w:val="20"/>
          <w:color w:val="auto"/>
        </w:rPr>
        <w:tab/>
      </w:r>
      <w:r>
        <w:rPr>
          <w:rFonts w:ascii="Times New Roman" w:cs="Times New Roman" w:eastAsia="Times New Roman" w:hAnsi="Times New Roman"/>
          <w:sz w:val="21"/>
          <w:szCs w:val="21"/>
          <w:color w:val="auto"/>
        </w:rPr>
        <w:t>January 15 and July 15 of each year.</w:t>
      </w:r>
    </w:p>
    <w:p>
      <w:pPr>
        <w:spacing w:after="0" w:line="26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Interest Record Dates:</w:t>
      </w:r>
      <w:r>
        <w:rPr>
          <w:sz w:val="20"/>
          <w:szCs w:val="20"/>
          <w:color w:val="auto"/>
        </w:rPr>
        <w:tab/>
      </w:r>
      <w:r>
        <w:rPr>
          <w:rFonts w:ascii="Times New Roman" w:cs="Times New Roman" w:eastAsia="Times New Roman" w:hAnsi="Times New Roman"/>
          <w:sz w:val="21"/>
          <w:szCs w:val="21"/>
          <w:color w:val="auto"/>
        </w:rPr>
        <w:t>January 1 and July 1.</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Additional provisions of this Note are set forth on the other side of this Note.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The Remainder of This Page Intentionally Left Blank; 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64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60" w:right="20" w:hanging="152"/>
        <w:spacing w:after="0" w:line="229" w:lineRule="auto"/>
        <w:tabs>
          <w:tab w:leader="none" w:pos="274"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p>
      <w:pPr>
        <w:ind w:left="240" w:hanging="232"/>
        <w:spacing w:after="0" w:line="196" w:lineRule="auto"/>
        <w:tabs>
          <w:tab w:leader="none" w:pos="24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bracketed language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110" w:name="page111"/>
    <w:bookmarkEnd w:id="110"/>
    <w:p>
      <w:pPr>
        <w:ind w:firstLine="256"/>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Amkor Technology, Inc. has caused this instrument to be duly executed as of the date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00" w:lineRule="exact"/>
        <w:rPr>
          <w:sz w:val="20"/>
          <w:szCs w:val="20"/>
          <w:color w:val="auto"/>
        </w:rPr>
      </w:pPr>
    </w:p>
    <w:p>
      <w:pPr>
        <w:spacing w:after="0" w:line="24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274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-13970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1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U.S. Bank Trust Company, National Association, as Trustee, certifies that this is one of the Notes referred to in the within-mentioned Indenture.</w:t>
      </w:r>
    </w:p>
    <w:p>
      <w:pPr>
        <w:spacing w:after="0" w:line="19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274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1186180</wp:posOffset>
            </wp:positionH>
            <wp:positionV relativeFrom="paragraph">
              <wp:posOffset>-13970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AMKOR TECHNOLOGY, INC.</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0.00% Convertible Senior Note due 2031</w:t>
      </w:r>
    </w:p>
    <w:p>
      <w:pPr>
        <w:spacing w:after="0" w:line="247" w:lineRule="exact"/>
        <w:rPr>
          <w:sz w:val="20"/>
          <w:szCs w:val="20"/>
          <w:color w:val="auto"/>
        </w:rPr>
      </w:pPr>
    </w:p>
    <w:p>
      <w:pPr>
        <w:jc w:val="both"/>
        <w:ind w:firstLine="278"/>
        <w:spacing w:after="0" w:line="254" w:lineRule="auto"/>
        <w:rPr>
          <w:sz w:val="20"/>
          <w:szCs w:val="20"/>
          <w:color w:val="auto"/>
        </w:rPr>
      </w:pPr>
      <w:r>
        <w:rPr>
          <w:rFonts w:ascii="Times New Roman" w:cs="Times New Roman" w:eastAsia="Times New Roman" w:hAnsi="Times New Roman"/>
          <w:sz w:val="22"/>
          <w:szCs w:val="22"/>
          <w:color w:val="auto"/>
        </w:rPr>
        <w:t>This Note is one of a duly authorized issue of notes of Amkor Technology,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designated as its 0.00% Convertible Senior Notes due 2031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all issued or to be issued pursuant to an indenture, dated as of May 5, 2026 (as the same may be amended from time to time,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among the Company, the Guarantors and U.S. Bank Trust Company, National Association, as trustee. Capitalized terms used in this Note without definition have the respective meanings ascribed to them in the Indenture.</w:t>
      </w:r>
    </w:p>
    <w:p>
      <w:pPr>
        <w:spacing w:after="0" w:line="204"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22"/>
          <w:szCs w:val="22"/>
          <w:color w:val="auto"/>
        </w:rPr>
        <w:t>The Indenture sets forth the rights and obligations of the Company, the Guarantors,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90" w:lineRule="exact"/>
        <w:rPr>
          <w:sz w:val="20"/>
          <w:szCs w:val="20"/>
          <w:color w:val="auto"/>
        </w:rPr>
      </w:pPr>
    </w:p>
    <w:p>
      <w:pPr>
        <w:jc w:val="both"/>
        <w:ind w:firstLine="656"/>
        <w:spacing w:after="0" w:line="259" w:lineRule="auto"/>
        <w:tabs>
          <w:tab w:leader="none" w:pos="11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This Note will not bear regular interest, and the principal amount of this Note will not accrete. Special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and Additional Interest will accrue on this Note in the circumstances, at the rates, and payable on the dates, and in the manner, set forth in Sections 2.05, 3.04 and 7.03 of the Indenture.</w:t>
      </w:r>
    </w:p>
    <w:p>
      <w:pPr>
        <w:spacing w:after="0" w:line="19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Maturity</w:t>
      </w:r>
      <w:r>
        <w:rPr>
          <w:rFonts w:ascii="Times New Roman" w:cs="Times New Roman" w:eastAsia="Times New Roman" w:hAnsi="Times New Roman"/>
          <w:sz w:val="22"/>
          <w:szCs w:val="22"/>
          <w:color w:val="auto"/>
        </w:rPr>
        <w:t>. This Note will mature on July 15, 2031, unless earlier repurchased, redeemed or Converted.</w:t>
      </w:r>
    </w:p>
    <w:p>
      <w:pPr>
        <w:spacing w:after="0" w:line="260" w:lineRule="exact"/>
        <w:rPr>
          <w:rFonts w:ascii="Times New Roman" w:cs="Times New Roman" w:eastAsia="Times New Roman" w:hAnsi="Times New Roman"/>
          <w:sz w:val="22"/>
          <w:szCs w:val="22"/>
          <w:color w:val="auto"/>
        </w:rPr>
      </w:pPr>
    </w:p>
    <w:p>
      <w:pPr>
        <w:ind w:firstLine="656"/>
        <w:spacing w:after="0" w:line="275" w:lineRule="auto"/>
        <w:tabs>
          <w:tab w:leader="none" w:pos="10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Guarantees</w:t>
      </w:r>
      <w:r>
        <w:rPr>
          <w:rFonts w:ascii="Times New Roman" w:cs="Times New Roman" w:eastAsia="Times New Roman" w:hAnsi="Times New Roman"/>
          <w:sz w:val="22"/>
          <w:szCs w:val="22"/>
          <w:color w:val="auto"/>
        </w:rPr>
        <w:t>. The Company’s obligations under the Indenture and the Notes are fully and unconditionally guaranteed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Guarantors as provided in Article 9 of the Indenture.</w:t>
      </w:r>
    </w:p>
    <w:p>
      <w:pPr>
        <w:spacing w:after="0" w:line="17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Method of Payment</w:t>
      </w:r>
      <w:r>
        <w:rPr>
          <w:rFonts w:ascii="Times New Roman" w:cs="Times New Roman" w:eastAsia="Times New Roman" w:hAnsi="Times New Roman"/>
          <w:sz w:val="22"/>
          <w:szCs w:val="22"/>
          <w:color w:val="auto"/>
        </w:rPr>
        <w:t>. Cash amounts due on this Note will be paid in the manner set forth in Section 2.04 of the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21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Persons Deemed Owners</w:t>
      </w:r>
      <w:r>
        <w:rPr>
          <w:rFonts w:ascii="Times New Roman" w:cs="Times New Roman" w:eastAsia="Times New Roman" w:hAnsi="Times New Roman"/>
          <w:sz w:val="22"/>
          <w:szCs w:val="22"/>
          <w:color w:val="auto"/>
        </w:rPr>
        <w:t>. The Holder of this Note will be treated as the owner of this Note for all purposes.</w:t>
      </w:r>
    </w:p>
    <w:p>
      <w:pPr>
        <w:spacing w:after="0" w:line="260" w:lineRule="exact"/>
        <w:rPr>
          <w:rFonts w:ascii="Times New Roman" w:cs="Times New Roman" w:eastAsia="Times New Roman" w:hAnsi="Times New Roman"/>
          <w:sz w:val="22"/>
          <w:szCs w:val="22"/>
          <w:color w:val="auto"/>
        </w:rPr>
      </w:pPr>
    </w:p>
    <w:p>
      <w:pPr>
        <w:jc w:val="both"/>
        <w:ind w:firstLine="656"/>
        <w:spacing w:after="0" w:line="259" w:lineRule="auto"/>
        <w:tabs>
          <w:tab w:leader="none" w:pos="113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Denominations; Transfers and Exchanges</w:t>
      </w:r>
      <w:r>
        <w:rPr>
          <w:rFonts w:ascii="Times New Roman" w:cs="Times New Roman" w:eastAsia="Times New Roman" w:hAnsi="Times New Roman"/>
          <w:sz w:val="22"/>
          <w:szCs w:val="22"/>
          <w:color w:val="auto"/>
        </w:rPr>
        <w:t>. All Notes will be in registered form, without coupons, in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equal to any Authorized Denominations. Subject to the terms of the Indenture, the Holder of this Note may transfer or exchange this Note by presenting it to the Registrar and delivering any required documentation or other materials.</w:t>
      </w:r>
    </w:p>
    <w:p>
      <w:pPr>
        <w:spacing w:after="0" w:line="193" w:lineRule="exact"/>
        <w:rPr>
          <w:rFonts w:ascii="Times New Roman" w:cs="Times New Roman" w:eastAsia="Times New Roman" w:hAnsi="Times New Roman"/>
          <w:sz w:val="22"/>
          <w:szCs w:val="22"/>
          <w:color w:val="auto"/>
        </w:rPr>
      </w:pPr>
    </w:p>
    <w:p>
      <w:pPr>
        <w:jc w:val="both"/>
        <w:ind w:firstLine="656"/>
        <w:spacing w:after="0" w:line="258" w:lineRule="auto"/>
        <w:tabs>
          <w:tab w:leader="none" w:pos="102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Holders to Require the Company to Repurchase Notes Upon a Fundamental Change</w:t>
      </w:r>
      <w:r>
        <w:rPr>
          <w:rFonts w:ascii="Times New Roman" w:cs="Times New Roman" w:eastAsia="Times New Roman" w:hAnsi="Times New Roman"/>
          <w:sz w:val="22"/>
          <w:szCs w:val="22"/>
          <w:color w:val="auto"/>
        </w:rPr>
        <w:t>. If a Fundamental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18" w:right="339" w:bottom="1440" w:gutter="0" w:footer="0" w:header="0"/>
        </w:sectPr>
      </w:pPr>
    </w:p>
    <w:bookmarkStart w:id="113" w:name="page114"/>
    <w:bookmarkEnd w:id="113"/>
    <w:p>
      <w:pPr>
        <w:ind w:firstLine="656"/>
        <w:spacing w:after="0" w:line="275" w:lineRule="auto"/>
        <w:tabs>
          <w:tab w:leader="none" w:pos="105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 of the Company to Redeem the Notes</w:t>
      </w:r>
      <w:r>
        <w:rPr>
          <w:rFonts w:ascii="Times New Roman" w:cs="Times New Roman" w:eastAsia="Times New Roman" w:hAnsi="Times New Roman"/>
          <w:sz w:val="22"/>
          <w:szCs w:val="22"/>
          <w:color w:val="auto"/>
        </w:rPr>
        <w:t>. The Company will have the right to redeem the Notes for cash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and subject to the terms, set forth in Section 4.03 of the Indenture.</w:t>
      </w:r>
    </w:p>
    <w:p>
      <w:pPr>
        <w:spacing w:after="0" w:line="176" w:lineRule="exact"/>
        <w:rPr>
          <w:rFonts w:ascii="Times New Roman" w:cs="Times New Roman" w:eastAsia="Times New Roman" w:hAnsi="Times New Roman"/>
          <w:sz w:val="22"/>
          <w:szCs w:val="22"/>
          <w:color w:val="auto"/>
        </w:rPr>
      </w:pPr>
    </w:p>
    <w:p>
      <w:pPr>
        <w:ind w:right="20" w:firstLine="656"/>
        <w:spacing w:after="0" w:line="287" w:lineRule="auto"/>
        <w:tabs>
          <w:tab w:leader="none" w:pos="113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The Holder of this Note may Convert this Note into Conversion Consideration in the manner,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set forth in Article 5 of the Indenture.</w:t>
      </w:r>
    </w:p>
    <w:p>
      <w:pPr>
        <w:spacing w:after="0" w:line="164" w:lineRule="exact"/>
        <w:rPr>
          <w:rFonts w:ascii="Times New Roman" w:cs="Times New Roman" w:eastAsia="Times New Roman" w:hAnsi="Times New Roman"/>
          <w:sz w:val="22"/>
          <w:szCs w:val="22"/>
          <w:color w:val="auto"/>
        </w:rPr>
      </w:pPr>
    </w:p>
    <w:p>
      <w:pPr>
        <w:ind w:firstLine="656"/>
        <w:spacing w:after="0" w:line="275" w:lineRule="auto"/>
        <w:tabs>
          <w:tab w:leader="none" w:pos="122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When the Company May Merge, Etc</w:t>
      </w:r>
      <w:r>
        <w:rPr>
          <w:rFonts w:ascii="Times New Roman" w:cs="Times New Roman" w:eastAsia="Times New Roman" w:hAnsi="Times New Roman"/>
          <w:sz w:val="22"/>
          <w:szCs w:val="22"/>
          <w:color w:val="auto"/>
        </w:rPr>
        <w:t>. Article 6 of the Indenture places limited restrictions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ability to be a party to a Business Combination Event.</w:t>
      </w:r>
    </w:p>
    <w:p>
      <w:pPr>
        <w:spacing w:after="0" w:line="176" w:lineRule="exact"/>
        <w:rPr>
          <w:rFonts w:ascii="Times New Roman" w:cs="Times New Roman" w:eastAsia="Times New Roman" w:hAnsi="Times New Roman"/>
          <w:sz w:val="22"/>
          <w:szCs w:val="22"/>
          <w:color w:val="auto"/>
        </w:rPr>
      </w:pPr>
    </w:p>
    <w:p>
      <w:pPr>
        <w:jc w:val="both"/>
        <w:ind w:firstLine="656"/>
        <w:spacing w:after="0" w:line="265" w:lineRule="auto"/>
        <w:tabs>
          <w:tab w:leader="none" w:pos="11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Defaults and Remedies</w:t>
      </w:r>
      <w:r>
        <w:rPr>
          <w:rFonts w:ascii="Times New Roman" w:cs="Times New Roman" w:eastAsia="Times New Roman" w:hAnsi="Times New Roman"/>
          <w:sz w:val="22"/>
          <w:szCs w:val="22"/>
          <w:color w:val="auto"/>
        </w:rPr>
        <w:t>. If an Event of Default occurs, then the principal amount of, and all accrued and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if any, on, all of the Notes then outstanding may (and, in certain circumstances, will automatically) become due and payable in the manner, and subject to the terms, set forth in Article 7 of the Indenture.</w:t>
      </w:r>
    </w:p>
    <w:p>
      <w:pPr>
        <w:spacing w:after="0" w:line="188" w:lineRule="exact"/>
        <w:rPr>
          <w:rFonts w:ascii="Times New Roman" w:cs="Times New Roman" w:eastAsia="Times New Roman" w:hAnsi="Times New Roman"/>
          <w:sz w:val="22"/>
          <w:szCs w:val="22"/>
          <w:color w:val="auto"/>
        </w:rPr>
      </w:pPr>
    </w:p>
    <w:p>
      <w:pPr>
        <w:jc w:val="both"/>
        <w:ind w:firstLine="656"/>
        <w:spacing w:after="0" w:line="259" w:lineRule="auto"/>
        <w:tabs>
          <w:tab w:leader="none" w:pos="136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Supplements and Waivers</w:t>
      </w:r>
      <w:r>
        <w:rPr>
          <w:rFonts w:ascii="Times New Roman" w:cs="Times New Roman" w:eastAsia="Times New Roman" w:hAnsi="Times New Roman"/>
          <w:sz w:val="22"/>
          <w:szCs w:val="22"/>
          <w:color w:val="auto"/>
        </w:rPr>
        <w:t>. The Company, the Guarantors and the Trustee may amend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 the Indenture, the Notes or the Guarantees or waive compliance with any provision of the Indenture, the Notes or the Guarantees in the manner, and subject to the terms, set forth in Section 7.05 and Article 8 of the Indenture.</w:t>
      </w:r>
    </w:p>
    <w:p>
      <w:pPr>
        <w:spacing w:after="0" w:line="193" w:lineRule="exact"/>
        <w:rPr>
          <w:rFonts w:ascii="Times New Roman" w:cs="Times New Roman" w:eastAsia="Times New Roman" w:hAnsi="Times New Roman"/>
          <w:sz w:val="22"/>
          <w:szCs w:val="22"/>
          <w:color w:val="auto"/>
        </w:rPr>
      </w:pPr>
    </w:p>
    <w:p>
      <w:pPr>
        <w:jc w:val="both"/>
        <w:ind w:firstLine="656"/>
        <w:spacing w:after="0" w:line="254" w:lineRule="auto"/>
        <w:tabs>
          <w:tab w:leader="none" w:pos="116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Personal Liability of Directors, Officers, Employees, Partners and Stockholders</w:t>
      </w:r>
      <w:r>
        <w:rPr>
          <w:rFonts w:ascii="Times New Roman" w:cs="Times New Roman" w:eastAsia="Times New Roman" w:hAnsi="Times New Roman"/>
          <w:sz w:val="22"/>
          <w:szCs w:val="22"/>
          <w:color w:val="auto"/>
        </w:rPr>
        <w:t>. No past, present or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 officer, employee, incorporator, partner or stockholder of the Company or any Guarantor, as such, will have any liability for any obligations of the Company or any Guarantor under the Indenture, the Notes or the Guarantees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200" w:lineRule="exact"/>
        <w:rPr>
          <w:rFonts w:ascii="Times New Roman" w:cs="Times New Roman" w:eastAsia="Times New Roman" w:hAnsi="Times New Roman"/>
          <w:sz w:val="22"/>
          <w:szCs w:val="22"/>
          <w:color w:val="auto"/>
        </w:rPr>
      </w:pPr>
    </w:p>
    <w:p>
      <w:pPr>
        <w:jc w:val="both"/>
        <w:ind w:firstLine="656"/>
        <w:spacing w:after="0" w:line="265" w:lineRule="auto"/>
        <w:tabs>
          <w:tab w:leader="none" w:pos="118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Authentication</w:t>
      </w:r>
      <w:r>
        <w:rPr>
          <w:rFonts w:ascii="Times New Roman" w:cs="Times New Roman" w:eastAsia="Times New Roman" w:hAnsi="Times New Roman"/>
          <w:sz w:val="22"/>
          <w:szCs w:val="22"/>
          <w:color w:val="auto"/>
        </w:rPr>
        <w:t>. No Note will be valid until it is authenticated by the Trustee. A Note will be deemed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authenticated only when an authorized signatory of the Trustee (or a duly appointed authenticating agent) manually signs the certificate of authentication of such Note.</w:t>
      </w:r>
    </w:p>
    <w:p>
      <w:pPr>
        <w:spacing w:after="0" w:line="188" w:lineRule="exact"/>
        <w:rPr>
          <w:rFonts w:ascii="Times New Roman" w:cs="Times New Roman" w:eastAsia="Times New Roman" w:hAnsi="Times New Roman"/>
          <w:sz w:val="22"/>
          <w:szCs w:val="22"/>
          <w:color w:val="auto"/>
        </w:rPr>
      </w:pPr>
    </w:p>
    <w:p>
      <w:pPr>
        <w:jc w:val="both"/>
        <w:ind w:firstLine="656"/>
        <w:spacing w:after="0" w:line="259" w:lineRule="auto"/>
        <w:tabs>
          <w:tab w:leader="none" w:pos="117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Abbreviations</w:t>
      </w:r>
      <w:r>
        <w:rPr>
          <w:rFonts w:ascii="Times New Roman" w:cs="Times New Roman" w:eastAsia="Times New Roman" w:hAnsi="Times New Roman"/>
          <w:sz w:val="22"/>
          <w:szCs w:val="22"/>
          <w:color w:val="auto"/>
        </w:rPr>
        <w:t>. Customary abbreviations may be used in the name of a Holder or its assignee, such as TEN COM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in common), TEN ENT (tenants by the entireties), JT TEN (joint tenants with right of survivorship and not as tenants in common), CUST (custodian), and U/G/M/A (Uniform Gift to Minors Act).</w:t>
      </w:r>
    </w:p>
    <w:p>
      <w:pPr>
        <w:spacing w:after="0" w:line="193" w:lineRule="exact"/>
        <w:rPr>
          <w:rFonts w:ascii="Times New Roman" w:cs="Times New Roman" w:eastAsia="Times New Roman" w:hAnsi="Times New Roman"/>
          <w:sz w:val="22"/>
          <w:szCs w:val="22"/>
          <w:color w:val="auto"/>
        </w:rPr>
      </w:pPr>
    </w:p>
    <w:p>
      <w:pPr>
        <w:jc w:val="both"/>
        <w:ind w:firstLine="656"/>
        <w:spacing w:after="0" w:line="265" w:lineRule="auto"/>
        <w:tabs>
          <w:tab w:leader="none" w:pos="125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NOTE, AND ANY CLAIM, CONTROVERSY OR DISPUTE ARISING UNDER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TO THIS NOTE, WILL BE GOVERNED BY AND CONSTRUED IN ACCORDANCE WITH THE LAWS OF THE STATE OF NEW YORK.</w:t>
      </w:r>
    </w:p>
    <w:p>
      <w:pPr>
        <w:spacing w:after="0" w:line="192" w:lineRule="exact"/>
        <w:rPr>
          <w:rFonts w:ascii="Times New Roman" w:cs="Times New Roman" w:eastAsia="Times New Roman" w:hAnsi="Times New Roman"/>
          <w:sz w:val="22"/>
          <w:szCs w:val="22"/>
          <w:color w:val="auto"/>
        </w:rPr>
      </w:pPr>
    </w:p>
    <w:p>
      <w:pPr>
        <w:ind w:left="54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18" w:right="339" w:bottom="1440" w:gutter="0" w:footer="0" w:header="0"/>
        </w:sectPr>
      </w:pPr>
    </w:p>
    <w:bookmarkStart w:id="114" w:name="page115"/>
    <w:bookmarkEnd w:id="114"/>
    <w:p>
      <w:pPr>
        <w:ind w:firstLine="237"/>
        <w:spacing w:after="0" w:line="271" w:lineRule="auto"/>
        <w:rPr>
          <w:sz w:val="20"/>
          <w:szCs w:val="20"/>
          <w:color w:val="auto"/>
        </w:rPr>
      </w:pPr>
      <w:r>
        <w:rPr>
          <w:rFonts w:ascii="Times New Roman" w:cs="Times New Roman" w:eastAsia="Times New Roman" w:hAnsi="Times New Roman"/>
          <w:sz w:val="22"/>
          <w:szCs w:val="22"/>
          <w:color w:val="auto"/>
        </w:rPr>
        <w:t>To request a copy of the Indenture, which the Company will provide to any Holder at no charge, please send a written request to the following address: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2045 East Innovation Circle</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Tempe, Arizona 85284</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22"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2"/>
          <w:szCs w:val="22"/>
          <w:b w:val="1"/>
          <w:bCs w:val="1"/>
          <w:color w:val="auto"/>
        </w:rPr>
        <w:t>SCHEDULE OF EXCHANGES OF INTERESTS IN THE GLOBAL NOTE</w:t>
      </w:r>
      <w:r>
        <w:rPr>
          <w:rFonts w:ascii="Times New Roman" w:cs="Times New Roman" w:eastAsia="Times New Roman" w:hAnsi="Times New Roman"/>
          <w:sz w:val="28"/>
          <w:szCs w:val="28"/>
          <w:color w:val="auto"/>
          <w:vertAlign w:val="superscript"/>
        </w:rPr>
        <w:t>*</w:t>
      </w:r>
    </w:p>
    <w:p>
      <w:pPr>
        <w:spacing w:after="0" w:line="18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INITIAL PRINCIPAL AMOUNT OF THIS GLOBAL NOTE: $[___]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exchanges, transfers or cancellations of this Global Note have been made: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Pr>
          <w:p>
            <w:pPr>
              <w:spacing w:after="0"/>
              <w:rPr>
                <w:sz w:val="22"/>
                <w:szCs w:val="22"/>
                <w:color w:val="auto"/>
              </w:rPr>
            </w:pPr>
          </w:p>
        </w:tc>
        <w:tc>
          <w:tcPr>
            <w:tcW w:w="3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 Increase</w:t>
            </w:r>
          </w:p>
        </w:tc>
        <w:tc>
          <w:tcPr>
            <w:tcW w:w="2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Principal Amount of this</w:t>
            </w: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Signature of Authorized</w:t>
            </w:r>
          </w:p>
        </w:tc>
        <w:tc>
          <w:tcPr>
            <w:tcW w:w="0" w:type="dxa"/>
            <w:vAlign w:val="bottom"/>
          </w:tcPr>
          <w:p>
            <w:pPr>
              <w:spacing w:after="0"/>
              <w:rPr>
                <w:sz w:val="1"/>
                <w:szCs w:val="1"/>
                <w:color w:val="auto"/>
              </w:rPr>
            </w:pPr>
          </w:p>
        </w:tc>
      </w:tr>
      <w:tr>
        <w:trPr>
          <w:trHeight w:val="216"/>
        </w:trPr>
        <w:tc>
          <w:tcPr>
            <w:tcW w:w="2600" w:type="dxa"/>
            <w:vAlign w:val="bottom"/>
            <w:vMerge w:val="restart"/>
          </w:tcPr>
          <w:p>
            <w:pPr>
              <w:ind w:left="11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3060" w:type="dxa"/>
            <w:vAlign w:val="bottom"/>
          </w:tcPr>
          <w:p>
            <w:pPr>
              <w:jc w:val="center"/>
              <w:ind w:left="12"/>
              <w:spacing w:after="0" w:line="216" w:lineRule="exact"/>
              <w:rPr>
                <w:sz w:val="20"/>
                <w:szCs w:val="20"/>
                <w:color w:val="auto"/>
              </w:rPr>
            </w:pPr>
            <w:r>
              <w:rPr>
                <w:rFonts w:ascii="Times New Roman" w:cs="Times New Roman" w:eastAsia="Times New Roman" w:hAnsi="Times New Roman"/>
                <w:sz w:val="22"/>
                <w:szCs w:val="22"/>
                <w:b w:val="1"/>
                <w:bCs w:val="1"/>
                <w:color w:val="auto"/>
                <w:w w:val="97"/>
              </w:rPr>
              <w:t>(Decrease) in Principal</w:t>
            </w:r>
          </w:p>
        </w:tc>
        <w:tc>
          <w:tcPr>
            <w:tcW w:w="278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Global Note After Such</w:t>
            </w: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600" w:type="dxa"/>
            <w:vAlign w:val="bottom"/>
            <w:tcBorders>
              <w:bottom w:val="single" w:sz="8" w:color="auto"/>
            </w:tcBorders>
            <w:vMerge w:val="continue"/>
          </w:tcPr>
          <w:p>
            <w:pPr>
              <w:spacing w:after="0"/>
              <w:rPr>
                <w:sz w:val="24"/>
                <w:szCs w:val="24"/>
                <w:color w:val="auto"/>
              </w:rPr>
            </w:pPr>
          </w:p>
        </w:tc>
        <w:tc>
          <w:tcPr>
            <w:tcW w:w="30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Amount of this Global Note</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Increase (Decrease)</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Signatory of Trustee</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26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40" w:hanging="232"/>
        <w:spacing w:after="0"/>
        <w:tabs>
          <w:tab w:leader="none" w:pos="240" w:val="left"/>
        </w:tabs>
        <w:numPr>
          <w:ilvl w:val="0"/>
          <w:numId w:val="1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for Global Notes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416"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0.00% Convertible Senior Notes due 2031</w:t>
      </w:r>
    </w:p>
    <w:p>
      <w:pPr>
        <w:spacing w:after="0" w:line="2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Subject to the terms of the Indenture, by executing and delivering this Conversion Notice, the undersigned Holder of the Note identified below directs the Company to Convert (check one):</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47" w:lineRule="exact"/>
        <w:rPr>
          <w:sz w:val="20"/>
          <w:szCs w:val="20"/>
          <w:color w:val="auto"/>
        </w:rPr>
      </w:pPr>
    </w:p>
    <w:p>
      <w:pPr>
        <w:ind w:left="1460" w:hanging="1236"/>
        <w:spacing w:after="0"/>
        <w:tabs>
          <w:tab w:leader="none" w:pos="14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-57785</wp:posOffset>
            </wp:positionV>
            <wp:extent cx="7200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8" w:lineRule="exact"/>
        <w:rPr>
          <w:sz w:val="20"/>
          <w:szCs w:val="20"/>
          <w:color w:val="auto"/>
        </w:rPr>
      </w:pPr>
    </w:p>
    <w:p>
      <w:pPr>
        <w:spacing w:after="0"/>
        <w:tabs>
          <w:tab w:leader="none" w:pos="4160" w:val="left"/>
          <w:tab w:leader="none" w:pos="7000" w:val="left"/>
        </w:tabs>
        <w:rPr>
          <w:sz w:val="20"/>
          <w:szCs w:val="20"/>
          <w:color w:val="auto"/>
        </w:rPr>
      </w:pPr>
      <w:r>
        <w:rPr>
          <w:rFonts w:ascii="Times New Roman" w:cs="Times New Roman" w:eastAsia="Times New Roman" w:hAnsi="Times New Roman"/>
          <w:sz w:val="22"/>
          <w:szCs w:val="22"/>
          <w:color w:val="auto"/>
        </w:rPr>
        <w:t>the Note identified by CUSIP No.</w:t>
      </w:r>
      <w:r>
        <w:rPr>
          <w:sz w:val="20"/>
          <w:szCs w:val="20"/>
          <w:color w:val="auto"/>
        </w:rPr>
        <w:tab/>
      </w:r>
      <w:r>
        <w:rPr>
          <w:rFonts w:ascii="Times New Roman" w:cs="Times New Roman" w:eastAsia="Times New Roman" w:hAnsi="Times New Roman"/>
          <w:sz w:val="22"/>
          <w:szCs w:val="22"/>
          <w:color w:val="auto"/>
        </w:rPr>
        <w:t>and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-13970</wp:posOffset>
            </wp:positionV>
            <wp:extent cx="720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-13970</wp:posOffset>
            </wp:positionV>
            <wp:extent cx="720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6858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294005</wp:posOffset>
            </wp:positionV>
            <wp:extent cx="274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6459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40" w:hanging="232"/>
        <w:spacing w:after="0"/>
        <w:tabs>
          <w:tab w:leader="none" w:pos="240" w:val="left"/>
        </w:tabs>
        <w:numPr>
          <w:ilvl w:val="0"/>
          <w:numId w:val="1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18"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FUNDAMENTAL CHANGE REPURCHASE NOTICE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0.00% Convertible Senior Notes due 2031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Indenture, by executing and delivering this Fundamental Change Repurchase Notice, the undersigned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 of the Note identified below is exercising its Fundamental Change Repurchase Right with respect to (check one):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entire principal amount of</w:t>
      </w:r>
    </w:p>
    <w:p>
      <w:pPr>
        <w:spacing w:after="0" w:line="247" w:lineRule="exact"/>
        <w:rPr>
          <w:sz w:val="20"/>
          <w:szCs w:val="20"/>
          <w:color w:val="auto"/>
        </w:rPr>
      </w:pPr>
    </w:p>
    <w:p>
      <w:pPr>
        <w:ind w:left="1460" w:hanging="1236"/>
        <w:spacing w:after="0"/>
        <w:tabs>
          <w:tab w:leader="none" w:pos="14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-57785</wp:posOffset>
            </wp:positionV>
            <wp:extent cx="7200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8" w:lineRule="exact"/>
        <w:rPr>
          <w:sz w:val="20"/>
          <w:szCs w:val="20"/>
          <w:color w:val="auto"/>
        </w:rPr>
      </w:pPr>
    </w:p>
    <w:p>
      <w:pPr>
        <w:spacing w:after="0"/>
        <w:tabs>
          <w:tab w:leader="none" w:pos="4160" w:val="left"/>
          <w:tab w:leader="none" w:pos="7000" w:val="left"/>
        </w:tabs>
        <w:rPr>
          <w:sz w:val="20"/>
          <w:szCs w:val="20"/>
          <w:color w:val="auto"/>
        </w:rPr>
      </w:pPr>
      <w:r>
        <w:rPr>
          <w:rFonts w:ascii="Times New Roman" w:cs="Times New Roman" w:eastAsia="Times New Roman" w:hAnsi="Times New Roman"/>
          <w:sz w:val="22"/>
          <w:szCs w:val="22"/>
          <w:color w:val="auto"/>
        </w:rPr>
        <w:t>the Note identified by CUSIP No.</w:t>
      </w:r>
      <w:r>
        <w:rPr>
          <w:sz w:val="20"/>
          <w:szCs w:val="20"/>
          <w:color w:val="auto"/>
        </w:rPr>
        <w:tab/>
      </w:r>
      <w:r>
        <w:rPr>
          <w:rFonts w:ascii="Times New Roman" w:cs="Times New Roman" w:eastAsia="Times New Roman" w:hAnsi="Times New Roman"/>
          <w:sz w:val="22"/>
          <w:szCs w:val="22"/>
          <w:color w:val="auto"/>
        </w:rPr>
        <w:t>and Certificate No.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-13970</wp:posOffset>
            </wp:positionV>
            <wp:extent cx="7200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-13970</wp:posOffset>
            </wp:positionV>
            <wp:extent cx="720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undersigned acknowledges that this Note, duly endorsed for transfer, must be delivered to the Paying Agent before the Fundamental Change Repurchase Price will be paid.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685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Title:</w:t>
      </w:r>
    </w:p>
    <w:p>
      <w:pPr>
        <w:spacing w:after="0" w:line="23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285115</wp:posOffset>
            </wp:positionV>
            <wp:extent cx="274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6459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40" w:hanging="232"/>
        <w:spacing w:after="0"/>
        <w:tabs>
          <w:tab w:leader="none" w:pos="240" w:val="left"/>
        </w:tabs>
        <w:numPr>
          <w:ilvl w:val="0"/>
          <w:numId w:val="1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18" w:right="339" w:bottom="1440" w:gutter="0" w:footer="0" w:header="0"/>
        </w:sectPr>
      </w:pPr>
    </w:p>
    <w:bookmarkStart w:id="118" w:name="page119"/>
    <w:bookmarkEnd w:id="118"/>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25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AMKOR TECHNOLOGY, INC.</w:t>
      </w: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0.00% Convertible Senior Notes due 2031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the terms of the Indenture, the undersigned Holder of the Note identified below assigns (check one):</w:t>
      </w: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entire principal amount of</w:t>
      </w:r>
    </w:p>
    <w:p>
      <w:pPr>
        <w:sectPr>
          <w:pgSz w:w="11900" w:h="16838" w:orient="portrait"/>
          <w:cols w:equalWidth="0" w:num="1">
            <w:col w:w="10200"/>
          </w:cols>
          <w:pgMar w:left="320" w:top="1418" w:right="1379" w:bottom="1440" w:gutter="0" w:footer="0" w:header="0"/>
        </w:sectPr>
      </w:pPr>
    </w:p>
    <w:p>
      <w:pPr>
        <w:spacing w:after="0" w:line="241" w:lineRule="exact"/>
        <w:rPr>
          <w:sz w:val="20"/>
          <w:szCs w:val="20"/>
          <w:color w:val="auto"/>
        </w:rPr>
      </w:pPr>
    </w:p>
    <w:p>
      <w:pPr>
        <w:ind w:left="1460" w:hanging="1236"/>
        <w:spacing w:after="0"/>
        <w:tabs>
          <w:tab w:leader="none" w:pos="14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-53975</wp:posOffset>
            </wp:positionV>
            <wp:extent cx="7200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80" w:type="dxa"/>
            <w:vAlign w:val="bottom"/>
            <w:gridSpan w:val="8"/>
          </w:tcPr>
          <w:p>
            <w:pPr>
              <w:spacing w:after="0"/>
              <w:rPr>
                <w:sz w:val="20"/>
                <w:szCs w:val="20"/>
                <w:color w:val="auto"/>
              </w:rPr>
            </w:pPr>
            <w:r>
              <w:rPr>
                <w:rFonts w:ascii="Times New Roman" w:cs="Times New Roman" w:eastAsia="Times New Roman" w:hAnsi="Times New Roman"/>
                <w:sz w:val="22"/>
                <w:szCs w:val="22"/>
                <w:color w:val="auto"/>
                <w:w w:val="99"/>
              </w:rPr>
              <w:t>the Note identified by CUSIP No.</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and Certificate No.</w:t>
            </w:r>
          </w:p>
        </w:tc>
      </w:tr>
      <w:tr>
        <w:trPr>
          <w:trHeight w:val="453"/>
        </w:trPr>
        <w:tc>
          <w:tcPr>
            <w:tcW w:w="10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Name:</w:t>
            </w:r>
          </w:p>
        </w:tc>
        <w:tc>
          <w:tcPr>
            <w:tcW w:w="420" w:type="dxa"/>
            <w:vAlign w:val="bottom"/>
            <w:tcBorders>
              <w:bottom w:val="single" w:sz="8" w:color="auto"/>
            </w:tcBorders>
            <w:gridSpan w:val="2"/>
          </w:tcPr>
          <w:p>
            <w:pPr>
              <w:spacing w:after="0"/>
              <w:rPr>
                <w:sz w:val="24"/>
                <w:szCs w:val="24"/>
                <w:color w:val="auto"/>
              </w:rPr>
            </w:pPr>
          </w:p>
        </w:tc>
        <w:tc>
          <w:tcPr>
            <w:tcW w:w="154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93"/>
        </w:trPr>
        <w:tc>
          <w:tcPr>
            <w:tcW w:w="120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Address:</w:t>
            </w:r>
          </w:p>
        </w:tc>
        <w:tc>
          <w:tcPr>
            <w:tcW w:w="440" w:type="dxa"/>
            <w:vAlign w:val="bottom"/>
            <w:tcBorders>
              <w:bottom w:val="single" w:sz="8" w:color="auto"/>
            </w:tcBorders>
            <w:gridSpan w:val="2"/>
          </w:tcPr>
          <w:p>
            <w:pPr>
              <w:spacing w:after="0"/>
              <w:rPr>
                <w:sz w:val="24"/>
                <w:szCs w:val="24"/>
                <w:color w:val="auto"/>
              </w:rPr>
            </w:pPr>
          </w:p>
        </w:tc>
        <w:tc>
          <w:tcPr>
            <w:tcW w:w="134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79"/>
        </w:trPr>
        <w:tc>
          <w:tcPr>
            <w:tcW w:w="276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auto"/>
              </w:rPr>
              <w:t>Social security or tax id. #:</w:t>
            </w:r>
          </w:p>
        </w:tc>
        <w:tc>
          <w:tcPr>
            <w:tcW w:w="2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79"/>
        </w:trPr>
        <w:tc>
          <w:tcPr>
            <w:tcW w:w="24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and irrevocably appoints:</w:t>
            </w:r>
          </w:p>
        </w:tc>
        <w:tc>
          <w:tcPr>
            <w:tcW w:w="44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and all rights thereunder,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-6985</wp:posOffset>
            </wp:positionV>
            <wp:extent cx="7200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186" w:lineRule="exact"/>
        <w:rPr>
          <w:sz w:val="20"/>
          <w:szCs w:val="20"/>
          <w:color w:val="auto"/>
        </w:rPr>
      </w:pPr>
    </w:p>
    <w:p>
      <w:pPr>
        <w:sectPr>
          <w:pgSz w:w="11900" w:h="16838" w:orient="portrait"/>
          <w:cols w:equalWidth="0" w:num="2">
            <w:col w:w="6300" w:space="720"/>
            <w:col w:w="3180"/>
          </w:cols>
          <w:pgMar w:left="320" w:top="1418" w:right="137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agent to transfer the within Note on the books of the Company. The agent may substitute another to act for him/her.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-13970</wp:posOffset>
            </wp:positionV>
            <wp:extent cx="6858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0" w:lineRule="exact"/>
        <w:rPr>
          <w:sz w:val="20"/>
          <w:szCs w:val="20"/>
          <w:color w:val="auto"/>
        </w:rPr>
      </w:pP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285115</wp:posOffset>
            </wp:positionV>
            <wp:extent cx="274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00" w:lineRule="exact"/>
        <w:rPr>
          <w:sz w:val="20"/>
          <w:szCs w:val="20"/>
          <w:color w:val="auto"/>
        </w:rPr>
      </w:pP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-13970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645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8" w:lineRule="exact"/>
        <w:rPr>
          <w:sz w:val="20"/>
          <w:szCs w:val="20"/>
          <w:color w:val="auto"/>
        </w:rPr>
      </w:pPr>
    </w:p>
    <w:p>
      <w:pPr>
        <w:ind w:left="240" w:hanging="232"/>
        <w:spacing w:after="0"/>
        <w:tabs>
          <w:tab w:leader="none" w:pos="240" w:val="left"/>
        </w:tabs>
        <w:numPr>
          <w:ilvl w:val="0"/>
          <w:numId w:val="1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Must be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0200"/>
          </w:cols>
          <w:pgMar w:left="320" w:top="1418" w:right="1379" w:bottom="144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A-11</w:t>
      </w:r>
    </w:p>
    <w:p>
      <w:pPr>
        <w:sectPr>
          <w:pgSz w:w="11900" w:h="16838" w:orient="portrait"/>
          <w:cols w:equalWidth="0" w:num="1">
            <w:col w:w="9019"/>
          </w:cols>
          <w:pgMar w:left="1440" w:top="1440"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color w:val="auto"/>
        </w:rPr>
        <w:t>TRANSFEROR ACKNOWLEDGMENT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within Note bears a Restricted Note Legend, the undersigned further certifies that (check one):</w:t>
      </w:r>
    </w:p>
    <w:p>
      <w:pPr>
        <w:spacing w:after="0" w:line="220" w:lineRule="exact"/>
        <w:rPr>
          <w:sz w:val="20"/>
          <w:szCs w:val="20"/>
          <w:color w:val="auto"/>
        </w:rPr>
      </w:pPr>
    </w:p>
    <w:p>
      <w:pPr>
        <w:ind w:left="600" w:hanging="592"/>
        <w:spacing w:after="0"/>
        <w:tabs>
          <w:tab w:leader="none" w:pos="6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to the Company or a Subsidiary of the Company.</w:t>
      </w:r>
    </w:p>
    <w:p>
      <w:pPr>
        <w:spacing w:after="0" w:line="260" w:lineRule="exact"/>
        <w:rPr>
          <w:rFonts w:ascii="Times New Roman" w:cs="Times New Roman" w:eastAsia="Times New Roman" w:hAnsi="Times New Roman"/>
          <w:sz w:val="22"/>
          <w:szCs w:val="22"/>
          <w:color w:val="auto"/>
        </w:rPr>
      </w:pPr>
    </w:p>
    <w:p>
      <w:pPr>
        <w:ind w:left="660" w:hanging="652"/>
        <w:spacing w:after="0" w:line="271" w:lineRule="auto"/>
        <w:tabs>
          <w:tab w:leader="none" w:pos="80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Transfer is being made pursuant to, and in accordance with, a registration statement that is effective under the Securities Act at the time of the Transfer.</w:t>
      </w:r>
    </w:p>
    <w:p>
      <w:pPr>
        <w:spacing w:after="0" w:line="184" w:lineRule="exact"/>
        <w:rPr>
          <w:rFonts w:ascii="Times New Roman" w:cs="Times New Roman" w:eastAsia="Times New Roman" w:hAnsi="Times New Roman"/>
          <w:sz w:val="22"/>
          <w:szCs w:val="22"/>
          <w:color w:val="auto"/>
        </w:rPr>
      </w:pPr>
    </w:p>
    <w:p>
      <w:pPr>
        <w:jc w:val="both"/>
        <w:ind w:left="660" w:hanging="652"/>
        <w:spacing w:after="0" w:line="250" w:lineRule="auto"/>
        <w:tabs>
          <w:tab w:leader="none" w:pos="68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 </w:t>
      </w:r>
      <w:r>
        <w:rPr>
          <w:rFonts w:ascii="Times New Roman" w:cs="Times New Roman" w:eastAsia="Times New Roman" w:hAnsi="Times New Roman"/>
          <w:sz w:val="22"/>
          <w:szCs w:val="22"/>
          <w:b w:val="1"/>
          <w:bCs w:val="1"/>
          <w:color w:val="auto"/>
        </w:rPr>
        <w:t>If this item is checked, then the transferee must complete and execute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acknowledgment contained on the next page</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660" w:hanging="652"/>
        <w:spacing w:after="0" w:line="295" w:lineRule="auto"/>
        <w:tabs>
          <w:tab w:leader="none" w:pos="756"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Transfer is being made pursuant to, and in accordance with, any other available exemption from the registration requirements of the Securities Act (including, if available, the exemption provided by Rule 144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(Legal Name of Holder)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(Participant in a Recognized Signature</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Guarantee Medallion Program)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422"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A-13</w:t>
      </w:r>
    </w:p>
    <w:p>
      <w:pPr>
        <w:sectPr>
          <w:pgSz w:w="11900" w:h="16838" w:orient="portrait"/>
          <w:cols w:equalWidth="0" w:num="1">
            <w:col w:w="9019"/>
          </w:cols>
          <w:pgMar w:left="1440" w:top="1440"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2"/>
          <w:szCs w:val="22"/>
          <w:color w:val="auto"/>
        </w:rPr>
        <w:t>TRANSFEREE ACKNOWLEDGMENT</w:t>
      </w:r>
    </w:p>
    <w:p>
      <w:pPr>
        <w:spacing w:after="0" w:line="2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-13970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of Transferee)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240"/>
          </w:cols>
          <w:pgMar w:left="320" w:top="1422"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RESTRICTED NOTE LEGEND</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79" w:lineRule="exact"/>
        <w:rPr>
          <w:sz w:val="20"/>
          <w:szCs w:val="20"/>
          <w:color w:val="auto"/>
        </w:rPr>
      </w:pPr>
    </w:p>
    <w:p>
      <w:pPr>
        <w:ind w:left="660" w:hanging="652"/>
        <w:spacing w:after="0" w:line="263" w:lineRule="auto"/>
        <w:tabs>
          <w:tab w:leader="none" w:pos="552"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94" w:lineRule="exact"/>
        <w:rPr>
          <w:rFonts w:ascii="Times New Roman" w:cs="Times New Roman" w:eastAsia="Times New Roman" w:hAnsi="Times New Roman"/>
          <w:sz w:val="22"/>
          <w:szCs w:val="22"/>
          <w:color w:val="auto"/>
        </w:rPr>
      </w:pPr>
    </w:p>
    <w:p>
      <w:pPr>
        <w:ind w:left="660" w:hanging="652"/>
        <w:spacing w:after="0" w:line="271" w:lineRule="auto"/>
        <w:tabs>
          <w:tab w:leader="none" w:pos="47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FOR THE BENEFIT OF THE COMPANY THAT IT WILL NOT OFFER, SELL OR OTHERWISE TRANSFER THIS NOTE OR ANY BENEFICIAL INTEREST HEREIN, EXCEPT ONLY:</w:t>
      </w:r>
    </w:p>
    <w:p>
      <w:pPr>
        <w:spacing w:after="0" w:line="157"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OR ANY SUBSIDIARY THEREOF;</w:t>
      </w:r>
    </w:p>
    <w:p>
      <w:pPr>
        <w:spacing w:after="0" w:line="24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 REGISTRATION STATEMENT THAT IS EFFECTIVE UNDER THE SECURITIES ACT;</w:t>
      </w:r>
    </w:p>
    <w:p>
      <w:pPr>
        <w:spacing w:after="0" w:line="260" w:lineRule="exact"/>
        <w:rPr>
          <w:rFonts w:ascii="Times New Roman" w:cs="Times New Roman" w:eastAsia="Times New Roman" w:hAnsi="Times New Roman"/>
          <w:sz w:val="22"/>
          <w:szCs w:val="22"/>
          <w:color w:val="auto"/>
        </w:rPr>
      </w:pPr>
    </w:p>
    <w:p>
      <w:pPr>
        <w:ind w:left="1300" w:hanging="644"/>
        <w:spacing w:after="0" w:line="271" w:lineRule="auto"/>
        <w:tabs>
          <w:tab w:leader="none" w:pos="148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REASONABLY BELIEVED TO BE A QUALIFIED INSTITUTIONAL BUYER IN COMPLIANCE WITH RULE 144A UNDER THE SECURITIES ACT;</w:t>
      </w:r>
    </w:p>
    <w:p>
      <w:pPr>
        <w:spacing w:after="0" w:line="184"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144 UNDER THE SECURITIES ACT; OR</w:t>
      </w:r>
    </w:p>
    <w:p>
      <w:pPr>
        <w:spacing w:after="0" w:line="246" w:lineRule="exact"/>
        <w:rPr>
          <w:rFonts w:ascii="Times New Roman" w:cs="Times New Roman" w:eastAsia="Times New Roman" w:hAnsi="Times New Roman"/>
          <w:sz w:val="22"/>
          <w:szCs w:val="22"/>
          <w:color w:val="auto"/>
        </w:rPr>
      </w:pPr>
    </w:p>
    <w:p>
      <w:pPr>
        <w:ind w:left="1300" w:hanging="644"/>
        <w:spacing w:after="0" w:line="271" w:lineRule="auto"/>
        <w:tabs>
          <w:tab w:leader="none" w:pos="127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ANY OTHER EXEMPTION FROM, OR IN A TRANSACTION NOT SUBJECT TO, THE REGISTRATION REQUIREMENTS OF THE SECURITIES ACT.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BEFORE THE REGISTRATION OF ANY SALE OR TRANSFER IN ACCORDANCE WITH (2)(C), (D)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6459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24" w:lineRule="exact"/>
        <w:rPr>
          <w:sz w:val="20"/>
          <w:szCs w:val="20"/>
          <w:color w:val="auto"/>
        </w:rPr>
      </w:pPr>
    </w:p>
    <w:p>
      <w:pPr>
        <w:ind w:left="160" w:right="20" w:hanging="152"/>
        <w:spacing w:after="0" w:line="229" w:lineRule="auto"/>
        <w:tabs>
          <w:tab w:leader="none" w:pos="295" w:val="left"/>
        </w:tabs>
        <w:numPr>
          <w:ilvl w:val="0"/>
          <w:numId w:val="1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paragraph and the immediately preceding paragraph will be deemed to be removed from the face of this Note at such time when the Company delivers written notice to the Trustee of such deemed removal pursuant to Section 2.12 of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ectPr>
          <w:pgSz w:w="11900" w:h="16838" w:orient="portrait"/>
          <w:cols w:equalWidth="0" w:num="1">
            <w:col w:w="11240"/>
          </w:cols>
          <w:pgMar w:left="320" w:top="1418" w:right="33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B1-2</w:t>
      </w:r>
    </w:p>
    <w:p>
      <w:pPr>
        <w:sectPr>
          <w:pgSz w:w="11900" w:h="16838" w:orient="portrait"/>
          <w:cols w:equalWidth="0" w:num="1">
            <w:col w:w="9019"/>
          </w:cols>
          <w:pgMar w:left="1440" w:top="1440"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b w:val="1"/>
          <w:bCs w:val="1"/>
          <w:color w:val="auto"/>
        </w:rPr>
        <w:t>EXHIBIT B-2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GLOBAL NOTE LEGEND</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B2-1</w:t>
      </w:r>
    </w:p>
    <w:p>
      <w:pPr>
        <w:sectPr>
          <w:pgSz w:w="11900" w:h="16838" w:orient="portrait"/>
          <w:cols w:equalWidth="0" w:num="1">
            <w:col w:w="11240"/>
          </w:cols>
          <w:pgMar w:left="320" w:top="141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B-3</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FORM OF NON-AFFILIATE LEGEND</w:t>
      </w:r>
    </w:p>
    <w:p>
      <w:pPr>
        <w:spacing w:after="0" w:line="2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NO AFFILIATE (AS DEFINED IN RULE 144 UNDER THE SECURITIES ACT OF 1933, AS AMENDED) OF THE COMPANY MAY PURCHASE OR OTHERWISE ACQUIRE THIS NOTE OR ANY BENEFICIAL INTEREST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B3-1</w:t>
      </w:r>
    </w:p>
    <w:p>
      <w:pPr>
        <w:sectPr>
          <w:pgSz w:w="11900" w:h="16838" w:orient="portrait"/>
          <w:cols w:equalWidth="0" w:num="1">
            <w:col w:w="11240"/>
          </w:cols>
          <w:pgMar w:left="320" w:top="141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Bid Version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w:t>
      </w:r>
      <w:r>
        <w:rPr>
          <w:rFonts w:ascii="Times New Roman" w:cs="Times New Roman" w:eastAsia="Times New Roman" w:hAnsi="Times New Roman"/>
          <w:sz w:val="23"/>
          <w:szCs w:val="23"/>
          <w:color w:val="auto"/>
          <w:vertAlign w:val="superscript"/>
        </w:rPr>
        <w:t>1</w:t>
      </w:r>
    </w:p>
    <w:p>
      <w:pPr>
        <w:jc w:val="right"/>
        <w:spacing w:after="0"/>
        <w:rPr>
          <w:sz w:val="20"/>
          <w:szCs w:val="20"/>
          <w:color w:val="auto"/>
        </w:rPr>
      </w:pPr>
      <w:r>
        <w:rPr>
          <w:rFonts w:ascii="Times New Roman" w:cs="Times New Roman" w:eastAsia="Times New Roman" w:hAnsi="Times New Roman"/>
          <w:sz w:val="18"/>
          <w:szCs w:val="18"/>
          <w:color w:val="auto"/>
        </w:rPr>
        <w:t>[__],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Amkor Technology,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2045 East Innovation Circle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Tempe, AZ 85284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Telephone No.: (480) 821-5000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Amkor Technology,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April 30, 2026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0.000% Convertible Senior Notes due 2031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 Counterparty in an aggregate initial principal amount of USD 1,000,000,000 (as increased by [up to]</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an aggregate principal amount of USD 150,000,000 [if and to the extent that]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[pursuant to the exercise by]</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the Initial Purchasers (as defined herein) [exercise]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[of]</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their option to purchase additional Convertible Notes pursuant to the Purchase Agreement (as defined herein)) pursuant to an Indenture to be dated May 5, 2026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(other than any amendment or supplement (x) pursuant to Section 8.01(I) of the Indenture that, as determined by the Calculation Agent, conforms the Indenture to the description of Convertible Notes in the Offering Memorandum or (y) pursuant to Section 5.09 of the Indenture, subject, in the case of this clause (y), to the second paragraph under “Method of Adjustment” in Section 3), any such amendment or supplement will be disregarded for purposes of this Confirmation unless the parties agree otherwise in writing. If Dealer, the Calculation Agent or the Determining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645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2" w:lineRule="exact"/>
        <w:rPr>
          <w:sz w:val="20"/>
          <w:szCs w:val="20"/>
          <w:color w:val="auto"/>
        </w:rPr>
      </w:pPr>
    </w:p>
    <w:p>
      <w:pPr>
        <w:ind w:left="100" w:hanging="92"/>
        <w:spacing w:after="0"/>
        <w:tabs>
          <w:tab w:leader="none" w:pos="100" w:val="left"/>
        </w:tabs>
        <w:numPr>
          <w:ilvl w:val="0"/>
          <w:numId w:val="1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Dealer name, address and, if applicable, logo.</w:t>
      </w:r>
    </w:p>
    <w:p>
      <w:pPr>
        <w:spacing w:after="0" w:line="10" w:lineRule="exact"/>
        <w:rPr>
          <w:rFonts w:ascii="Times New Roman" w:cs="Times New Roman" w:eastAsia="Times New Roman" w:hAnsi="Times New Roman"/>
          <w:sz w:val="21"/>
          <w:szCs w:val="21"/>
          <w:color w:val="auto"/>
          <w:vertAlign w:val="superscript"/>
        </w:rPr>
      </w:pP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 in the Base Call Option Confirmation.</w:t>
      </w:r>
    </w:p>
    <w:p>
      <w:pPr>
        <w:spacing w:after="0" w:line="201"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Include in the Base Call Option Confirmation.</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Include in the Additional Call Option Confirmation.</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Include in the Base Call Option Confirmation.</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Include in the Additional Call Option Confirmation.</w:t>
      </w:r>
    </w:p>
    <w:p>
      <w:pPr>
        <w:sectPr>
          <w:pgSz w:w="11900" w:h="16838" w:orient="portrait"/>
          <w:cols w:equalWidth="0" w:num="1">
            <w:col w:w="11240"/>
          </w:cols>
          <w:pgMar w:left="320" w:top="117" w:right="339" w:bottom="1440" w:gutter="0" w:footer="0" w:header="0"/>
        </w:sectPr>
      </w:pPr>
    </w:p>
    <w:bookmarkStart w:id="128" w:name="page129"/>
    <w:bookmarkEnd w:id="128"/>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 required to make any calculation, adjustment, or determination hereunder by reference to the Convertible Notes or the Indenture at a time at which the Convertible Notes are no longer outstanding, Dealer, the Calculation Agent or the Determining Party, as the case may be, shall make such calculation, adjustment or determination, as applicable, assuming the Convertible Notes remain outstanding.</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35" w:lineRule="exact"/>
        <w:rPr>
          <w:sz w:val="20"/>
          <w:szCs w:val="20"/>
          <w:color w:val="auto"/>
        </w:rPr>
      </w:pPr>
    </w:p>
    <w:p>
      <w:pPr>
        <w:jc w:val="both"/>
        <w:ind w:firstLine="8"/>
        <w:spacing w:after="0" w:line="252" w:lineRule="auto"/>
        <w:tabs>
          <w:tab w:leader="none" w:pos="37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(but without any Schedule except for (i) the election of the laws of the State of New York as the governing law (without reference to choice of law doctrine), (ii) in respect of Section 5(a)(vi) of the Agreement, the election that the “Cross Default” provisions shall apply to Dealer with (a) a “Threshold Amount” with respect to Dealer of three percent of the shareholders’ equity of [Dealer][[Dealer Parent] (“</w:t>
      </w:r>
      <w:r>
        <w:rPr>
          <w:rFonts w:ascii="Times New Roman" w:cs="Times New Roman" w:eastAsia="Times New Roman" w:hAnsi="Times New Roman"/>
          <w:sz w:val="18"/>
          <w:szCs w:val="18"/>
          <w:b w:val="1"/>
          <w:bCs w:val="1"/>
          <w:color w:val="auto"/>
        </w:rPr>
        <w:t>Dealer Parent</w:t>
      </w:r>
      <w:r>
        <w:rPr>
          <w:rFonts w:ascii="Times New Roman" w:cs="Times New Roman" w:eastAsia="Times New Roman" w:hAnsi="Times New Roman"/>
          <w:sz w:val="18"/>
          <w:szCs w:val="18"/>
          <w:color w:val="auto"/>
        </w:rPr>
        <w: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(iii) the modification that the term “Specified Indebtedness” shall have the meaning specified in Section 14 of the Agreement, except that such term shall not include obligations in respect of deposits received in the ordinary course of a party’s banking business, and (iv) the modification that following the payment of the Premium, the condition precedent in Section 2(a)(iii) of the Agreement with respect to Events of Default or Potential Events of Default (other than an Event of Default or Potential Event of Default arising under Section 5(a)(ii), 5(a)(iv) or 5(a)(vii) of the Agreement) shall not apply to a payment or delivery owing by Dealer to Counterparty)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particular Transaction to which this Confirmation relates are as follows: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General Terms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980"/>
        <w:spacing w:after="0"/>
        <w:tabs>
          <w:tab w:leader="none" w:pos="1980" w:val="left"/>
        </w:tabs>
        <w:rPr>
          <w:sz w:val="20"/>
          <w:szCs w:val="20"/>
          <w:color w:val="auto"/>
        </w:rPr>
      </w:pPr>
      <w:r>
        <w:rPr>
          <w:rFonts w:ascii="Times New Roman" w:cs="Times New Roman" w:eastAsia="Times New Roman" w:hAnsi="Times New Roman"/>
          <w:sz w:val="18"/>
          <w:szCs w:val="18"/>
          <w:color w:val="auto"/>
        </w:rPr>
        <w:t>Trade Date:</w:t>
        <w:tab/>
        <w:t>[____], 2026</w:t>
      </w:r>
    </w:p>
    <w:p>
      <w:pPr>
        <w:spacing w:after="0" w:line="185" w:lineRule="exact"/>
        <w:rPr>
          <w:sz w:val="20"/>
          <w:szCs w:val="20"/>
          <w:color w:val="auto"/>
        </w:rPr>
      </w:pPr>
    </w:p>
    <w:p>
      <w:pPr>
        <w:jc w:val="center"/>
        <w:ind w:left="1300"/>
        <w:spacing w:after="0" w:line="243" w:lineRule="auto"/>
        <w:rPr>
          <w:sz w:val="20"/>
          <w:szCs w:val="20"/>
          <w:color w:val="auto"/>
        </w:rPr>
      </w:pPr>
      <w:r>
        <w:rPr>
          <w:rFonts w:ascii="Times New Roman" w:cs="Times New Roman" w:eastAsia="Times New Roman" w:hAnsi="Times New Roman"/>
          <w:sz w:val="18"/>
          <w:szCs w:val="18"/>
          <w:color w:val="auto"/>
        </w:rPr>
        <w:t>Effective Date:   The closing date of the [initial]</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xml:space="preserve"> issuance of the Convertible Notes [issued pursuant to the option to purchase additional Convertible Notes exercised on the date hereof]</w:t>
      </w:r>
      <w:r>
        <w:rPr>
          <w:rFonts w:ascii="Times New Roman" w:cs="Times New Roman" w:eastAsia="Times New Roman" w:hAnsi="Times New Roman"/>
          <w:sz w:val="23"/>
          <w:szCs w:val="23"/>
          <w:color w:val="auto"/>
          <w:vertAlign w:val="superscript"/>
        </w:rPr>
        <w:t>8</w:t>
      </w:r>
    </w:p>
    <w:p>
      <w:pPr>
        <w:spacing w:after="0" w:line="8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Option Style:</w:t>
      </w:r>
      <w:r>
        <w:rPr>
          <w:sz w:val="20"/>
          <w:szCs w:val="20"/>
          <w:color w:val="auto"/>
        </w:rPr>
        <w:tab/>
      </w:r>
      <w:r>
        <w:rPr>
          <w:rFonts w:ascii="Times New Roman" w:cs="Times New Roman" w:eastAsia="Times New Roman" w:hAnsi="Times New Roman"/>
          <w:sz w:val="17"/>
          <w:szCs w:val="17"/>
          <w:color w:val="auto"/>
        </w:rPr>
        <w:t>“Modified American”, as described under “Procedures for Exercise” below</w:t>
      </w:r>
    </w:p>
    <w:p>
      <w:pPr>
        <w:spacing w:after="0" w:line="18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Option Type:</w:t>
      </w:r>
      <w:r>
        <w:rPr>
          <w:sz w:val="20"/>
          <w:szCs w:val="20"/>
          <w:color w:val="auto"/>
        </w:rPr>
        <w:tab/>
      </w:r>
      <w:r>
        <w:rPr>
          <w:rFonts w:ascii="Times New Roman" w:cs="Times New Roman" w:eastAsia="Times New Roman" w:hAnsi="Times New Roman"/>
          <w:sz w:val="17"/>
          <w:szCs w:val="17"/>
          <w:color w:val="auto"/>
        </w:rPr>
        <w:t>Call</w:t>
      </w:r>
    </w:p>
    <w:p>
      <w:pPr>
        <w:spacing w:after="0" w:line="185" w:lineRule="exact"/>
        <w:rPr>
          <w:sz w:val="20"/>
          <w:szCs w:val="20"/>
          <w:color w:val="auto"/>
        </w:rPr>
      </w:pPr>
    </w:p>
    <w:p>
      <w:pPr>
        <w:ind w:left="980"/>
        <w:spacing w:after="0"/>
        <w:tabs>
          <w:tab w:leader="none" w:pos="1620" w:val="left"/>
        </w:tabs>
        <w:rPr>
          <w:sz w:val="20"/>
          <w:szCs w:val="20"/>
          <w:color w:val="auto"/>
        </w:rPr>
      </w:pPr>
      <w:r>
        <w:rPr>
          <w:rFonts w:ascii="Times New Roman" w:cs="Times New Roman" w:eastAsia="Times New Roman" w:hAnsi="Times New Roman"/>
          <w:sz w:val="18"/>
          <w:szCs w:val="18"/>
          <w:color w:val="auto"/>
        </w:rPr>
        <w:t>Buyer:</w:t>
        <w:tab/>
        <w:t>Counterparty</w:t>
      </w:r>
    </w:p>
    <w:p>
      <w:pPr>
        <w:spacing w:after="0" w:line="198" w:lineRule="exact"/>
        <w:rPr>
          <w:sz w:val="20"/>
          <w:szCs w:val="20"/>
          <w:color w:val="auto"/>
        </w:rPr>
      </w:pPr>
    </w:p>
    <w:p>
      <w:pPr>
        <w:ind w:left="980"/>
        <w:spacing w:after="0"/>
        <w:tabs>
          <w:tab w:leader="none" w:pos="1600" w:val="left"/>
        </w:tabs>
        <w:rPr>
          <w:sz w:val="20"/>
          <w:szCs w:val="20"/>
          <w:color w:val="auto"/>
        </w:rPr>
      </w:pPr>
      <w:r>
        <w:rPr>
          <w:rFonts w:ascii="Times New Roman" w:cs="Times New Roman" w:eastAsia="Times New Roman" w:hAnsi="Times New Roman"/>
          <w:sz w:val="18"/>
          <w:szCs w:val="18"/>
          <w:color w:val="auto"/>
        </w:rPr>
        <w:t>Seller:</w:t>
        <w:tab/>
        <w:t>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6459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9" w:lineRule="exact"/>
        <w:rPr>
          <w:sz w:val="20"/>
          <w:szCs w:val="20"/>
          <w:color w:val="auto"/>
        </w:rPr>
      </w:pPr>
    </w:p>
    <w:p>
      <w:pPr>
        <w:ind w:left="100" w:hanging="92"/>
        <w:spacing w:after="0"/>
        <w:tabs>
          <w:tab w:leader="none" w:pos="100" w:val="left"/>
        </w:tabs>
        <w:numPr>
          <w:ilvl w:val="0"/>
          <w:numId w:val="16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in the Base Call Option Confirmation.</w:t>
      </w:r>
    </w:p>
    <w:p>
      <w:pPr>
        <w:ind w:left="100" w:hanging="92"/>
        <w:spacing w:after="0" w:line="194" w:lineRule="auto"/>
        <w:tabs>
          <w:tab w:leader="none" w:pos="100" w:val="left"/>
        </w:tabs>
        <w:numPr>
          <w:ilvl w:val="0"/>
          <w:numId w:val="1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in the Additional Call Option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3" w:lineRule="exact"/>
        <w:rPr>
          <w:sz w:val="20"/>
          <w:szCs w:val="20"/>
          <w:color w:val="auto"/>
        </w:rPr>
      </w:pPr>
    </w:p>
    <w:p>
      <w:pPr>
        <w:ind w:left="980"/>
        <w:spacing w:after="0"/>
        <w:tabs>
          <w:tab w:leader="none" w:pos="1660" w:val="left"/>
        </w:tabs>
        <w:rPr>
          <w:sz w:val="20"/>
          <w:szCs w:val="20"/>
          <w:color w:val="auto"/>
        </w:rPr>
      </w:pPr>
      <w:r>
        <w:rPr>
          <w:rFonts w:ascii="Times New Roman" w:cs="Times New Roman" w:eastAsia="Times New Roman" w:hAnsi="Times New Roman"/>
          <w:sz w:val="18"/>
          <w:szCs w:val="18"/>
          <w:color w:val="auto"/>
        </w:rPr>
        <w:t>Shares:</w:t>
        <w:tab/>
        <w:t>The common stock of Counterparty, par value USD 0.001 per share (Exchange symbol “AMKR”).</w:t>
      </w:r>
    </w:p>
    <w:p>
      <w:pPr>
        <w:spacing w:after="0" w:line="170" w:lineRule="exact"/>
        <w:rPr>
          <w:sz w:val="20"/>
          <w:szCs w:val="20"/>
          <w:color w:val="auto"/>
        </w:rPr>
      </w:pPr>
    </w:p>
    <w:p>
      <w:pPr>
        <w:ind w:left="980"/>
        <w:spacing w:after="0"/>
        <w:tabs>
          <w:tab w:leader="none" w:pos="2780" w:val="left"/>
        </w:tabs>
        <w:rPr>
          <w:sz w:val="20"/>
          <w:szCs w:val="20"/>
          <w:color w:val="auto"/>
        </w:rPr>
      </w:pPr>
      <w:r>
        <w:rPr>
          <w:rFonts w:ascii="Times New Roman" w:cs="Times New Roman" w:eastAsia="Times New Roman" w:hAnsi="Times New Roman"/>
          <w:sz w:val="18"/>
          <w:szCs w:val="18"/>
          <w:color w:val="auto"/>
        </w:rPr>
        <w:t>Number of Options:</w:t>
      </w:r>
      <w:r>
        <w:rPr>
          <w:sz w:val="20"/>
          <w:szCs w:val="20"/>
          <w:color w:val="auto"/>
        </w:rPr>
        <w:tab/>
      </w:r>
      <w:r>
        <w:rPr>
          <w:rFonts w:ascii="Times New Roman" w:cs="Times New Roman" w:eastAsia="Times New Roman" w:hAnsi="Times New Roman"/>
          <w:sz w:val="18"/>
          <w:szCs w:val="18"/>
          <w:color w:val="auto"/>
        </w:rPr>
        <w:t>[_______]</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For the avoidance of doubt, the Number of Options shall be reduced by any Options exercised by</w:t>
      </w:r>
    </w:p>
    <w:p>
      <w:pPr>
        <w:ind w:left="4220"/>
        <w:spacing w:after="0"/>
        <w:rPr>
          <w:sz w:val="20"/>
          <w:szCs w:val="20"/>
          <w:color w:val="auto"/>
        </w:rPr>
      </w:pPr>
      <w:r>
        <w:rPr>
          <w:rFonts w:ascii="Times New Roman" w:cs="Times New Roman" w:eastAsia="Times New Roman" w:hAnsi="Times New Roman"/>
          <w:sz w:val="18"/>
          <w:szCs w:val="18"/>
          <w:color w:val="auto"/>
        </w:rPr>
        <w:t>Counterparty. In no event will the Number of Options be less than zero.</w:t>
      </w:r>
    </w:p>
    <w:p>
      <w:pPr>
        <w:spacing w:after="0" w:line="165" w:lineRule="exact"/>
        <w:rPr>
          <w:sz w:val="20"/>
          <w:szCs w:val="20"/>
          <w:color w:val="auto"/>
        </w:rPr>
      </w:pPr>
    </w:p>
    <w:p>
      <w:pPr>
        <w:ind w:left="980"/>
        <w:spacing w:after="0"/>
        <w:tabs>
          <w:tab w:leader="none" w:pos="2820" w:val="left"/>
        </w:tabs>
        <w:rPr>
          <w:sz w:val="20"/>
          <w:szCs w:val="20"/>
          <w:color w:val="auto"/>
        </w:rPr>
      </w:pPr>
      <w:r>
        <w:rPr>
          <w:rFonts w:ascii="Times New Roman" w:cs="Times New Roman" w:eastAsia="Times New Roman" w:hAnsi="Times New Roman"/>
          <w:sz w:val="18"/>
          <w:szCs w:val="18"/>
          <w:color w:val="auto"/>
        </w:rPr>
        <w:t>Applicable Percentage:</w:t>
      </w:r>
      <w:r>
        <w:rPr>
          <w:sz w:val="20"/>
          <w:szCs w:val="20"/>
          <w:color w:val="auto"/>
        </w:rPr>
        <w:tab/>
      </w:r>
      <w:r>
        <w:rPr>
          <w:rFonts w:ascii="Times New Roman" w:cs="Times New Roman" w:eastAsia="Times New Roman" w:hAnsi="Times New Roman"/>
          <w:sz w:val="17"/>
          <w:szCs w:val="17"/>
          <w:color w:val="auto"/>
        </w:rPr>
        <w:t>[__]%</w:t>
      </w:r>
    </w:p>
    <w:p>
      <w:pPr>
        <w:spacing w:after="0" w:line="185" w:lineRule="exact"/>
        <w:rPr>
          <w:sz w:val="20"/>
          <w:szCs w:val="20"/>
          <w:color w:val="auto"/>
        </w:rPr>
      </w:pPr>
    </w:p>
    <w:p>
      <w:pPr>
        <w:ind w:left="980"/>
        <w:spacing w:after="0"/>
        <w:tabs>
          <w:tab w:leader="none" w:pos="2560" w:val="left"/>
        </w:tabs>
        <w:rPr>
          <w:sz w:val="20"/>
          <w:szCs w:val="20"/>
          <w:color w:val="auto"/>
        </w:rPr>
      </w:pPr>
      <w:r>
        <w:rPr>
          <w:rFonts w:ascii="Times New Roman" w:cs="Times New Roman" w:eastAsia="Times New Roman" w:hAnsi="Times New Roman"/>
          <w:sz w:val="18"/>
          <w:szCs w:val="18"/>
          <w:color w:val="auto"/>
        </w:rPr>
        <w:t>Option Entitlement:</w:t>
      </w:r>
      <w:r>
        <w:rPr>
          <w:sz w:val="20"/>
          <w:szCs w:val="20"/>
          <w:color w:val="auto"/>
        </w:rPr>
        <w:tab/>
      </w:r>
      <w:r>
        <w:rPr>
          <w:rFonts w:ascii="Times New Roman" w:cs="Times New Roman" w:eastAsia="Times New Roman" w:hAnsi="Times New Roman"/>
          <w:sz w:val="17"/>
          <w:szCs w:val="17"/>
          <w:color w:val="auto"/>
        </w:rPr>
        <w:t>A number equal to the product of the Applicable Percentage and 9.4013.</w:t>
      </w:r>
    </w:p>
    <w:p>
      <w:pPr>
        <w:spacing w:after="0" w:line="198" w:lineRule="exact"/>
        <w:rPr>
          <w:sz w:val="20"/>
          <w:szCs w:val="20"/>
          <w:color w:val="auto"/>
        </w:rPr>
      </w:pPr>
    </w:p>
    <w:p>
      <w:pPr>
        <w:ind w:left="980"/>
        <w:spacing w:after="0"/>
        <w:tabs>
          <w:tab w:leader="none" w:pos="2040" w:val="left"/>
        </w:tabs>
        <w:rPr>
          <w:sz w:val="20"/>
          <w:szCs w:val="20"/>
          <w:color w:val="auto"/>
        </w:rPr>
      </w:pPr>
      <w:r>
        <w:rPr>
          <w:rFonts w:ascii="Times New Roman" w:cs="Times New Roman" w:eastAsia="Times New Roman" w:hAnsi="Times New Roman"/>
          <w:sz w:val="18"/>
          <w:szCs w:val="18"/>
          <w:color w:val="auto"/>
        </w:rPr>
        <w:t>Strike Price:</w:t>
      </w:r>
      <w:r>
        <w:rPr>
          <w:sz w:val="20"/>
          <w:szCs w:val="20"/>
          <w:color w:val="auto"/>
        </w:rPr>
        <w:tab/>
      </w:r>
      <w:r>
        <w:rPr>
          <w:rFonts w:ascii="Times New Roman" w:cs="Times New Roman" w:eastAsia="Times New Roman" w:hAnsi="Times New Roman"/>
          <w:sz w:val="17"/>
          <w:szCs w:val="17"/>
          <w:color w:val="auto"/>
        </w:rPr>
        <w:t>USD 106.3683</w:t>
      </w:r>
    </w:p>
    <w:p>
      <w:pPr>
        <w:spacing w:after="0" w:line="185" w:lineRule="exact"/>
        <w:rPr>
          <w:sz w:val="20"/>
          <w:szCs w:val="20"/>
          <w:color w:val="auto"/>
        </w:rPr>
      </w:pPr>
    </w:p>
    <w:p>
      <w:pPr>
        <w:ind w:left="980"/>
        <w:spacing w:after="0"/>
        <w:tabs>
          <w:tab w:leader="none" w:pos="1900" w:val="left"/>
        </w:tabs>
        <w:rPr>
          <w:sz w:val="20"/>
          <w:szCs w:val="20"/>
          <w:color w:val="auto"/>
        </w:rPr>
      </w:pPr>
      <w:r>
        <w:rPr>
          <w:rFonts w:ascii="Times New Roman" w:cs="Times New Roman" w:eastAsia="Times New Roman" w:hAnsi="Times New Roman"/>
          <w:sz w:val="18"/>
          <w:szCs w:val="18"/>
          <w:color w:val="auto"/>
        </w:rPr>
        <w:t>Cap Price:</w:t>
      </w:r>
      <w:r>
        <w:rPr>
          <w:sz w:val="20"/>
          <w:szCs w:val="20"/>
          <w:color w:val="auto"/>
        </w:rPr>
        <w:tab/>
      </w:r>
      <w:r>
        <w:rPr>
          <w:rFonts w:ascii="Times New Roman" w:cs="Times New Roman" w:eastAsia="Times New Roman" w:hAnsi="Times New Roman"/>
          <w:sz w:val="17"/>
          <w:szCs w:val="17"/>
          <w:color w:val="auto"/>
        </w:rPr>
        <w:t>USD 139.5000</w:t>
      </w:r>
    </w:p>
    <w:p>
      <w:pPr>
        <w:spacing w:after="0" w:line="185" w:lineRule="exact"/>
        <w:rPr>
          <w:sz w:val="20"/>
          <w:szCs w:val="20"/>
          <w:color w:val="auto"/>
        </w:rPr>
      </w:pPr>
    </w:p>
    <w:p>
      <w:pPr>
        <w:ind w:left="980"/>
        <w:spacing w:after="0"/>
        <w:tabs>
          <w:tab w:leader="none" w:pos="1900" w:val="left"/>
        </w:tabs>
        <w:rPr>
          <w:sz w:val="20"/>
          <w:szCs w:val="20"/>
          <w:color w:val="auto"/>
        </w:rPr>
      </w:pPr>
      <w:r>
        <w:rPr>
          <w:rFonts w:ascii="Times New Roman" w:cs="Times New Roman" w:eastAsia="Times New Roman" w:hAnsi="Times New Roman"/>
          <w:sz w:val="18"/>
          <w:szCs w:val="18"/>
          <w:color w:val="auto"/>
        </w:rPr>
        <w:t>Premium:</w:t>
        <w:tab/>
        <w:t>USD [______]</w:t>
      </w:r>
    </w:p>
    <w:p>
      <w:pPr>
        <w:spacing w:after="0" w:line="198" w:lineRule="exact"/>
        <w:rPr>
          <w:sz w:val="20"/>
          <w:szCs w:val="20"/>
          <w:color w:val="auto"/>
        </w:rPr>
      </w:pPr>
    </w:p>
    <w:p>
      <w:pPr>
        <w:ind w:left="980"/>
        <w:spacing w:after="0"/>
        <w:tabs>
          <w:tab w:leader="none" w:pos="2960" w:val="left"/>
        </w:tabs>
        <w:rPr>
          <w:sz w:val="20"/>
          <w:szCs w:val="20"/>
          <w:color w:val="auto"/>
        </w:rPr>
      </w:pPr>
      <w:r>
        <w:rPr>
          <w:rFonts w:ascii="Times New Roman" w:cs="Times New Roman" w:eastAsia="Times New Roman" w:hAnsi="Times New Roman"/>
          <w:sz w:val="18"/>
          <w:szCs w:val="18"/>
          <w:color w:val="auto"/>
        </w:rPr>
        <w:t>Premium Payment Date:</w:t>
      </w:r>
      <w:r>
        <w:rPr>
          <w:sz w:val="20"/>
          <w:szCs w:val="20"/>
          <w:color w:val="auto"/>
        </w:rPr>
        <w:tab/>
      </w:r>
      <w:r>
        <w:rPr>
          <w:rFonts w:ascii="Times New Roman" w:cs="Times New Roman" w:eastAsia="Times New Roman" w:hAnsi="Times New Roman"/>
          <w:sz w:val="17"/>
          <w:szCs w:val="17"/>
          <w:color w:val="auto"/>
        </w:rPr>
        <w:t>The Effective Date</w:t>
      </w:r>
    </w:p>
    <w:p>
      <w:pPr>
        <w:spacing w:after="0" w:line="185"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Exchange:</w:t>
        <w:tab/>
        <w:t>The Nasdaq Global Select Market</w:t>
      </w:r>
    </w:p>
    <w:p>
      <w:pPr>
        <w:spacing w:after="0" w:line="185" w:lineRule="exact"/>
        <w:rPr>
          <w:sz w:val="20"/>
          <w:szCs w:val="20"/>
          <w:color w:val="auto"/>
        </w:rPr>
      </w:pPr>
    </w:p>
    <w:p>
      <w:pPr>
        <w:ind w:left="980"/>
        <w:spacing w:after="0"/>
        <w:tabs>
          <w:tab w:leader="none" w:pos="2720" w:val="left"/>
        </w:tabs>
        <w:rPr>
          <w:sz w:val="20"/>
          <w:szCs w:val="20"/>
          <w:color w:val="auto"/>
        </w:rPr>
      </w:pPr>
      <w:r>
        <w:rPr>
          <w:rFonts w:ascii="Times New Roman" w:cs="Times New Roman" w:eastAsia="Times New Roman" w:hAnsi="Times New Roman"/>
          <w:sz w:val="18"/>
          <w:szCs w:val="18"/>
          <w:color w:val="auto"/>
        </w:rPr>
        <w:t>Related Exchange(s):</w:t>
        <w:tab/>
        <w:t>All Exchanges</w:t>
      </w:r>
    </w:p>
    <w:p>
      <w:pPr>
        <w:spacing w:after="0" w:line="198" w:lineRule="exact"/>
        <w:rPr>
          <w:sz w:val="20"/>
          <w:szCs w:val="20"/>
          <w:color w:val="auto"/>
        </w:rPr>
      </w:pPr>
    </w:p>
    <w:p>
      <w:pPr>
        <w:ind w:left="980"/>
        <w:spacing w:after="0"/>
        <w:tabs>
          <w:tab w:leader="none" w:pos="2680" w:val="left"/>
        </w:tabs>
        <w:rPr>
          <w:sz w:val="20"/>
          <w:szCs w:val="20"/>
          <w:color w:val="auto"/>
        </w:rPr>
      </w:pPr>
      <w:r>
        <w:rPr>
          <w:rFonts w:ascii="Times New Roman" w:cs="Times New Roman" w:eastAsia="Times New Roman" w:hAnsi="Times New Roman"/>
          <w:sz w:val="18"/>
          <w:szCs w:val="18"/>
          <w:color w:val="auto"/>
        </w:rPr>
        <w:t>Excluded Provisions:</w:t>
        <w:tab/>
        <w:t>Section 5.06(A) and Section 5.07 of the Indenture.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Procedures for Exercise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2580" w:hanging="3239"/>
        <w:spacing w:after="0" w:line="253" w:lineRule="auto"/>
        <w:tabs>
          <w:tab w:leader="none" w:pos="2560" w:val="left"/>
        </w:tabs>
        <w:rPr>
          <w:sz w:val="20"/>
          <w:szCs w:val="20"/>
          <w:color w:val="auto"/>
        </w:rPr>
      </w:pPr>
      <w:r>
        <w:rPr>
          <w:rFonts w:ascii="Times New Roman" w:cs="Times New Roman" w:eastAsia="Times New Roman" w:hAnsi="Times New Roman"/>
          <w:sz w:val="18"/>
          <w:szCs w:val="18"/>
          <w:color w:val="auto"/>
        </w:rPr>
        <w:t>Conversion Date:</w:t>
      </w:r>
      <w:r>
        <w:rPr>
          <w:sz w:val="20"/>
          <w:szCs w:val="20"/>
          <w:color w:val="auto"/>
        </w:rPr>
        <w:tab/>
      </w:r>
      <w:r>
        <w:rPr>
          <w:rFonts w:ascii="Times New Roman" w:cs="Times New Roman" w:eastAsia="Times New Roman" w:hAnsi="Times New Roman"/>
          <w:sz w:val="18"/>
          <w:szCs w:val="18"/>
          <w:color w:val="auto"/>
        </w:rPr>
        <w:t>With respect to any conversion of a Convertible Note (other than (x) any conversion of Convertible Notes with a Conversion Date occurring prior to the Free Convertibility Date or (y) any conversion of a Convertible Note in respect of which the “Holder” (as such term is defined in the Indenture) of such Convertible Note would be entitled to an increase in the “Conversion Rate” (as such term is defined in the Indenture) pursuant Section 5.07 of the Indenture (any such conversion described in clause (x) or clause (y), an “</w:t>
      </w:r>
      <w:r>
        <w:rPr>
          <w:rFonts w:ascii="Times New Roman" w:cs="Times New Roman" w:eastAsia="Times New Roman" w:hAnsi="Times New Roman"/>
          <w:sz w:val="18"/>
          <w:szCs w:val="18"/>
          <w:b w:val="1"/>
          <w:bCs w:val="1"/>
          <w:color w:val="auto"/>
        </w:rPr>
        <w:t>Early Conversion</w:t>
      </w:r>
      <w:r>
        <w:rPr>
          <w:rFonts w:ascii="Times New Roman" w:cs="Times New Roman" w:eastAsia="Times New Roman" w:hAnsi="Times New Roman"/>
          <w:sz w:val="18"/>
          <w:szCs w:val="18"/>
          <w:color w:val="auto"/>
        </w:rPr>
        <w:t xml:space="preserve">”), to which the provisions of Section 9(i)(i) of this Confirmation shall apply), the date on which the “Holder” (as such term is defined in the Indenture) of such Convertible Note satisfies all of the requirements for conversion thereof as set forth in Section 5.02(A)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Counterparty has not delivered to Dealer a related Notice of Exercise, then in no event shall a Conversion Date be deemed to occur hereunder (and no Option shall be exercised or deemed to be exercised hereunder) with respect to any surrender of a Convertible Note for conversion in respect of which Counterparty has elected to designate a financial institution for exchange in lieu of conversion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16459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hanging="172"/>
        <w:spacing w:after="0" w:line="232" w:lineRule="auto"/>
        <w:tabs>
          <w:tab w:leader="none" w:pos="137" w:val="left"/>
        </w:tabs>
        <w:numPr>
          <w:ilvl w:val="0"/>
          <w:numId w:val="16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5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Convertible Note pursuant to Section 5.08 of the Indenture.</w:t>
      </w:r>
    </w:p>
    <w:p>
      <w:pPr>
        <w:spacing w:after="0" w:line="198" w:lineRule="exact"/>
        <w:rPr>
          <w:sz w:val="20"/>
          <w:szCs w:val="20"/>
          <w:color w:val="auto"/>
        </w:rPr>
      </w:pPr>
    </w:p>
    <w:p>
      <w:pPr>
        <w:ind w:left="980"/>
        <w:spacing w:after="0"/>
        <w:tabs>
          <w:tab w:leader="none" w:pos="2940" w:val="left"/>
        </w:tabs>
        <w:rPr>
          <w:sz w:val="20"/>
          <w:szCs w:val="20"/>
          <w:color w:val="auto"/>
        </w:rPr>
      </w:pPr>
      <w:r>
        <w:rPr>
          <w:rFonts w:ascii="Times New Roman" w:cs="Times New Roman" w:eastAsia="Times New Roman" w:hAnsi="Times New Roman"/>
          <w:sz w:val="18"/>
          <w:szCs w:val="18"/>
          <w:color w:val="auto"/>
        </w:rPr>
        <w:t>Free Convertibility Date:</w:t>
        <w:tab/>
        <w:t>April 15, 2031</w:t>
      </w:r>
    </w:p>
    <w:p>
      <w:pPr>
        <w:spacing w:after="0" w:line="185" w:lineRule="exact"/>
        <w:rPr>
          <w:sz w:val="20"/>
          <w:szCs w:val="20"/>
          <w:color w:val="auto"/>
        </w:rPr>
      </w:pPr>
    </w:p>
    <w:p>
      <w:pPr>
        <w:ind w:left="980"/>
        <w:spacing w:after="0"/>
        <w:tabs>
          <w:tab w:leader="none" w:pos="2400" w:val="left"/>
        </w:tabs>
        <w:rPr>
          <w:sz w:val="20"/>
          <w:szCs w:val="20"/>
          <w:color w:val="auto"/>
        </w:rPr>
      </w:pPr>
      <w:r>
        <w:rPr>
          <w:rFonts w:ascii="Times New Roman" w:cs="Times New Roman" w:eastAsia="Times New Roman" w:hAnsi="Times New Roman"/>
          <w:sz w:val="18"/>
          <w:szCs w:val="18"/>
          <w:color w:val="auto"/>
        </w:rPr>
        <w:t>Expiration Time:</w:t>
      </w:r>
      <w:r>
        <w:rPr>
          <w:sz w:val="20"/>
          <w:szCs w:val="20"/>
          <w:color w:val="auto"/>
        </w:rPr>
        <w:tab/>
      </w:r>
      <w:r>
        <w:rPr>
          <w:rFonts w:ascii="Times New Roman" w:cs="Times New Roman" w:eastAsia="Times New Roman" w:hAnsi="Times New Roman"/>
          <w:sz w:val="17"/>
          <w:szCs w:val="17"/>
          <w:color w:val="auto"/>
        </w:rPr>
        <w:t>The Valuation Time</w:t>
      </w:r>
    </w:p>
    <w:p>
      <w:pPr>
        <w:spacing w:after="0" w:line="185" w:lineRule="exact"/>
        <w:rPr>
          <w:sz w:val="20"/>
          <w:szCs w:val="20"/>
          <w:color w:val="auto"/>
        </w:rPr>
      </w:pPr>
    </w:p>
    <w:p>
      <w:pPr>
        <w:ind w:left="980"/>
        <w:spacing w:after="0"/>
        <w:tabs>
          <w:tab w:leader="none" w:pos="2380" w:val="left"/>
        </w:tabs>
        <w:rPr>
          <w:sz w:val="20"/>
          <w:szCs w:val="20"/>
          <w:color w:val="auto"/>
        </w:rPr>
      </w:pPr>
      <w:r>
        <w:rPr>
          <w:rFonts w:ascii="Times New Roman" w:cs="Times New Roman" w:eastAsia="Times New Roman" w:hAnsi="Times New Roman"/>
          <w:sz w:val="18"/>
          <w:szCs w:val="18"/>
          <w:color w:val="auto"/>
        </w:rPr>
        <w:t>Expiration Date:</w:t>
      </w:r>
      <w:r>
        <w:rPr>
          <w:sz w:val="20"/>
          <w:szCs w:val="20"/>
          <w:color w:val="auto"/>
        </w:rPr>
        <w:tab/>
      </w:r>
      <w:r>
        <w:rPr>
          <w:rFonts w:ascii="Times New Roman" w:cs="Times New Roman" w:eastAsia="Times New Roman" w:hAnsi="Times New Roman"/>
          <w:sz w:val="17"/>
          <w:szCs w:val="17"/>
          <w:color w:val="auto"/>
        </w:rPr>
        <w:t>July 15, 2031, subject to earlier exercise.</w:t>
      </w:r>
    </w:p>
    <w:p>
      <w:pPr>
        <w:spacing w:after="0" w:line="198" w:lineRule="exact"/>
        <w:rPr>
          <w:sz w:val="20"/>
          <w:szCs w:val="20"/>
          <w:color w:val="auto"/>
        </w:rPr>
      </w:pPr>
    </w:p>
    <w:p>
      <w:pPr>
        <w:ind w:left="2520" w:hanging="3239"/>
        <w:spacing w:after="0" w:line="282" w:lineRule="auto"/>
        <w:tabs>
          <w:tab w:leader="none" w:pos="2500" w:val="left"/>
        </w:tabs>
        <w:rPr>
          <w:sz w:val="20"/>
          <w:szCs w:val="20"/>
          <w:color w:val="auto"/>
        </w:rPr>
      </w:pPr>
      <w:r>
        <w:rPr>
          <w:rFonts w:ascii="Times New Roman" w:cs="Times New Roman" w:eastAsia="Times New Roman" w:hAnsi="Times New Roman"/>
          <w:sz w:val="18"/>
          <w:szCs w:val="18"/>
          <w:color w:val="auto"/>
        </w:rPr>
        <w:t>Multiple Exercise:</w:t>
        <w:tab/>
        <w:t>Applicable, as described under “Automatic Exercise” and “Automatic Exercise of Remaining Repurchase Options After Free Convertibility Date” below.</w:t>
      </w:r>
    </w:p>
    <w:p>
      <w:pPr>
        <w:sectPr>
          <w:pgSz w:w="11900" w:h="16838" w:orient="portrait"/>
          <w:cols w:equalWidth="0" w:num="1">
            <w:col w:w="11240"/>
          </w:cols>
          <w:pgMar w:left="320" w:top="1440" w:right="339" w:bottom="1440" w:gutter="0" w:footer="0" w:header="0"/>
        </w:sectPr>
      </w:pP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Automatic Exercise: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hanging="1378"/>
        <w:spacing w:after="0" w:line="253" w:lineRule="auto"/>
        <w:rPr>
          <w:sz w:val="20"/>
          <w:szCs w:val="20"/>
          <w:color w:val="auto"/>
        </w:rPr>
      </w:pPr>
      <w:r>
        <w:rPr>
          <w:rFonts w:ascii="Times New Roman" w:cs="Times New Roman" w:eastAsia="Times New Roman" w:hAnsi="Times New Roman"/>
          <w:sz w:val="18"/>
          <w:szCs w:val="18"/>
          <w:color w:val="auto"/>
        </w:rPr>
        <w:t>Notwithstanding Section 3.4 of the Equity Definitions, on each Conversion Date occurring on or after the Free Convertibility Date, in respect of which a “conversion notice” or “notice of conversion” (as such term is used in the Indenture) that is effective as to Counterparty has been delivered by the relevant converting “Holder” (as defined in the Indenture), a number of Options equal to [(i)] the number of Convertible Notes in denominations of USD 1,000 as to which such Conversion Date has occurred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Options that are or are deemed to be automatically exercised on such Conversion Date under the Base Call Option Transaction Confirmation letter agreement dated April 30, 2026 between Dealer and Counterparty (the “</w:t>
      </w:r>
      <w:r>
        <w:rPr>
          <w:rFonts w:ascii="Times New Roman" w:cs="Times New Roman" w:eastAsia="Times New Roman" w:hAnsi="Times New Roman"/>
          <w:sz w:val="18"/>
          <w:szCs w:val="18"/>
          <w:b w:val="1"/>
          <w:bCs w:val="1"/>
          <w:color w:val="auto"/>
        </w:rPr>
        <w:t>Base Call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automatically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exercised or deemed exercised only if Counterparty has provided a Notice of Exercise to Dealer in accordance with “Notice of Exercise” below.</w:t>
      </w:r>
    </w:p>
    <w:p>
      <w:pPr>
        <w:spacing w:after="0" w:line="151" w:lineRule="exact"/>
        <w:rPr>
          <w:sz w:val="20"/>
          <w:szCs w:val="20"/>
          <w:color w:val="auto"/>
        </w:rPr>
      </w:pPr>
    </w:p>
    <w:p>
      <w:pPr>
        <w:sectPr>
          <w:pgSz w:w="11900" w:h="16838" w:orient="portrait"/>
          <w:cols w:equalWidth="0" w:num="2">
            <w:col w:w="3500" w:space="720"/>
            <w:col w:w="7020"/>
          </w:cols>
          <w:pgMar w:left="320" w:top="1440" w:right="339" w:bottom="1440" w:gutter="0" w:footer="0" w:header="0"/>
          <w:type w:val="continuous"/>
        </w:sectPr>
      </w:pPr>
    </w:p>
    <w:p>
      <w:pPr>
        <w:ind w:left="4220" w:hanging="2968"/>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 deemed exercised hereunder exceed the Number of Options.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Automatic Exercise of Remaining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Repurchase Options After</w:t>
      </w:r>
    </w:p>
    <w:p>
      <w:pPr>
        <w:spacing w:after="0" w:line="9" w:lineRule="exact"/>
        <w:rPr>
          <w:sz w:val="20"/>
          <w:szCs w:val="20"/>
          <w:color w:val="auto"/>
        </w:rPr>
      </w:pPr>
    </w:p>
    <w:p>
      <w:pPr>
        <w:jc w:val="both"/>
        <w:ind w:left="3020" w:hanging="3239"/>
        <w:spacing w:after="0" w:line="252" w:lineRule="auto"/>
        <w:tabs>
          <w:tab w:leader="none" w:pos="3000" w:val="left"/>
        </w:tabs>
        <w:rPr>
          <w:sz w:val="20"/>
          <w:szCs w:val="20"/>
          <w:color w:val="auto"/>
        </w:rPr>
      </w:pPr>
      <w:r>
        <w:rPr>
          <w:rFonts w:ascii="Times New Roman" w:cs="Times New Roman" w:eastAsia="Times New Roman" w:hAnsi="Times New Roman"/>
          <w:sz w:val="18"/>
          <w:szCs w:val="18"/>
          <w:color w:val="auto"/>
        </w:rPr>
        <w:t>Free Convertibility Date:</w:t>
        <w:tab/>
        <w:t>Notwithstanding anything herein or in Section 3.4 of the Equity Definitions to the contrary, unless Counterparty notifies Dealer in writing prior to 5:00 p.m. (New York City time) on the Scheduled Valid Day immediately preceding the Expiration Date that it does not wish Automatic Exercise to occur with respect to any Remaining Repurchase Options (as defined below), a number of Options equal to the lesser of (a) the Number of Options (after giving effect to the provisions opposite the caption “Automatic Exercise” above) as of 9:00 a.m. (New York City time) on the Expiration Date and (b) the Remaining Repurchase Options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Remaining Options (as defined in the Base Call Option Transaction Confirmation)]</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xml:space="preserve"> (such lesser number,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1645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1" w:lineRule="exact"/>
        <w:rPr>
          <w:sz w:val="20"/>
          <w:szCs w:val="20"/>
          <w:color w:val="auto"/>
        </w:rPr>
      </w:pPr>
    </w:p>
    <w:p>
      <w:pPr>
        <w:ind w:left="160" w:hanging="152"/>
        <w:spacing w:after="0"/>
        <w:tabs>
          <w:tab w:leader="none" w:pos="160" w:val="left"/>
        </w:tabs>
        <w:numPr>
          <w:ilvl w:val="0"/>
          <w:numId w:val="16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for Additional Call Option Confirmation only.</w:t>
      </w:r>
    </w:p>
    <w:p>
      <w:pPr>
        <w:ind w:left="140" w:hanging="132"/>
        <w:spacing w:after="0" w:line="211" w:lineRule="auto"/>
        <w:tabs>
          <w:tab w:leader="none" w:pos="140" w:val="left"/>
        </w:tabs>
        <w:numPr>
          <w:ilvl w:val="0"/>
          <w:numId w:val="1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Insert for Additional Call Option Confirmation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149" w:lineRule="exact"/>
        <w:rPr>
          <w:sz w:val="20"/>
          <w:szCs w:val="20"/>
          <w:color w:val="auto"/>
        </w:rPr>
      </w:pPr>
    </w:p>
    <w:p>
      <w:pPr>
        <w:jc w:val="both"/>
        <w:ind w:left="422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Remaining Options</w:t>
      </w:r>
      <w:r>
        <w:rPr>
          <w:rFonts w:ascii="Times New Roman" w:cs="Times New Roman" w:eastAsia="Times New Roman" w:hAnsi="Times New Roman"/>
          <w:sz w:val="18"/>
          <w:szCs w:val="18"/>
          <w:color w:val="auto"/>
        </w:rPr>
        <w:t xml:space="preserve">”) will be deemed to be automatically exercised as if (i) a number of Convertible Notes (in denominations of USD 1,000 principal amount) equal to such number of Remaining Options were converted with a “Conversion Date” (as defined in the Indenture) occurring on or after the Free Convertibility Date and (ii) the Settlement Method applied to the Options relating to such Convertible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exercise pursuant to this paragraph will occur if the Relevant Price for each Valid Day during the Settlement Averaging Period is less than or equal to the Strike Price. For the avoidance of doubt, no exercise pursuant to this “Automatic Exercise of Remaining Repurchase Options After Free Convertibility Date” shall be subject to the proviso in the relevant Settlement Method referencing the “Applicable Limit.” </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b w:val="1"/>
          <w:bCs w:val="1"/>
          <w:color w:val="auto"/>
        </w:rPr>
        <w:t>Remaining Repurchase Options</w:t>
      </w:r>
      <w:r>
        <w:rPr>
          <w:rFonts w:ascii="Times New Roman" w:cs="Times New Roman" w:eastAsia="Times New Roman" w:hAnsi="Times New Roman"/>
          <w:sz w:val="18"/>
          <w:szCs w:val="18"/>
          <w:color w:val="auto"/>
        </w:rPr>
        <w:t>” shall mean the excess of (I) the aggregate number of Convertible Notes (in denominations of USD 1,000 principal amount) that were subject to Repayment Events (as defined below) (other than Repayment Events pursuant to the terms of the Indenture) described in clause (y) of Section 9(i)(ii) (“</w:t>
      </w:r>
      <w:r>
        <w:rPr>
          <w:rFonts w:ascii="Times New Roman" w:cs="Times New Roman" w:eastAsia="Times New Roman" w:hAnsi="Times New Roman"/>
          <w:sz w:val="18"/>
          <w:szCs w:val="18"/>
          <w:b w:val="1"/>
          <w:bCs w:val="1"/>
          <w:color w:val="auto"/>
        </w:rPr>
        <w:t>Repurchase Events</w:t>
      </w:r>
      <w:r>
        <w:rPr>
          <w:rFonts w:ascii="Times New Roman" w:cs="Times New Roman" w:eastAsia="Times New Roman" w:hAnsi="Times New Roman"/>
          <w:sz w:val="18"/>
          <w:szCs w:val="18"/>
          <w:color w:val="auto"/>
        </w:rPr>
        <w:t xml:space="preserve">”) during the term of the Transaction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(II) the aggregate number of Repayment Options (as defined below) that were terminated hereunder relating to Repurchase Events during the term of the Transaction [and the number of Repayment Options (as defined in the Base Call Option Confirmation) terminated under the Base Call Option Confirmation relating to Repurchase Events (as defined therein) during the term of the “Transaction” under the Base Call Option Confirmation]</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Counterparty shall notify Dealer in writing of the number of Remaining Repurchase Options before 5:00 p.m. (New York City time) on the Scheduled Valid Day immediately preceding the Expiration Date.</w:t>
      </w:r>
    </w:p>
    <w:p>
      <w:pPr>
        <w:spacing w:after="0" w:line="232" w:lineRule="exact"/>
        <w:rPr>
          <w:sz w:val="20"/>
          <w:szCs w:val="20"/>
          <w:color w:val="auto"/>
        </w:rPr>
      </w:pPr>
    </w:p>
    <w:p>
      <w:pPr>
        <w:jc w:val="both"/>
        <w:ind w:left="2580" w:hanging="3239"/>
        <w:spacing w:after="0" w:line="254" w:lineRule="auto"/>
        <w:tabs>
          <w:tab w:leader="none" w:pos="2560" w:val="left"/>
        </w:tabs>
        <w:rPr>
          <w:sz w:val="20"/>
          <w:szCs w:val="20"/>
          <w:color w:val="auto"/>
        </w:rPr>
      </w:pPr>
      <w:r>
        <w:rPr>
          <w:rFonts w:ascii="Times New Roman" w:cs="Times New Roman" w:eastAsia="Times New Roman" w:hAnsi="Times New Roman"/>
          <w:sz w:val="18"/>
          <w:szCs w:val="18"/>
          <w:color w:val="auto"/>
        </w:rPr>
        <w:t>Notice of Exercise:</w:t>
        <w:tab/>
        <w:t xml:space="preserve">Notwithstanding anything to the contrary in the Equity Definitions or under “Automatic Exercise” above, but subject to “Automatic Exercise of Remaining Repurchase Options After Free Convertibility Date” above, in order to exercise any Options relating to Convertible Notes with a Conversion Date occurring on or after the Free Convertibility Date, Counterparty must notify Dealer in writing (which, for the avoidance of doubt, may be by email) before 5:00 p.m. (New York City time) on the Scheduled Valid Day immediately preceding the Expiration Date specifying the number of such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such notice (and the related exercise of Options hereunder) shall be effective if given after the applicable notice deadline specified above but prior to 5:00 p.m.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16459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hanging="152"/>
        <w:spacing w:after="0"/>
        <w:tabs>
          <w:tab w:leader="none" w:pos="160" w:val="left"/>
        </w:tabs>
        <w:numPr>
          <w:ilvl w:val="0"/>
          <w:numId w:val="1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for Additional Call Option Confirmation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3" w:lineRule="exact"/>
        <w:rPr>
          <w:sz w:val="20"/>
          <w:szCs w:val="20"/>
          <w:color w:val="auto"/>
        </w:rPr>
      </w:pPr>
    </w:p>
    <w:p>
      <w:pPr>
        <w:jc w:val="both"/>
        <w:ind w:left="3100"/>
        <w:spacing w:after="0" w:line="251" w:lineRule="auto"/>
        <w:rPr>
          <w:sz w:val="20"/>
          <w:szCs w:val="20"/>
          <w:color w:val="auto"/>
        </w:rPr>
      </w:pPr>
      <w:r>
        <w:rPr>
          <w:rFonts w:ascii="Times New Roman" w:cs="Times New Roman" w:eastAsia="Times New Roman" w:hAnsi="Times New Roman"/>
          <w:sz w:val="18"/>
          <w:szCs w:val="18"/>
          <w:color w:val="auto"/>
        </w:rPr>
        <w:t xml:space="preserve">time) on the fifth Exchange Business Day following such notice deadline, in which event the Calculation Agent shall have the right to adjust Dealer’s delivery obligation hereunder in good faith and in a commercially reasonable manner, with respect to the exercise of such Options, as appropriate to reflect the additional commercially reasonable costs and losses (limited to losses as a result of hedging mismatches and market losses) and expenses incurred by Dealer or any of its affiliates in connection with its hedging activities with such adjustments made assuming that Dealer maintains commercially reasonable hedge positions (including the unwinding of any hedge position) as a result of its not having received such notice prior to such notice deadline (it being understood that the adjusted delivery obligation described in the preceding proviso can never be less than zero and can never require any payment by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the Relevant Settlement Method for such Options is (x) Cash Settlement or (y) Combination Settlement, Dealer shall have received a separate notice (the “</w:t>
      </w:r>
      <w:r>
        <w:rPr>
          <w:rFonts w:ascii="Times New Roman" w:cs="Times New Roman" w:eastAsia="Times New Roman" w:hAnsi="Times New Roman"/>
          <w:sz w:val="18"/>
          <w:szCs w:val="18"/>
          <w:b w:val="1"/>
          <w:bCs w:val="1"/>
          <w:color w:val="auto"/>
        </w:rPr>
        <w:t>Notice of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(which, for the avoidance of doubt, may be by email) in respect of all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Notes before 5:00 p.m. (New York City time) on the Free Convertibility Date specifying (1) the Relevant Settlement Method for such Options, and (2) if the settlement method for the related Convertible Notes is not Settlement in Cash (as defined below), the fixed amount of cash per Convertible Note that Counterparty has elected to deliver to “Holders” (as such term is defined in the Indenture) of the related Convertible Notes (the “</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If Counterparty fails to timely provide such Notice of Final Settlement Method, it shall be deemed to have provided a Notice of Final Settlement Method indicating that the Relevant Settlement Method is Net Share Settlement and that the settlement method for the related Convertible Notes is a combination of cash and shares with a Specified Cash Amount of USD 1,000.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Notes.</w:t>
      </w:r>
    </w:p>
    <w:p>
      <w:pPr>
        <w:spacing w:after="0" w:line="175" w:lineRule="exact"/>
        <w:rPr>
          <w:sz w:val="20"/>
          <w:szCs w:val="20"/>
          <w:color w:val="auto"/>
        </w:rPr>
      </w:pPr>
    </w:p>
    <w:p>
      <w:pPr>
        <w:jc w:val="both"/>
        <w:ind w:left="1280" w:hanging="3239"/>
        <w:spacing w:after="0" w:line="276" w:lineRule="auto"/>
        <w:tabs>
          <w:tab w:leader="none" w:pos="1260" w:val="left"/>
        </w:tabs>
        <w:rPr>
          <w:sz w:val="20"/>
          <w:szCs w:val="20"/>
          <w:color w:val="auto"/>
        </w:rPr>
      </w:pPr>
      <w:r>
        <w:rPr>
          <w:rFonts w:ascii="Times New Roman" w:cs="Times New Roman" w:eastAsia="Times New Roman" w:hAnsi="Times New Roman"/>
          <w:sz w:val="18"/>
          <w:szCs w:val="18"/>
          <w:color w:val="auto"/>
        </w:rPr>
        <w:t>Valuation Time:</w:t>
        <w:tab/>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 session is extended, the Calculation Agent shall determine the Valuation Time in its commercially reasonable discretion.</w:t>
      </w:r>
    </w:p>
    <w:p>
      <w:pPr>
        <w:spacing w:after="0" w:line="349" w:lineRule="exact"/>
        <w:rPr>
          <w:sz w:val="20"/>
          <w:szCs w:val="20"/>
          <w:color w:val="auto"/>
        </w:rPr>
      </w:pPr>
    </w:p>
    <w:p>
      <w:pPr>
        <w:jc w:val="both"/>
        <w:ind w:left="2540" w:hanging="3239"/>
        <w:spacing w:after="0" w:line="266" w:lineRule="auto"/>
        <w:tabs>
          <w:tab w:leader="none" w:pos="2520" w:val="left"/>
        </w:tabs>
        <w:rPr>
          <w:sz w:val="20"/>
          <w:szCs w:val="20"/>
          <w:color w:val="auto"/>
        </w:rPr>
      </w:pPr>
      <w:r>
        <w:rPr>
          <w:rFonts w:ascii="Times New Roman" w:cs="Times New Roman" w:eastAsia="Times New Roman" w:hAnsi="Times New Roman"/>
          <w:sz w:val="18"/>
          <w:szCs w:val="18"/>
          <w:color w:val="auto"/>
        </w:rPr>
        <w:t>VWAP Market Disruption Event:</w:t>
        <w:tab/>
        <w:t>With respect to any date, (i) a failure by the principal U.S. national or regional securities exchange on which the Shares are then listed, or, if the Shares are not then listed on a U.S. national or regional securities exchange,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20"/>
          </w:cols>
          <w:pgMar w:left="1440" w:top="1440" w:right="339" w:bottom="1440" w:gutter="0" w:footer="0" w:header="0"/>
        </w:sectPr>
      </w:pPr>
    </w:p>
    <w:bookmarkStart w:id="133" w:name="page134"/>
    <w:bookmarkEnd w:id="133"/>
    <w:p>
      <w:pPr>
        <w:spacing w:after="0" w:line="153" w:lineRule="exact"/>
        <w:rPr>
          <w:sz w:val="20"/>
          <w:szCs w:val="20"/>
          <w:color w:val="auto"/>
        </w:rPr>
      </w:pPr>
    </w:p>
    <w:p>
      <w:pPr>
        <w:jc w:val="both"/>
        <w:ind w:left="3580"/>
        <w:spacing w:after="0" w:line="256" w:lineRule="auto"/>
        <w:rPr>
          <w:sz w:val="20"/>
          <w:szCs w:val="20"/>
          <w:color w:val="auto"/>
        </w:rPr>
      </w:pPr>
      <w:r>
        <w:rPr>
          <w:rFonts w:ascii="Times New Roman" w:cs="Times New Roman" w:eastAsia="Times New Roman" w:hAnsi="Times New Roman"/>
          <w:sz w:val="18"/>
          <w:szCs w:val="18"/>
          <w:color w:val="auto"/>
        </w:rPr>
        <w:t>principal other market on which the Shares are then traded, to open for trading during its regular trading session on such date; or (ii) the occurrence or existence, for more than one half hour period in the aggregate, of any suspension or limitation imposed on trading (by reason of movements in price exceeding limits permitted by the relevant exchange or otherwise) in the Shares or in any options contracts or futures contracts relating to the Shares, and such suspension or limitation occurs or exists at any time before 1:00 p.m., New York City time, on such date.</w:t>
      </w:r>
    </w:p>
    <w:p>
      <w:pPr>
        <w:spacing w:after="0" w:line="160" w:lineRule="exact"/>
        <w:rPr>
          <w:sz w:val="20"/>
          <w:szCs w:val="20"/>
          <w:color w:val="auto"/>
        </w:rPr>
      </w:pPr>
    </w:p>
    <w:p>
      <w:pPr>
        <w:ind w:left="340"/>
        <w:spacing w:after="0"/>
        <w:tabs>
          <w:tab w:leader="none" w:pos="2340" w:val="left"/>
        </w:tabs>
        <w:rPr>
          <w:sz w:val="20"/>
          <w:szCs w:val="20"/>
          <w:color w:val="auto"/>
        </w:rPr>
      </w:pPr>
      <w:r>
        <w:rPr>
          <w:rFonts w:ascii="Times New Roman" w:cs="Times New Roman" w:eastAsia="Times New Roman" w:hAnsi="Times New Roman"/>
          <w:sz w:val="18"/>
          <w:szCs w:val="18"/>
          <w:color w:val="auto"/>
        </w:rPr>
        <w:t>Market Disruption Event:</w:t>
      </w:r>
      <w:r>
        <w:rPr>
          <w:sz w:val="20"/>
          <w:szCs w:val="20"/>
          <w:color w:val="auto"/>
        </w:rPr>
        <w:tab/>
      </w:r>
      <w:r>
        <w:rPr>
          <w:rFonts w:ascii="Times New Roman" w:cs="Times New Roman" w:eastAsia="Times New Roman" w:hAnsi="Times New Roman"/>
          <w:sz w:val="17"/>
          <w:szCs w:val="17"/>
          <w:color w:val="auto"/>
        </w:rPr>
        <w:t>Section 6.3(a) of the Equity Definitions is hereby replaced in its entirety by the following:</w:t>
      </w:r>
    </w:p>
    <w:p>
      <w:pPr>
        <w:spacing w:after="0" w:line="185" w:lineRule="exact"/>
        <w:rPr>
          <w:sz w:val="20"/>
          <w:szCs w:val="20"/>
          <w:color w:val="auto"/>
        </w:rPr>
      </w:pPr>
    </w:p>
    <w:p>
      <w:pPr>
        <w:jc w:val="both"/>
        <w:ind w:left="3580" w:hanging="2994"/>
        <w:spacing w:after="0" w:line="256" w:lineRule="auto"/>
        <w:rPr>
          <w:sz w:val="20"/>
          <w:szCs w:val="20"/>
          <w:color w:val="auto"/>
        </w:rPr>
      </w:pPr>
      <w:r>
        <w:rPr>
          <w:rFonts w:ascii="Times New Roman" w:cs="Times New Roman" w:eastAsia="Times New Roman" w:hAnsi="Times New Roman"/>
          <w:sz w:val="18"/>
          <w:szCs w:val="18"/>
          <w:color w:val="auto"/>
        </w:rPr>
        <w:t>“‘Market Disruption Event’ means, with respect to any date, the occurrence or existence, during the one-half hour period ending at the scheduled close of trading on such date on the principal U.S. national or regional securities exchange or other market on which the Shares are listed for trading or trade, of any material suspension or limitation imposed on trading (by reason of movements in price exceeding limits permitted by the relevant exchange or otherwise) in the Shares or in any options contracts or futures contracts relating to the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Settlement Terms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left="1960" w:hanging="3239"/>
        <w:spacing w:after="0" w:line="261" w:lineRule="auto"/>
        <w:tabs>
          <w:tab w:leader="none" w:pos="1940" w:val="left"/>
        </w:tabs>
        <w:rPr>
          <w:sz w:val="20"/>
          <w:szCs w:val="20"/>
          <w:color w:val="auto"/>
        </w:rPr>
      </w:pPr>
      <w:r>
        <w:rPr>
          <w:rFonts w:ascii="Times New Roman" w:cs="Times New Roman" w:eastAsia="Times New Roman" w:hAnsi="Times New Roman"/>
          <w:sz w:val="18"/>
          <w:szCs w:val="18"/>
          <w:color w:val="auto"/>
        </w:rPr>
        <w:t>Settlement Method:</w:t>
        <w:tab/>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set forth below for such Option is not Net Share Settlement, then the Settlement Method for such Option shall be such Relevant Settlement Method, but only if Counterparty shall have notified Dealer of the Relevant Settlement Method in the Notice of Final Settlement Method for such Option.</w:t>
      </w:r>
    </w:p>
    <w:p>
      <w:pPr>
        <w:spacing w:after="0" w:line="141" w:lineRule="exact"/>
        <w:rPr>
          <w:sz w:val="20"/>
          <w:szCs w:val="20"/>
          <w:color w:val="auto"/>
        </w:rPr>
      </w:pPr>
    </w:p>
    <w:p>
      <w:pPr>
        <w:ind w:left="340"/>
        <w:spacing w:after="0"/>
        <w:tabs>
          <w:tab w:leader="none" w:pos="2600" w:val="left"/>
        </w:tabs>
        <w:rPr>
          <w:sz w:val="20"/>
          <w:szCs w:val="20"/>
          <w:color w:val="auto"/>
        </w:rPr>
      </w:pPr>
      <w:r>
        <w:rPr>
          <w:rFonts w:ascii="Times New Roman" w:cs="Times New Roman" w:eastAsia="Times New Roman" w:hAnsi="Times New Roman"/>
          <w:sz w:val="18"/>
          <w:szCs w:val="18"/>
          <w:color w:val="auto"/>
        </w:rPr>
        <w:t>Relevant Settlement Method:</w:t>
      </w:r>
      <w:r>
        <w:rPr>
          <w:sz w:val="20"/>
          <w:szCs w:val="20"/>
          <w:color w:val="auto"/>
        </w:rPr>
        <w:tab/>
      </w:r>
      <w:r>
        <w:rPr>
          <w:rFonts w:ascii="Times New Roman" w:cs="Times New Roman" w:eastAsia="Times New Roman" w:hAnsi="Times New Roman"/>
          <w:sz w:val="17"/>
          <w:szCs w:val="17"/>
          <w:color w:val="auto"/>
        </w:rPr>
        <w:t>In respect of any Option:</w:t>
      </w:r>
    </w:p>
    <w:p>
      <w:pPr>
        <w:spacing w:after="0" w:line="185" w:lineRule="exact"/>
        <w:rPr>
          <w:sz w:val="20"/>
          <w:szCs w:val="20"/>
          <w:color w:val="auto"/>
        </w:rPr>
      </w:pPr>
    </w:p>
    <w:p>
      <w:pPr>
        <w:jc w:val="both"/>
        <w:ind w:left="3580"/>
        <w:spacing w:after="0" w:line="261" w:lineRule="auto"/>
        <w:tabs>
          <w:tab w:leader="none" w:pos="393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has elected, or is deemed to have elected, to settle its conversion obligations in respect of the related Convertible Note in a combination of cash and Shares pursuant to Section 5.03(B)(i)(2) of the Indenture with a Specified Cash Amount equal to USD 1,000, then the Relevant Settlement Method for such Option shall be Net Share Settlement;</w:t>
      </w:r>
    </w:p>
    <w:p>
      <w:pPr>
        <w:spacing w:after="0" w:line="152" w:lineRule="exact"/>
        <w:rPr>
          <w:rFonts w:ascii="Times New Roman" w:cs="Times New Roman" w:eastAsia="Times New Roman" w:hAnsi="Times New Roman"/>
          <w:sz w:val="18"/>
          <w:szCs w:val="18"/>
          <w:color w:val="auto"/>
        </w:rPr>
      </w:pPr>
    </w:p>
    <w:p>
      <w:pPr>
        <w:jc w:val="both"/>
        <w:ind w:left="3580"/>
        <w:spacing w:after="0" w:line="261" w:lineRule="auto"/>
        <w:tabs>
          <w:tab w:leader="none" w:pos="408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has elected to settle its conversion obligations in respect of the related Convertible Note in a combination of cash and Shares pursuant to Section 5.03(B)(i)(2) of the Indenture with a Specified Cash Amount greater than USD 1,000, then the Relevant Settlement Method for such Option shall be Combination Settlement;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960" w:top="1440" w:right="339" w:bottom="1440" w:gutter="0" w:footer="0" w:header="0"/>
        </w:sectPr>
      </w:pPr>
    </w:p>
    <w:bookmarkStart w:id="134" w:name="page135"/>
    <w:bookmarkEnd w:id="134"/>
    <w:p>
      <w:pPr>
        <w:spacing w:after="0" w:line="153" w:lineRule="exact"/>
        <w:rPr>
          <w:sz w:val="20"/>
          <w:szCs w:val="20"/>
          <w:color w:val="auto"/>
        </w:rPr>
      </w:pPr>
    </w:p>
    <w:p>
      <w:pPr>
        <w:jc w:val="both"/>
        <w:ind w:left="3100"/>
        <w:spacing w:after="0" w:line="261" w:lineRule="auto"/>
        <w:tabs>
          <w:tab w:leader="none" w:pos="363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Counterparty has elected to settle its conversion obligations in respect of the related Convertible Note entirely in cash pursuant to Section 5.03(B)(i)(1) of the Indenture (such settlement method, “</w:t>
      </w:r>
      <w:r>
        <w:rPr>
          <w:rFonts w:ascii="Times New Roman" w:cs="Times New Roman" w:eastAsia="Times New Roman" w:hAnsi="Times New Roman"/>
          <w:sz w:val="18"/>
          <w:szCs w:val="18"/>
          <w:b w:val="1"/>
          <w:bCs w:val="1"/>
          <w:color w:val="auto"/>
        </w:rPr>
        <w:t>Settlement in Cash</w:t>
      </w:r>
      <w:r>
        <w:rPr>
          <w:rFonts w:ascii="Times New Roman" w:cs="Times New Roman" w:eastAsia="Times New Roman" w:hAnsi="Times New Roman"/>
          <w:sz w:val="18"/>
          <w:szCs w:val="18"/>
          <w:color w:val="auto"/>
        </w:rPr>
        <w:t>”), then the Relevant Settlement Method for such Option shall be Cash Settlement.</w:t>
      </w:r>
    </w:p>
    <w:p>
      <w:pPr>
        <w:spacing w:after="0" w:line="200" w:lineRule="exact"/>
        <w:rPr>
          <w:sz w:val="20"/>
          <w:szCs w:val="20"/>
          <w:color w:val="auto"/>
        </w:rPr>
      </w:pPr>
    </w:p>
    <w:p>
      <w:pPr>
        <w:spacing w:after="0" w:line="371" w:lineRule="exact"/>
        <w:rPr>
          <w:sz w:val="20"/>
          <w:szCs w:val="20"/>
          <w:color w:val="auto"/>
        </w:rPr>
      </w:pPr>
    </w:p>
    <w:p>
      <w:pPr>
        <w:jc w:val="both"/>
        <w:ind w:left="1660" w:hanging="3239"/>
        <w:spacing w:after="0" w:line="257" w:lineRule="auto"/>
        <w:tabs>
          <w:tab w:leader="none" w:pos="1640" w:val="left"/>
        </w:tabs>
        <w:rPr>
          <w:sz w:val="20"/>
          <w:szCs w:val="20"/>
          <w:color w:val="auto"/>
        </w:rPr>
      </w:pPr>
      <w:r>
        <w:rPr>
          <w:rFonts w:ascii="Times New Roman" w:cs="Times New Roman" w:eastAsia="Times New Roman" w:hAnsi="Times New Roman"/>
          <w:sz w:val="18"/>
          <w:szCs w:val="18"/>
          <w:color w:val="auto"/>
        </w:rPr>
        <w:t>Net Share Settlement:</w:t>
        <w:tab/>
        <w:t>If Net Share Settlement is applicable to any Option exercised or deemed exercised hereunder, Dealer will deliver to Counterparty, on the relevant Settlement Date for each such Option,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the sum, for each Valid Day during the Settlement Averaging Period for each such Option, of (i) (a) the Daily Option Value for such Valid Day,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(b) the Relevant Price on such Valid Day,</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(ii) the number of Valid Days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Settlement Averaging Period.</w:t>
      </w:r>
    </w:p>
    <w:p>
      <w:pPr>
        <w:spacing w:after="0" w:line="363" w:lineRule="exact"/>
        <w:rPr>
          <w:sz w:val="20"/>
          <w:szCs w:val="20"/>
          <w:color w:val="auto"/>
        </w:rPr>
      </w:pPr>
    </w:p>
    <w:p>
      <w:pPr>
        <w:jc w:val="both"/>
        <w:ind w:left="3100" w:hanging="3039"/>
        <w:spacing w:after="0" w:line="258" w:lineRule="auto"/>
        <w:rPr>
          <w:sz w:val="20"/>
          <w:szCs w:val="20"/>
          <w:color w:val="auto"/>
        </w:rPr>
      </w:pPr>
      <w:r>
        <w:rPr>
          <w:rFonts w:ascii="Times New Roman" w:cs="Times New Roman" w:eastAsia="Times New Roman" w:hAnsi="Times New Roman"/>
          <w:sz w:val="18"/>
          <w:szCs w:val="18"/>
          <w:color w:val="auto"/>
        </w:rPr>
        <w:t xml:space="preserve">Dealer will pay cash in lieu of delivering any fractional Shares to be delivered with respect to any Net Share Settlement Amount valued at the Relevant Price for the last Valid Day of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in the case of any Remaining Options, in no event shall the Net Share Settlement Amount for any Option exceed a number of Shares equal to the Applicable Limit for such Option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Applicable Limit Price on the Settlement Date for such Option.</w:t>
      </w:r>
    </w:p>
    <w:p>
      <w:pPr>
        <w:spacing w:after="0" w:line="156" w:lineRule="exact"/>
        <w:rPr>
          <w:sz w:val="20"/>
          <w:szCs w:val="20"/>
          <w:color w:val="auto"/>
        </w:rPr>
      </w:pPr>
    </w:p>
    <w:p>
      <w:pPr>
        <w:jc w:val="both"/>
        <w:ind w:left="1880" w:hanging="3239"/>
        <w:spacing w:after="0" w:line="275" w:lineRule="auto"/>
        <w:tabs>
          <w:tab w:leader="none" w:pos="1860" w:val="left"/>
        </w:tabs>
        <w:rPr>
          <w:sz w:val="20"/>
          <w:szCs w:val="20"/>
          <w:color w:val="auto"/>
        </w:rPr>
      </w:pPr>
      <w:r>
        <w:rPr>
          <w:rFonts w:ascii="Times New Roman" w:cs="Times New Roman" w:eastAsia="Times New Roman" w:hAnsi="Times New Roman"/>
          <w:sz w:val="18"/>
          <w:szCs w:val="18"/>
          <w:color w:val="auto"/>
        </w:rPr>
        <w:t>Combination Settlement:</w:t>
        <w:tab/>
        <w:t>If Combination Settlement is applicable to any Option exercised or deemed exercised hereunder, Dealer will pay or deliver, as the case may be, to Counterparty, on the relevant Settlement Date for each such Option:</w:t>
      </w:r>
    </w:p>
    <w:p>
      <w:pPr>
        <w:spacing w:after="0" w:line="345" w:lineRule="exact"/>
        <w:rPr>
          <w:sz w:val="20"/>
          <w:szCs w:val="20"/>
          <w:color w:val="auto"/>
        </w:rPr>
      </w:pPr>
    </w:p>
    <w:p>
      <w:pPr>
        <w:ind w:left="3600" w:hanging="500"/>
        <w:spacing w:after="0" w:line="255" w:lineRule="auto"/>
        <w:tabs>
          <w:tab w:leader="none" w:pos="347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 during the Settlement Averaging Period for such Option, of (A) an amount (the “</w:t>
      </w:r>
      <w:r>
        <w:rPr>
          <w:rFonts w:ascii="Times New Roman" w:cs="Times New Roman" w:eastAsia="Times New Roman" w:hAnsi="Times New Roman"/>
          <w:sz w:val="18"/>
          <w:szCs w:val="18"/>
          <w:b w:val="1"/>
          <w:bCs w:val="1"/>
          <w:color w:val="auto"/>
        </w:rPr>
        <w:t>Daily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lesser of (1) the product of (x)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Percentage and (y) the Specified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1,000 and (2) the Daily Option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clause (A) above results in zero or a negative number for any Valid Day, the Daily Combination Settlement Cash Amount for such Valid Day shall be deemed to be zero; and</w:t>
      </w:r>
    </w:p>
    <w:p>
      <w:pPr>
        <w:spacing w:after="0" w:line="144" w:lineRule="exact"/>
        <w:rPr>
          <w:rFonts w:ascii="Times New Roman" w:cs="Times New Roman" w:eastAsia="Times New Roman" w:hAnsi="Times New Roman"/>
          <w:sz w:val="18"/>
          <w:szCs w:val="18"/>
          <w:color w:val="auto"/>
        </w:rPr>
      </w:pPr>
    </w:p>
    <w:p>
      <w:pPr>
        <w:ind w:left="3600" w:hanging="500"/>
        <w:spacing w:after="0" w:line="286" w:lineRule="auto"/>
        <w:tabs>
          <w:tab w:leader="none" w:pos="355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 during the Settlement Averaging Period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149" w:lineRule="exact"/>
        <w:rPr>
          <w:sz w:val="20"/>
          <w:szCs w:val="20"/>
          <w:color w:val="auto"/>
        </w:rPr>
      </w:pPr>
    </w:p>
    <w:p>
      <w:pPr>
        <w:jc w:val="both"/>
        <w:ind w:left="3600"/>
        <w:spacing w:after="0" w:line="256" w:lineRule="auto"/>
        <w:rPr>
          <w:sz w:val="20"/>
          <w:szCs w:val="20"/>
          <w:color w:val="auto"/>
        </w:rPr>
      </w:pPr>
      <w:r>
        <w:rPr>
          <w:rFonts w:ascii="Times New Roman" w:cs="Times New Roman" w:eastAsia="Times New Roman" w:hAnsi="Times New Roman"/>
          <w:sz w:val="18"/>
          <w:szCs w:val="18"/>
          <w:color w:val="auto"/>
        </w:rPr>
        <w:t>Option, of a number of Shares for such Valid Day (the “</w:t>
      </w:r>
      <w:r>
        <w:rPr>
          <w:rFonts w:ascii="Times New Roman" w:cs="Times New Roman" w:eastAsia="Times New Roman" w:hAnsi="Times New Roman"/>
          <w:sz w:val="18"/>
          <w:szCs w:val="18"/>
          <w:b w:val="1"/>
          <w:bCs w:val="1"/>
          <w:color w:val="auto"/>
        </w:rPr>
        <w:t>Daily Combination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equal to (A) (1) the Daily Option Value on such Valid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Daily Combination Settlement Cash Amount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Relevant Price 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158" w:lineRule="exact"/>
        <w:rPr>
          <w:sz w:val="20"/>
          <w:szCs w:val="20"/>
          <w:color w:val="auto"/>
        </w:rPr>
      </w:pPr>
    </w:p>
    <w:p>
      <w:pPr>
        <w:jc w:val="both"/>
        <w:ind w:left="3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other than in the case of any Remaining Options, in no event shall the sum of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Combination Settlement Cash Amount for any Option and (y) the Combination Settlement Share Amount for such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exceed the Applicable Limit for such Option.</w:t>
      </w:r>
    </w:p>
    <w:p>
      <w:pPr>
        <w:spacing w:after="0" w:line="141" w:lineRule="exact"/>
        <w:rPr>
          <w:sz w:val="20"/>
          <w:szCs w:val="20"/>
          <w:color w:val="auto"/>
        </w:rPr>
      </w:pPr>
    </w:p>
    <w:p>
      <w:pPr>
        <w:jc w:val="both"/>
        <w:ind w:left="310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pacing w:after="0" w:line="135" w:lineRule="exact"/>
        <w:rPr>
          <w:sz w:val="20"/>
          <w:szCs w:val="20"/>
          <w:color w:val="auto"/>
        </w:rPr>
      </w:pPr>
    </w:p>
    <w:p>
      <w:pPr>
        <w:jc w:val="both"/>
        <w:ind w:left="1360" w:hanging="3239"/>
        <w:spacing w:after="0" w:line="256" w:lineRule="auto"/>
        <w:tabs>
          <w:tab w:leader="none" w:pos="1340" w:val="left"/>
        </w:tabs>
        <w:rPr>
          <w:sz w:val="20"/>
          <w:szCs w:val="20"/>
          <w:color w:val="auto"/>
        </w:rPr>
      </w:pPr>
      <w:r>
        <w:rPr>
          <w:rFonts w:ascii="Times New Roman" w:cs="Times New Roman" w:eastAsia="Times New Roman" w:hAnsi="Times New Roman"/>
          <w:sz w:val="18"/>
          <w:szCs w:val="18"/>
          <w:color w:val="auto"/>
        </w:rPr>
        <w:t>Cash Settlement:</w:t>
        <w:tab/>
        <w:t>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xml:space="preserve">”) equal to the sum, for each Valid Day during the Settlement Averaging Period for such Option, of (i)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other than in the case of any Remaining Options, in no event shall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Amount for any Option exceed the Applicable Limit for such Option.</w:t>
      </w:r>
    </w:p>
    <w:p>
      <w:pPr>
        <w:spacing w:after="0" w:line="374" w:lineRule="exact"/>
        <w:rPr>
          <w:sz w:val="20"/>
          <w:szCs w:val="20"/>
          <w:color w:val="auto"/>
        </w:rPr>
      </w:pPr>
    </w:p>
    <w:p>
      <w:pPr>
        <w:jc w:val="both"/>
        <w:ind w:left="1500" w:hanging="3239"/>
        <w:spacing w:after="0" w:line="260" w:lineRule="auto"/>
        <w:tabs>
          <w:tab w:leader="none" w:pos="1480" w:val="left"/>
        </w:tabs>
        <w:rPr>
          <w:sz w:val="20"/>
          <w:szCs w:val="20"/>
          <w:color w:val="auto"/>
        </w:rPr>
      </w:pPr>
      <w:r>
        <w:rPr>
          <w:rFonts w:ascii="Times New Roman" w:cs="Times New Roman" w:eastAsia="Times New Roman" w:hAnsi="Times New Roman"/>
          <w:sz w:val="18"/>
          <w:szCs w:val="18"/>
          <w:color w:val="auto"/>
        </w:rPr>
        <w:t>Daily Option Value:</w:t>
        <w:tab/>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(A) the lesser of the Relevant Price on such Valid Day and the Cap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 Price on 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 negative number, the Daily Option Value for such Valid Day shall be deemed to be zero. In no event will the Daily Option Value be less than zero.</w:t>
      </w:r>
    </w:p>
    <w:p>
      <w:pPr>
        <w:spacing w:after="0" w:line="359" w:lineRule="exact"/>
        <w:rPr>
          <w:sz w:val="20"/>
          <w:szCs w:val="20"/>
          <w:color w:val="auto"/>
        </w:rPr>
      </w:pPr>
    </w:p>
    <w:p>
      <w:pPr>
        <w:jc w:val="both"/>
        <w:ind w:left="1340" w:hanging="3239"/>
        <w:spacing w:after="0" w:line="264" w:lineRule="auto"/>
        <w:tabs>
          <w:tab w:leader="none" w:pos="1320" w:val="left"/>
        </w:tabs>
        <w:rPr>
          <w:sz w:val="20"/>
          <w:szCs w:val="20"/>
          <w:color w:val="auto"/>
        </w:rPr>
      </w:pPr>
      <w:r>
        <w:rPr>
          <w:rFonts w:ascii="Times New Roman" w:cs="Times New Roman" w:eastAsia="Times New Roman" w:hAnsi="Times New Roman"/>
          <w:sz w:val="18"/>
          <w:szCs w:val="18"/>
          <w:color w:val="auto"/>
        </w:rPr>
        <w:t>Applicable Limit:</w:t>
        <w:tab/>
        <w:t xml:space="preserve">For any Option, an amount of cash equal to the Applicable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excess of (i) the aggregate of (A) the amount of cash paid to the “Holder” (as such term is defined in the Indenture) of the related Convertible Note upon conversion of such Convertible Note and (B) the number of Shares,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0"/>
          </w:cols>
          <w:pgMar w:left="1440" w:top="1440" w:right="339" w:bottom="1440" w:gutter="0" w:footer="0" w:header="0"/>
        </w:sectPr>
      </w:pPr>
    </w:p>
    <w:bookmarkStart w:id="136" w:name="page137"/>
    <w:bookmarkEnd w:id="136"/>
    <w:p>
      <w:pPr>
        <w:spacing w:after="0" w:line="153" w:lineRule="exact"/>
        <w:rPr>
          <w:sz w:val="20"/>
          <w:szCs w:val="20"/>
          <w:color w:val="auto"/>
        </w:rPr>
      </w:pPr>
    </w:p>
    <w:p>
      <w:pPr>
        <w:jc w:val="both"/>
        <w:ind w:left="3100" w:right="20"/>
        <w:spacing w:after="0" w:line="266" w:lineRule="auto"/>
        <w:rPr>
          <w:sz w:val="20"/>
          <w:szCs w:val="20"/>
          <w:color w:val="auto"/>
        </w:rPr>
      </w:pPr>
      <w:r>
        <w:rPr>
          <w:rFonts w:ascii="Times New Roman" w:cs="Times New Roman" w:eastAsia="Times New Roman" w:hAnsi="Times New Roman"/>
          <w:sz w:val="18"/>
          <w:szCs w:val="18"/>
          <w:color w:val="auto"/>
        </w:rPr>
        <w:t xml:space="preserve">delivered to the “Holder” (as such term is defined in the Indenture) of the related Convertible Note upon conversion of such Convertible Note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Applicable Limit Price on the Settlement Date for such Option, over (ii) USD 1,000.</w:t>
      </w:r>
    </w:p>
    <w:p>
      <w:pPr>
        <w:spacing w:after="0" w:line="149" w:lineRule="exact"/>
        <w:rPr>
          <w:sz w:val="20"/>
          <w:szCs w:val="20"/>
          <w:color w:val="auto"/>
        </w:rPr>
      </w:pPr>
    </w:p>
    <w:p>
      <w:pPr>
        <w:jc w:val="both"/>
        <w:ind w:left="1800" w:hanging="3239"/>
        <w:spacing w:after="0" w:line="282" w:lineRule="auto"/>
        <w:tabs>
          <w:tab w:leader="none" w:pos="1780" w:val="left"/>
        </w:tabs>
        <w:rPr>
          <w:sz w:val="20"/>
          <w:szCs w:val="20"/>
          <w:color w:val="auto"/>
        </w:rPr>
      </w:pPr>
      <w:r>
        <w:rPr>
          <w:rFonts w:ascii="Times New Roman" w:cs="Times New Roman" w:eastAsia="Times New Roman" w:hAnsi="Times New Roman"/>
          <w:sz w:val="18"/>
          <w:szCs w:val="18"/>
          <w:color w:val="auto"/>
        </w:rPr>
        <w:t>Applicable Limit Price:</w:t>
        <w:tab/>
        <w:t>On any day, the opening price as displayed under the heading “Op” on Bloomberg page AMKR &lt;equity&gt; (or any successor thereto).</w:t>
      </w:r>
    </w:p>
    <w:p>
      <w:pPr>
        <w:spacing w:after="0" w:line="200" w:lineRule="exact"/>
        <w:rPr>
          <w:sz w:val="20"/>
          <w:szCs w:val="20"/>
          <w:color w:val="auto"/>
        </w:rPr>
      </w:pPr>
    </w:p>
    <w:p>
      <w:pPr>
        <w:spacing w:after="0" w:line="340" w:lineRule="exact"/>
        <w:rPr>
          <w:sz w:val="20"/>
          <w:szCs w:val="20"/>
          <w:color w:val="auto"/>
        </w:rPr>
      </w:pPr>
    </w:p>
    <w:p>
      <w:pPr>
        <w:jc w:val="both"/>
        <w:ind w:left="880" w:hanging="3239"/>
        <w:spacing w:after="0" w:line="259" w:lineRule="auto"/>
        <w:tabs>
          <w:tab w:leader="none" w:pos="860" w:val="left"/>
        </w:tabs>
        <w:rPr>
          <w:sz w:val="20"/>
          <w:szCs w:val="20"/>
          <w:color w:val="auto"/>
        </w:rPr>
      </w:pPr>
      <w:r>
        <w:rPr>
          <w:rFonts w:ascii="Times New Roman" w:cs="Times New Roman" w:eastAsia="Times New Roman" w:hAnsi="Times New Roman"/>
          <w:sz w:val="18"/>
          <w:szCs w:val="18"/>
          <w:color w:val="auto"/>
        </w:rPr>
        <w:t>Valid Day:</w:t>
        <w:tab/>
        <w:t>A day on which (i) there is no VWAP Market Disruption Event and (ii) trading in the Shares generally occurs on the principal U.S. national or regional securities exchange on which the Shares are then listed or, if the Shares are not then listed on a U.S. national or regional securities exchange, on the principal other market on which the Shares are then traded. If the Shares are not so listed or traded, then a “Valid Day” means a Business Day.</w:t>
      </w:r>
    </w:p>
    <w:p>
      <w:pPr>
        <w:spacing w:after="0" w:line="376" w:lineRule="exact"/>
        <w:rPr>
          <w:sz w:val="20"/>
          <w:szCs w:val="20"/>
          <w:color w:val="auto"/>
        </w:rPr>
      </w:pPr>
    </w:p>
    <w:p>
      <w:pPr>
        <w:jc w:val="both"/>
        <w:ind w:left="1620" w:hanging="3239"/>
        <w:spacing w:after="0" w:line="261" w:lineRule="auto"/>
        <w:tabs>
          <w:tab w:leader="none" w:pos="1600" w:val="left"/>
        </w:tabs>
        <w:rPr>
          <w:sz w:val="20"/>
          <w:szCs w:val="20"/>
          <w:color w:val="auto"/>
        </w:rPr>
      </w:pPr>
      <w:r>
        <w:rPr>
          <w:rFonts w:ascii="Times New Roman" w:cs="Times New Roman" w:eastAsia="Times New Roman" w:hAnsi="Times New Roman"/>
          <w:sz w:val="18"/>
          <w:szCs w:val="18"/>
          <w:color w:val="auto"/>
        </w:rPr>
        <w:t>Scheduled Valid Day:</w:t>
        <w:tab/>
        <w:t>Any day that is scheduled to be a Valid Trading Day on the principal U.S. national or regional securities exchange on which the Shares are then listed or, if the Shares are not then listed on a U.S. national or regional securities exchange, on the principal other market on which the Shares are then traded. If the Shares are not so listed or traded, a “Scheduled Valid Day” means a Business Day.</w:t>
      </w:r>
    </w:p>
    <w:p>
      <w:pPr>
        <w:spacing w:after="0" w:line="139" w:lineRule="exact"/>
        <w:rPr>
          <w:sz w:val="20"/>
          <w:szCs w:val="20"/>
          <w:color w:val="auto"/>
        </w:rPr>
      </w:pPr>
    </w:p>
    <w:p>
      <w:pPr>
        <w:jc w:val="both"/>
        <w:ind w:left="1580" w:hanging="3239"/>
        <w:spacing w:after="0" w:line="259" w:lineRule="auto"/>
        <w:tabs>
          <w:tab w:leader="none" w:pos="1560" w:val="left"/>
        </w:tabs>
        <w:rPr>
          <w:sz w:val="20"/>
          <w:szCs w:val="20"/>
          <w:color w:val="auto"/>
        </w:rPr>
      </w:pPr>
      <w:r>
        <w:rPr>
          <w:rFonts w:ascii="Times New Roman" w:cs="Times New Roman" w:eastAsia="Times New Roman" w:hAnsi="Times New Roman"/>
          <w:sz w:val="18"/>
          <w:szCs w:val="18"/>
          <w:color w:val="auto"/>
        </w:rPr>
        <w:t>Valid Trading Day:</w:t>
        <w:tab/>
        <w:t>Any day on which (i) trading in the Shares generally occurs on the principal U.S. national or regional securities exchange on which the Shares are then listed or, if the Shares are not then listed on a U.S. national or regional securities exchange, on the principal other market on which the Shares are then traded; and (ii) there is no Market Disruption Event. If the Shares are not so listed or traded, then “Valid Trading Day” means a Business Day.</w:t>
      </w:r>
    </w:p>
    <w:p>
      <w:pPr>
        <w:spacing w:after="0" w:line="362" w:lineRule="exact"/>
        <w:rPr>
          <w:sz w:val="20"/>
          <w:szCs w:val="20"/>
          <w:color w:val="auto"/>
        </w:rPr>
      </w:pPr>
    </w:p>
    <w:p>
      <w:pPr>
        <w:jc w:val="both"/>
        <w:ind w:left="1160" w:right="20" w:hanging="3239"/>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Business Day:</w:t>
        <w:tab/>
        <w:t>Any day other than a Saturday, a Sunday or any day on which the Federal Reserve Bank of New York is authorized or required by law or executive order to close or be closed.</w:t>
      </w:r>
    </w:p>
    <w:p>
      <w:pPr>
        <w:spacing w:after="0" w:line="135" w:lineRule="exact"/>
        <w:rPr>
          <w:sz w:val="20"/>
          <w:szCs w:val="20"/>
          <w:color w:val="auto"/>
        </w:rPr>
      </w:pPr>
    </w:p>
    <w:p>
      <w:pPr>
        <w:jc w:val="both"/>
        <w:ind w:left="1180" w:hanging="3239"/>
        <w:spacing w:after="0" w:line="257" w:lineRule="auto"/>
        <w:tabs>
          <w:tab w:leader="none" w:pos="1160" w:val="left"/>
        </w:tabs>
        <w:rPr>
          <w:sz w:val="20"/>
          <w:szCs w:val="20"/>
          <w:color w:val="auto"/>
        </w:rPr>
      </w:pPr>
      <w:r>
        <w:rPr>
          <w:rFonts w:ascii="Times New Roman" w:cs="Times New Roman" w:eastAsia="Times New Roman" w:hAnsi="Times New Roman"/>
          <w:sz w:val="18"/>
          <w:szCs w:val="18"/>
          <w:color w:val="auto"/>
        </w:rPr>
        <w:t>Relevant Price:</w:t>
        <w:tab/>
        <w:t>For any Valid Day, the per Share volume-weighted average price of the Shares as displayed under the heading “Bloomberg VWAP” on Bloomberg page “AMKR &lt;equity&gt; AQR” (or if such page is not available, its equivalent successor page)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20"/>
          </w:cols>
          <w:pgMar w:left="1440" w:top="1440" w:right="339" w:bottom="1440" w:gutter="0" w:footer="0" w:header="0"/>
        </w:sectPr>
      </w:pPr>
    </w:p>
    <w:bookmarkStart w:id="137" w:name="page138"/>
    <w:bookmarkEnd w:id="137"/>
    <w:p>
      <w:pPr>
        <w:spacing w:after="0" w:line="153" w:lineRule="exact"/>
        <w:rPr>
          <w:sz w:val="20"/>
          <w:szCs w:val="20"/>
          <w:color w:val="auto"/>
        </w:rPr>
      </w:pPr>
    </w:p>
    <w:p>
      <w:pPr>
        <w:jc w:val="both"/>
        <w:ind w:left="4220" w:right="20"/>
        <w:spacing w:after="0" w:line="266" w:lineRule="auto"/>
        <w:rPr>
          <w:sz w:val="20"/>
          <w:szCs w:val="20"/>
          <w:color w:val="auto"/>
        </w:rPr>
      </w:pPr>
      <w:r>
        <w:rPr>
          <w:rFonts w:ascii="Times New Roman" w:cs="Times New Roman" w:eastAsia="Times New Roman" w:hAnsi="Times New Roman"/>
          <w:sz w:val="18"/>
          <w:szCs w:val="18"/>
          <w:color w:val="auto"/>
        </w:rPr>
        <w:t>and in a commercially reasonable manner using, if practicable, a volume-weighted average method). The Relevant Price will be determined without regard to after-hours trading or any other trading outside of the regular trading session.</w:t>
      </w:r>
    </w:p>
    <w:p>
      <w:pPr>
        <w:spacing w:after="0" w:line="149" w:lineRule="exact"/>
        <w:rPr>
          <w:sz w:val="20"/>
          <w:szCs w:val="20"/>
          <w:color w:val="auto"/>
        </w:rPr>
      </w:pPr>
    </w:p>
    <w:p>
      <w:pPr>
        <w:jc w:val="both"/>
        <w:ind w:left="3320" w:hanging="3239"/>
        <w:spacing w:after="0"/>
        <w:tabs>
          <w:tab w:leader="none" w:pos="3300" w:val="left"/>
        </w:tabs>
        <w:rPr>
          <w:sz w:val="20"/>
          <w:szCs w:val="20"/>
          <w:color w:val="auto"/>
        </w:rPr>
      </w:pPr>
      <w:r>
        <w:rPr>
          <w:rFonts w:ascii="Times New Roman" w:cs="Times New Roman" w:eastAsia="Times New Roman" w:hAnsi="Times New Roman"/>
          <w:sz w:val="18"/>
          <w:szCs w:val="18"/>
          <w:color w:val="auto"/>
        </w:rPr>
        <w:t>Settlement Averaging Period:</w:t>
        <w:tab/>
        <w:t>For any Option and regardless of the Settlement Method applicable to such Option, the 20 consecutive Valid Days commencing on, and including,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Scheduled Valid Day immediately prior to the Expiration Date.</w:t>
      </w:r>
    </w:p>
    <w:p>
      <w:pPr>
        <w:spacing w:after="0" w:line="352" w:lineRule="exact"/>
        <w:rPr>
          <w:sz w:val="20"/>
          <w:szCs w:val="20"/>
          <w:color w:val="auto"/>
        </w:rPr>
      </w:pPr>
    </w:p>
    <w:p>
      <w:pPr>
        <w:jc w:val="both"/>
        <w:ind w:left="2420" w:right="20" w:hanging="3239"/>
        <w:spacing w:after="0" w:line="282" w:lineRule="auto"/>
        <w:tabs>
          <w:tab w:leader="none" w:pos="2400" w:val="left"/>
        </w:tabs>
        <w:rPr>
          <w:sz w:val="20"/>
          <w:szCs w:val="20"/>
          <w:color w:val="auto"/>
        </w:rPr>
      </w:pPr>
      <w:r>
        <w:rPr>
          <w:rFonts w:ascii="Times New Roman" w:cs="Times New Roman" w:eastAsia="Times New Roman" w:hAnsi="Times New Roman"/>
          <w:sz w:val="18"/>
          <w:szCs w:val="18"/>
          <w:color w:val="auto"/>
        </w:rPr>
        <w:t>Settlement Date:</w:t>
        <w:tab/>
        <w:t>For any Option, the second Business Day immediately following the final Valid Day of the Settlement Averaging Period for such Option.</w:t>
      </w:r>
    </w:p>
    <w:p>
      <w:pPr>
        <w:spacing w:after="0" w:line="121" w:lineRule="exact"/>
        <w:rPr>
          <w:sz w:val="20"/>
          <w:szCs w:val="20"/>
          <w:color w:val="auto"/>
        </w:rPr>
      </w:pPr>
    </w:p>
    <w:p>
      <w:pPr>
        <w:ind w:left="980"/>
        <w:spacing w:after="0"/>
        <w:tabs>
          <w:tab w:leader="none" w:pos="2680" w:val="left"/>
        </w:tabs>
        <w:rPr>
          <w:sz w:val="20"/>
          <w:szCs w:val="20"/>
          <w:color w:val="auto"/>
        </w:rPr>
      </w:pPr>
      <w:r>
        <w:rPr>
          <w:rFonts w:ascii="Times New Roman" w:cs="Times New Roman" w:eastAsia="Times New Roman" w:hAnsi="Times New Roman"/>
          <w:sz w:val="18"/>
          <w:szCs w:val="18"/>
          <w:color w:val="auto"/>
        </w:rPr>
        <w:t>Settlement Currency:</w:t>
        <w:tab/>
        <w:t>USD</w:t>
      </w:r>
    </w:p>
    <w:p>
      <w:pPr>
        <w:spacing w:after="0" w:line="198" w:lineRule="exact"/>
        <w:rPr>
          <w:sz w:val="20"/>
          <w:szCs w:val="20"/>
          <w:color w:val="auto"/>
        </w:rPr>
      </w:pPr>
    </w:p>
    <w:p>
      <w:pPr>
        <w:jc w:val="both"/>
        <w:ind w:left="3360" w:hanging="3239"/>
        <w:spacing w:after="0" w:line="261" w:lineRule="auto"/>
        <w:tabs>
          <w:tab w:leader="none" w:pos="3340" w:val="left"/>
        </w:tabs>
        <w:rPr>
          <w:sz w:val="20"/>
          <w:szCs w:val="20"/>
          <w:color w:val="auto"/>
        </w:rPr>
      </w:pPr>
      <w:r>
        <w:rPr>
          <w:rFonts w:ascii="Times New Roman" w:cs="Times New Roman" w:eastAsia="Times New Roman" w:hAnsi="Times New Roman"/>
          <w:sz w:val="18"/>
          <w:szCs w:val="18"/>
          <w:color w:val="auto"/>
        </w:rPr>
        <w:t>Other Applicable Provisions:</w:t>
        <w:tab/>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139" w:lineRule="exact"/>
        <w:rPr>
          <w:sz w:val="20"/>
          <w:szCs w:val="20"/>
          <w:color w:val="auto"/>
        </w:rPr>
      </w:pPr>
    </w:p>
    <w:p>
      <w:pPr>
        <w:jc w:val="both"/>
        <w:ind w:left="3520" w:hanging="3239"/>
        <w:spacing w:after="0" w:line="254" w:lineRule="auto"/>
        <w:tabs>
          <w:tab w:leader="none" w:pos="3500" w:val="left"/>
        </w:tabs>
        <w:rPr>
          <w:sz w:val="20"/>
          <w:szCs w:val="20"/>
          <w:color w:val="auto"/>
        </w:rPr>
      </w:pPr>
      <w:r>
        <w:rPr>
          <w:rFonts w:ascii="Times New Roman" w:cs="Times New Roman" w:eastAsia="Times New Roman" w:hAnsi="Times New Roman"/>
          <w:sz w:val="18"/>
          <w:szCs w:val="18"/>
          <w:color w:val="auto"/>
        </w:rPr>
        <w:t>Representation and Agreement:</w:t>
        <w:tab/>
        <w:t>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w:t>
      </w:r>
    </w:p>
    <w:p>
      <w:pPr>
        <w:spacing w:after="0" w:line="3" w:lineRule="exact"/>
        <w:rPr>
          <w:sz w:val="20"/>
          <w:szCs w:val="20"/>
          <w:color w:val="auto"/>
        </w:rPr>
      </w:pPr>
    </w:p>
    <w:p>
      <w:pPr>
        <w:ind w:left="4220"/>
        <w:spacing w:after="0" w:line="260" w:lineRule="auto"/>
        <w:tabs>
          <w:tab w:leader="none" w:pos="45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320" w:hanging="312"/>
        <w:spacing w:after="0"/>
        <w:tabs>
          <w:tab w:leader="none" w:pos="3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Terms applicable to the Transaction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Adjustments applicable to the Transaction:</w:t>
      </w:r>
    </w:p>
    <w:p>
      <w:pPr>
        <w:spacing w:after="0" w:line="185" w:lineRule="exact"/>
        <w:rPr>
          <w:sz w:val="20"/>
          <w:szCs w:val="20"/>
          <w:color w:val="auto"/>
        </w:rPr>
      </w:pPr>
    </w:p>
    <w:p>
      <w:pPr>
        <w:jc w:val="both"/>
        <w:ind w:left="3500" w:hanging="3239"/>
        <w:spacing w:after="0" w:line="254" w:lineRule="auto"/>
        <w:tabs>
          <w:tab w:leader="none" w:pos="3480" w:val="left"/>
        </w:tabs>
        <w:rPr>
          <w:sz w:val="20"/>
          <w:szCs w:val="20"/>
          <w:color w:val="auto"/>
        </w:rPr>
      </w:pPr>
      <w:r>
        <w:rPr>
          <w:rFonts w:ascii="Times New Roman" w:cs="Times New Roman" w:eastAsia="Times New Roman" w:hAnsi="Times New Roman"/>
          <w:sz w:val="18"/>
          <w:szCs w:val="18"/>
          <w:color w:val="auto"/>
        </w:rPr>
        <w:t>Potential Adjustment Events:</w:t>
      </w:r>
      <w:r>
        <w:rPr>
          <w:sz w:val="20"/>
          <w:szCs w:val="20"/>
          <w:color w:val="auto"/>
        </w:rPr>
        <w:tab/>
      </w:r>
      <w:r>
        <w:rPr>
          <w:rFonts w:ascii="Times New Roman" w:cs="Times New Roman" w:eastAsia="Times New Roman" w:hAnsi="Times New Roman"/>
          <w:sz w:val="18"/>
          <w:szCs w:val="18"/>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“Reference Property Unit” or to any “Last Reported Sale Price,” “Daily VWAP,” “Daily Conversion Value,” “Daily Share Amount” or “Daily Cash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3" w:lineRule="exact"/>
        <w:rPr>
          <w:sz w:val="20"/>
          <w:szCs w:val="20"/>
          <w:color w:val="auto"/>
        </w:rPr>
      </w:pPr>
    </w:p>
    <w:p>
      <w:pPr>
        <w:jc w:val="both"/>
        <w:ind w:left="3100"/>
        <w:spacing w:after="0" w:line="258" w:lineRule="auto"/>
        <w:rPr>
          <w:sz w:val="20"/>
          <w:szCs w:val="20"/>
          <w:color w:val="auto"/>
        </w:rPr>
      </w:pPr>
      <w:r>
        <w:rPr>
          <w:rFonts w:ascii="Times New Roman" w:cs="Times New Roman" w:eastAsia="Times New Roman" w:hAnsi="Times New Roman"/>
          <w:sz w:val="18"/>
          <w:szCs w:val="18"/>
          <w:color w:val="auto"/>
        </w:rPr>
        <w:t xml:space="preserve">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w:t>
      </w:r>
      <w:r>
        <w:rPr>
          <w:rFonts w:ascii="Times New Roman" w:cs="Times New Roman" w:eastAsia="Times New Roman" w:hAnsi="Times New Roman"/>
          <w:sz w:val="18"/>
          <w:szCs w:val="18"/>
          <w:i w:val="1"/>
          <w:iCs w:val="1"/>
          <w:color w:val="auto"/>
        </w:rPr>
        <w:t xml:space="preserve">proviso </w:t>
      </w:r>
      <w:r>
        <w:rPr>
          <w:rFonts w:ascii="Times New Roman" w:cs="Times New Roman" w:eastAsia="Times New Roman" w:hAnsi="Times New Roman"/>
          <w:sz w:val="18"/>
          <w:szCs w:val="18"/>
          <w:color w:val="auto"/>
        </w:rPr>
        <w:t>in the first paragraph of Section 5.05(A)(iii)(1) of the Indenture or the</w:t>
      </w:r>
      <w:r>
        <w:rPr>
          <w:rFonts w:ascii="Times New Roman" w:cs="Times New Roman" w:eastAsia="Times New Roman" w:hAnsi="Times New Roman"/>
          <w:sz w:val="18"/>
          <w:szCs w:val="18"/>
          <w:i w:val="1"/>
          <w:iCs w:val="1"/>
          <w:color w:val="auto"/>
        </w:rPr>
        <w:t xml:space="preserve"> proviso </w:t>
      </w:r>
      <w:r>
        <w:rPr>
          <w:rFonts w:ascii="Times New Roman" w:cs="Times New Roman" w:eastAsia="Times New Roman" w:hAnsi="Times New Roman"/>
          <w:sz w:val="18"/>
          <w:szCs w:val="18"/>
          <w:color w:val="auto"/>
        </w:rPr>
        <w:t>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 of Section 5.05(A)(iv) of the Indenture).</w:t>
      </w:r>
    </w:p>
    <w:p>
      <w:pPr>
        <w:spacing w:after="0" w:line="156" w:lineRule="exact"/>
        <w:rPr>
          <w:sz w:val="20"/>
          <w:szCs w:val="20"/>
          <w:color w:val="auto"/>
        </w:rPr>
      </w:pPr>
    </w:p>
    <w:p>
      <w:pPr>
        <w:jc w:val="both"/>
        <w:ind w:left="1820" w:hanging="3239"/>
        <w:spacing w:after="0" w:line="253" w:lineRule="auto"/>
        <w:tabs>
          <w:tab w:leader="none" w:pos="1800" w:val="left"/>
        </w:tabs>
        <w:rPr>
          <w:sz w:val="20"/>
          <w:szCs w:val="20"/>
          <w:color w:val="auto"/>
        </w:rPr>
      </w:pPr>
      <w:r>
        <w:rPr>
          <w:rFonts w:ascii="Times New Roman" w:cs="Times New Roman" w:eastAsia="Times New Roman" w:hAnsi="Times New Roman"/>
          <w:sz w:val="18"/>
          <w:szCs w:val="18"/>
          <w:color w:val="auto"/>
        </w:rPr>
        <w:t>Method of Adjustment:</w:t>
        <w:tab/>
        <w:t xml:space="preserve">Calculation Agent Adjustment, which means that, notwithstanding Section 11.2(c) of the Equity Definitions, upon any Potential Adjustment Event, the Calculation Agent shall make a corresponding adjustment to any one or more of the Strike Price, Number of Options, Option Entitlement and any other variable relevant to the exercise, settlement or payment for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(x) open market Share repurchases at prevailing market price and (y) Share repurchases through a dealer pursuant to accelerated share repurchases, forward contracts or similar transactions that are entered into at prevailing market prices and in accordance with customary market terms for transactions of such type to repurchase the Shares shall not be considered Potential Adjustment Events, in each case, to the extent that, after giving effect to such transactions, the aggregate number of Shares repurchased during the term of the Transaction pursuant to all transactions described in this proviso would not exceed 20% of the number of Shares outstanding as of the Trade Date, as determined by the Calculation Agent.</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w:t>
      </w:r>
    </w:p>
    <w:p>
      <w:pPr>
        <w:spacing w:after="0" w:line="185" w:lineRule="exact"/>
        <w:rPr>
          <w:sz w:val="20"/>
          <w:szCs w:val="20"/>
          <w:color w:val="auto"/>
        </w:rPr>
      </w:pPr>
    </w:p>
    <w:p>
      <w:pPr>
        <w:ind w:left="3740" w:hanging="640"/>
        <w:spacing w:after="0" w:line="253" w:lineRule="auto"/>
        <w:tabs>
          <w:tab w:leader="none" w:pos="353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Calculation Agent in good faith disagrees with any adjustment to the Convertible Notes that involves an exercise of discretion by Counterparty or its board of directors (including, without limitation, pursuant to Section 5.05(H) of the Indenture, Section 5.09 of the Indenture or any supplemental indenture entered into thereunder or in connection with any proportional adjustment or the determination of the fair value of any securities, property, rights or other assets), then in each such case, the Calculation Agent will, in good faith and in a commercially reasonable manner, determine the adjustment to be made to any one or more of the Strike Price, Number of Options, Option Entitlement and any other variable relevant to the exercise, settlement or payment for the Transaction in good faith and in a commercially reasonable manner;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if any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20"/>
          </w:cols>
          <w:pgMar w:left="1440" w:top="1440" w:right="339" w:bottom="1440" w:gutter="0" w:footer="0" w:header="0"/>
        </w:sectPr>
      </w:pPr>
    </w:p>
    <w:bookmarkStart w:id="139" w:name="page140"/>
    <w:bookmarkEnd w:id="139"/>
    <w:p>
      <w:pPr>
        <w:spacing w:after="0" w:line="153" w:lineRule="exact"/>
        <w:rPr>
          <w:sz w:val="20"/>
          <w:szCs w:val="20"/>
          <w:color w:val="auto"/>
        </w:rPr>
      </w:pPr>
    </w:p>
    <w:p>
      <w:pPr>
        <w:jc w:val="both"/>
        <w:ind w:left="3740"/>
        <w:spacing w:after="0" w:line="256" w:lineRule="auto"/>
        <w:rPr>
          <w:sz w:val="20"/>
          <w:szCs w:val="20"/>
          <w:color w:val="auto"/>
        </w:rPr>
      </w:pPr>
      <w:r>
        <w:rPr>
          <w:rFonts w:ascii="Times New Roman" w:cs="Times New Roman" w:eastAsia="Times New Roman" w:hAnsi="Times New Roman"/>
          <w:sz w:val="18"/>
          <w:szCs w:val="18"/>
          <w:color w:val="auto"/>
        </w:rPr>
        <w:t>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shall make a commercially reasonable adjustment, as determined by it, to the terms hereof in order to account for such Potential Adjustment Event;</w:t>
      </w:r>
    </w:p>
    <w:p>
      <w:pPr>
        <w:spacing w:after="0" w:line="160" w:lineRule="exact"/>
        <w:rPr>
          <w:sz w:val="20"/>
          <w:szCs w:val="20"/>
          <w:color w:val="auto"/>
        </w:rPr>
      </w:pPr>
    </w:p>
    <w:p>
      <w:pPr>
        <w:ind w:left="3740" w:hanging="640"/>
        <w:spacing w:after="0" w:line="252" w:lineRule="auto"/>
        <w:tabs>
          <w:tab w:leader="none" w:pos="352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commercially reasonable costs (to account solely for hedging mismatches and market losses) and commercially reasonable out-of-pocket expenses incurred by Dealer in connection with its commercially reasonable hedging activities, with such adjustments made assuming that Dealer maintains commercially reasonable hedge positions, as a result of such event or condition not having been publicly announced prior to the beginning of such period; and</w:t>
      </w:r>
    </w:p>
    <w:p>
      <w:pPr>
        <w:spacing w:after="0" w:line="156" w:lineRule="exact"/>
        <w:rPr>
          <w:rFonts w:ascii="Times New Roman" w:cs="Times New Roman" w:eastAsia="Times New Roman" w:hAnsi="Times New Roman"/>
          <w:sz w:val="18"/>
          <w:szCs w:val="18"/>
          <w:color w:val="auto"/>
        </w:rPr>
      </w:pPr>
    </w:p>
    <w:p>
      <w:pPr>
        <w:ind w:left="3740" w:hanging="640"/>
        <w:spacing w:after="0" w:line="254" w:lineRule="auto"/>
        <w:tabs>
          <w:tab w:leader="none" w:pos="357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 Adjustment Event Change</w:t>
      </w:r>
      <w:r>
        <w:rPr>
          <w:rFonts w:ascii="Times New Roman" w:cs="Times New Roman" w:eastAsia="Times New Roman" w:hAnsi="Times New Roman"/>
          <w:sz w:val="18"/>
          <w:szCs w:val="18"/>
          <w:color w:val="auto"/>
        </w:rPr>
        <w:t>”) then, in each case, the Calculation Agent shall, in good faith and in a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20"/>
          </w:cols>
          <w:pgMar w:left="1440" w:top="1440" w:right="339" w:bottom="1440" w:gutter="0" w:footer="0" w:header="0"/>
        </w:sectPr>
      </w:pPr>
    </w:p>
    <w:bookmarkStart w:id="140" w:name="page141"/>
    <w:bookmarkEnd w:id="140"/>
    <w:p>
      <w:pPr>
        <w:spacing w:after="0" w:line="153" w:lineRule="exact"/>
        <w:rPr>
          <w:sz w:val="20"/>
          <w:szCs w:val="20"/>
          <w:color w:val="auto"/>
        </w:rPr>
      </w:pPr>
    </w:p>
    <w:p>
      <w:pPr>
        <w:jc w:val="both"/>
        <w:ind w:left="4220"/>
        <w:spacing w:after="0" w:line="255" w:lineRule="auto"/>
        <w:rPr>
          <w:sz w:val="20"/>
          <w:szCs w:val="20"/>
          <w:color w:val="auto"/>
        </w:rPr>
      </w:pPr>
      <w:r>
        <w:rPr>
          <w:rFonts w:ascii="Times New Roman" w:cs="Times New Roman" w:eastAsia="Times New Roman" w:hAnsi="Times New Roman"/>
          <w:sz w:val="18"/>
          <w:szCs w:val="18"/>
          <w:color w:val="auto"/>
        </w:rPr>
        <w:t>reasonable manner, have the right to adjust any variable relevant to the exercise, settlement or payment for the Transaction as appropriate to reflect the costs (to account solely for hedging mismatches and market losses) and commercially reasonable out-of-pocket expenses incurred by Dealer in connection with its commercially reasonable hedging activities, with such adjustments made assuming that Dealer maintains commercially reasonable hedge positions, as a result of such Potential Adjustment Event Change.</w:t>
      </w:r>
    </w:p>
    <w:p>
      <w:pPr>
        <w:spacing w:after="0" w:line="162" w:lineRule="exact"/>
        <w:rPr>
          <w:sz w:val="20"/>
          <w:szCs w:val="20"/>
          <w:color w:val="auto"/>
        </w:rPr>
      </w:pPr>
    </w:p>
    <w:p>
      <w:pPr>
        <w:ind w:left="340"/>
        <w:spacing w:after="0"/>
        <w:tabs>
          <w:tab w:leader="none" w:pos="2840" w:val="left"/>
        </w:tabs>
        <w:rPr>
          <w:sz w:val="20"/>
          <w:szCs w:val="20"/>
          <w:color w:val="auto"/>
        </w:rPr>
      </w:pPr>
      <w:r>
        <w:rPr>
          <w:rFonts w:ascii="Times New Roman" w:cs="Times New Roman" w:eastAsia="Times New Roman" w:hAnsi="Times New Roman"/>
          <w:sz w:val="18"/>
          <w:szCs w:val="18"/>
          <w:color w:val="auto"/>
        </w:rPr>
        <w:t>Dilution Adjustment Provisions:</w:t>
      </w:r>
      <w:r>
        <w:rPr>
          <w:sz w:val="20"/>
          <w:szCs w:val="20"/>
          <w:color w:val="auto"/>
        </w:rPr>
        <w:tab/>
      </w:r>
      <w:r>
        <w:rPr>
          <w:rFonts w:ascii="Times New Roman" w:cs="Times New Roman" w:eastAsia="Times New Roman" w:hAnsi="Times New Roman"/>
          <w:sz w:val="17"/>
          <w:szCs w:val="17"/>
          <w:color w:val="auto"/>
        </w:rPr>
        <w:t>Sections 5.05(A)(i), (ii), (iii), (iv) and (v) and Section 5.05(H) of the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Events applicable to the Transaction:</w:t>
      </w:r>
    </w:p>
    <w:p>
      <w:pPr>
        <w:spacing w:after="0" w:line="183" w:lineRule="exact"/>
        <w:rPr>
          <w:sz w:val="20"/>
          <w:szCs w:val="20"/>
          <w:color w:val="auto"/>
        </w:rPr>
      </w:pPr>
    </w:p>
    <w:p>
      <w:pPr>
        <w:jc w:val="both"/>
        <w:ind w:left="1840" w:hanging="3239"/>
        <w:spacing w:after="0" w:line="267" w:lineRule="auto"/>
        <w:tabs>
          <w:tab w:leader="none" w:pos="1820" w:val="left"/>
        </w:tabs>
        <w:rPr>
          <w:sz w:val="20"/>
          <w:szCs w:val="20"/>
          <w:color w:val="auto"/>
        </w:rPr>
      </w:pPr>
      <w:r>
        <w:rPr>
          <w:rFonts w:ascii="Times New Roman" w:cs="Times New Roman" w:eastAsia="Times New Roman" w:hAnsi="Times New Roman"/>
          <w:sz w:val="18"/>
          <w:szCs w:val="18"/>
          <w:color w:val="auto"/>
        </w:rPr>
        <w:t>Merger Events:</w:t>
      </w:r>
      <w:r>
        <w:rPr>
          <w:sz w:val="20"/>
          <w:szCs w:val="20"/>
          <w:color w:val="auto"/>
        </w:rPr>
        <w:tab/>
      </w: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 means the occurrence of any event or condition set forth in the definition of “Common Stock Change Event” in Section 5.09(A) of the Indenture.</w:t>
      </w:r>
    </w:p>
    <w:p>
      <w:pPr>
        <w:spacing w:after="0" w:line="146" w:lineRule="exact"/>
        <w:rPr>
          <w:sz w:val="20"/>
          <w:szCs w:val="20"/>
          <w:color w:val="auto"/>
        </w:rPr>
      </w:pPr>
    </w:p>
    <w:p>
      <w:pPr>
        <w:jc w:val="both"/>
        <w:ind w:left="1580" w:right="20" w:hanging="3239"/>
        <w:spacing w:after="0" w:line="284" w:lineRule="auto"/>
        <w:tabs>
          <w:tab w:leader="none" w:pos="1560" w:val="left"/>
        </w:tabs>
        <w:rPr>
          <w:sz w:val="20"/>
          <w:szCs w:val="20"/>
          <w:color w:val="auto"/>
        </w:rPr>
      </w:pPr>
      <w:r>
        <w:rPr>
          <w:rFonts w:ascii="Times New Roman" w:cs="Times New Roman" w:eastAsia="Times New Roman" w:hAnsi="Times New Roman"/>
          <w:sz w:val="18"/>
          <w:szCs w:val="18"/>
          <w:color w:val="auto"/>
        </w:rPr>
        <w:t>Tender Offers:</w:t>
        <w:tab/>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12.1(d) of the Equity Definitions, a “Tender Offer” means the occurrence of any event or condition set forth in Section 5.05(A)(v) of the Indenture.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Consequences of Merger Events/</w:t>
      </w:r>
    </w:p>
    <w:p>
      <w:pPr>
        <w:spacing w:after="0" w:line="27" w:lineRule="exact"/>
        <w:rPr>
          <w:sz w:val="20"/>
          <w:szCs w:val="20"/>
          <w:color w:val="auto"/>
        </w:rPr>
      </w:pPr>
    </w:p>
    <w:p>
      <w:pPr>
        <w:jc w:val="both"/>
        <w:ind w:left="1580" w:hanging="3239"/>
        <w:spacing w:after="0" w:line="251" w:lineRule="auto"/>
        <w:tabs>
          <w:tab w:leader="none" w:pos="1560" w:val="left"/>
        </w:tabs>
        <w:rPr>
          <w:sz w:val="20"/>
          <w:szCs w:val="20"/>
          <w:color w:val="auto"/>
        </w:rPr>
      </w:pPr>
      <w:r>
        <w:rPr>
          <w:rFonts w:ascii="Times New Roman" w:cs="Times New Roman" w:eastAsia="Times New Roman" w:hAnsi="Times New Roman"/>
          <w:sz w:val="18"/>
          <w:szCs w:val="18"/>
          <w:color w:val="auto"/>
        </w:rPr>
        <w:t>Tender Offers:</w:t>
        <w:tab/>
        <w:t xml:space="preserve">Notwithstanding Section 12.2 and Section 12.3 of the Equity Definitions, upon the occurrence of a Merger Event or a Tender Offer, the Calculation Agent shall make a corresponding or equivalent adjustment in good faith and in a commercially reasonable manner in respect of any adjustment under the Indenture to any one or more of the nature of the Shares (in the case of a Merger Event),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adjustment shall be made without regard to any adjustment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“Conversion Rate” (as defined in the Indenture) pursuant to any Excluded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with respect to a Merger Event or a Tender Offer, (i) the consideration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includes (or, at the option of a holder of Shares, may include) shares of an entity or person that is not a corporation (or an entity that is treated as a corporation for U.S. federal income tax purposes) organized under the laws of the United States, any State thereof or the District of Columbia or (ii) the Counterparty to the Transaction following such Merger Event or Tender Offer will not be a corporation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600"/>
          </w:cols>
          <w:pgMar w:left="960" w:top="1440" w:right="339" w:bottom="1440" w:gutter="0" w:footer="0" w:header="0"/>
        </w:sectPr>
      </w:pPr>
    </w:p>
    <w:bookmarkStart w:id="141" w:name="page142"/>
    <w:bookmarkEnd w:id="141"/>
    <w:p>
      <w:pPr>
        <w:spacing w:after="0" w:line="153" w:lineRule="exact"/>
        <w:rPr>
          <w:sz w:val="20"/>
          <w:szCs w:val="20"/>
          <w:color w:val="auto"/>
        </w:rPr>
      </w:pPr>
    </w:p>
    <w:p>
      <w:pPr>
        <w:jc w:val="both"/>
        <w:ind w:left="3100"/>
        <w:spacing w:after="0" w:line="256" w:lineRule="auto"/>
        <w:rPr>
          <w:sz w:val="20"/>
          <w:szCs w:val="20"/>
          <w:color w:val="auto"/>
        </w:rPr>
      </w:pPr>
      <w:r>
        <w:rPr>
          <w:rFonts w:ascii="Times New Roman" w:cs="Times New Roman" w:eastAsia="Times New Roman" w:hAnsi="Times New Roman"/>
          <w:sz w:val="18"/>
          <w:szCs w:val="18"/>
          <w:color w:val="auto"/>
        </w:rPr>
        <w:t xml:space="preserve">entity that is treated as a corporation for U.S. federal income tax purposes) organized under the laws of the United States, any State thereof or the District of Columbia, then, in either case, Cancellation and Payment (Calculation Agent Determination) may apply at Dealer’s reasonable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Conversion.</w:t>
      </w:r>
    </w:p>
    <w:p>
      <w:pPr>
        <w:spacing w:after="0" w:line="160" w:lineRule="exact"/>
        <w:rPr>
          <w:sz w:val="20"/>
          <w:szCs w:val="20"/>
          <w:color w:val="auto"/>
        </w:rPr>
      </w:pPr>
    </w:p>
    <w:p>
      <w:pPr>
        <w:jc w:val="both"/>
        <w:ind w:left="3040" w:hanging="3239"/>
        <w:spacing w:after="0" w:line="252" w:lineRule="auto"/>
        <w:tabs>
          <w:tab w:leader="none" w:pos="3020" w:val="left"/>
        </w:tabs>
        <w:rPr>
          <w:sz w:val="20"/>
          <w:szCs w:val="20"/>
          <w:color w:val="auto"/>
        </w:rPr>
      </w:pPr>
      <w:r>
        <w:rPr>
          <w:rFonts w:ascii="Times New Roman" w:cs="Times New Roman" w:eastAsia="Times New Roman" w:hAnsi="Times New Roman"/>
          <w:sz w:val="18"/>
          <w:szCs w:val="18"/>
          <w:color w:val="auto"/>
        </w:rPr>
        <w:t>Consequences of Announcement Events:</w:t>
        <w:tab/>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respect of an Announcement Event, (w) references to “Tender Offer”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replaced by references to “Announcement Event” and references to “Tender Offer Date” shall be replaced by references to “date of such Announcement Event”, (x) the phrase “exercise, settlement, payment or any other terms of the Transaction (including, without limitation, the spread)” shall be replaced with the phrase “Cap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(y) the phrases “whether within a commercially reasonable (as determined by the Calculation Agent) period of time prior to or after the Announcement Event,” shall be inserted prior to the word “which” in the seventh line, and (z) for the avoidance of doubt, the Calculation Agent shall, in good faith and in a commercially reasonable manner, determine whether the relevant Announcement Event has had an economic effect on the Transaction (and, if so, shall adjust the Cap Price accordingly) on one or more occasions on or after the date of the Announcement Event up to, and including, the Expiration Date, any Early Termination Date and/or any other date of cancellation, it being understood that (i) any adjustment in respect of an Announcement Event shall take into account any earlier adjustment relating to the same Announcement Event and (ii) in making any adjustment the Calculation Agent shall take into account volatility, liquidity or other factors before and after such Announcement Event. An Announcement Event shall be an “Extraordinary Event” for purposes of the Equity Definitions, to which Article 12 of the Equity Definitions is applicable.</w:t>
      </w:r>
    </w:p>
    <w:p>
      <w:pPr>
        <w:spacing w:after="0" w:line="150" w:lineRule="exact"/>
        <w:rPr>
          <w:sz w:val="20"/>
          <w:szCs w:val="20"/>
          <w:color w:val="auto"/>
        </w:rPr>
      </w:pPr>
    </w:p>
    <w:p>
      <w:pPr>
        <w:jc w:val="both"/>
        <w:ind w:left="1740" w:hanging="3239"/>
        <w:spacing w:after="0" w:line="257" w:lineRule="auto"/>
        <w:tabs>
          <w:tab w:leader="none" w:pos="1720" w:val="left"/>
        </w:tabs>
        <w:rPr>
          <w:sz w:val="20"/>
          <w:szCs w:val="20"/>
          <w:color w:val="auto"/>
        </w:rPr>
      </w:pPr>
      <w:r>
        <w:rPr>
          <w:rFonts w:ascii="Times New Roman" w:cs="Times New Roman" w:eastAsia="Times New Roman" w:hAnsi="Times New Roman"/>
          <w:sz w:val="18"/>
          <w:szCs w:val="18"/>
          <w:color w:val="auto"/>
        </w:rPr>
        <w:t>Announcement Event:</w:t>
        <w:tab/>
        <w:t>(i) The public announcement by Counterparty, any subsidiary, affiliate or agent of Counterparty, any Valid Third-Party Entity or any affiliate or agent of such Valid Third-Party Entity (any such person or entity,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(x) any transaction or event that, if completed, would constitute a Merger Event or Tender Offer, (y) any potential acquisition or disposition by Issuer and/or its subsidiaries where the aggregate consideration exceeds 35% of the market capitalization of Issuer as of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20"/>
          </w:cols>
          <w:pgMar w:left="1440" w:top="1440" w:right="339" w:bottom="1440" w:gutter="0" w:footer="0" w:header="0"/>
        </w:sectPr>
      </w:pPr>
    </w:p>
    <w:bookmarkStart w:id="142" w:name="page143"/>
    <w:bookmarkEnd w:id="142"/>
    <w:p>
      <w:pPr>
        <w:spacing w:after="0" w:line="149" w:lineRule="exact"/>
        <w:rPr>
          <w:sz w:val="20"/>
          <w:szCs w:val="20"/>
          <w:color w:val="auto"/>
        </w:rPr>
      </w:pPr>
    </w:p>
    <w:p>
      <w:pPr>
        <w:jc w:val="both"/>
        <w:ind w:left="3100"/>
        <w:spacing w:after="0" w:line="256" w:lineRule="auto"/>
        <w:rPr>
          <w:sz w:val="20"/>
          <w:szCs w:val="20"/>
          <w:color w:val="auto"/>
        </w:rPr>
      </w:pPr>
      <w:r>
        <w:rPr>
          <w:rFonts w:ascii="Times New Roman" w:cs="Times New Roman" w:eastAsia="Times New Roman" w:hAnsi="Times New Roman"/>
          <w:sz w:val="18"/>
          <w:szCs w:val="18"/>
          <w:color w:val="auto"/>
        </w:rPr>
        <w:t>such announcement (an “</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or (z) the intention to enter into a Merger Event or Tender Offer or an Acquisition Transaction, (ii) the public announcement by Issuer of an intention to solicit or enter into, or to explore strategic alternatives or other similar undertaking that may include, a Merger Event or Tender Offer or an Acquisition Transaction or</w:t>
      </w:r>
    </w:p>
    <w:p>
      <w:pPr>
        <w:spacing w:after="0" w:line="3" w:lineRule="exact"/>
        <w:rPr>
          <w:sz w:val="20"/>
          <w:szCs w:val="20"/>
          <w:color w:val="auto"/>
        </w:rPr>
      </w:pPr>
    </w:p>
    <w:p>
      <w:pPr>
        <w:jc w:val="both"/>
        <w:ind w:left="3100"/>
        <w:spacing w:after="0" w:line="251" w:lineRule="auto"/>
        <w:tabs>
          <w:tab w:leader="none" w:pos="343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subsequent public announcement by a Relevant Party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Section 12.1(d) of the Equity Definitions is hereby amended by (x) replacing “10%” with “25%” in the third line thereof and (y) replacing the words “voting shares of the Issuer” in the fourth line thereof with the word “Shares” and (2) Section 12.1(e) of the Equity Definitions is hereby amended by replacing the words “voting shares” in the first line thereof with the word “Shares”.</w:t>
      </w:r>
    </w:p>
    <w:p>
      <w:pPr>
        <w:spacing w:after="0" w:line="163" w:lineRule="exact"/>
        <w:rPr>
          <w:sz w:val="20"/>
          <w:szCs w:val="20"/>
          <w:color w:val="auto"/>
        </w:rPr>
      </w:pPr>
    </w:p>
    <w:p>
      <w:pPr>
        <w:jc w:val="both"/>
        <w:ind w:left="1860" w:hanging="3239"/>
        <w:spacing w:after="0" w:line="258" w:lineRule="auto"/>
        <w:tabs>
          <w:tab w:leader="none" w:pos="1840" w:val="left"/>
        </w:tabs>
        <w:rPr>
          <w:sz w:val="20"/>
          <w:szCs w:val="20"/>
          <w:color w:val="auto"/>
        </w:rPr>
      </w:pPr>
      <w:r>
        <w:rPr>
          <w:rFonts w:ascii="Times New Roman" w:cs="Times New Roman" w:eastAsia="Times New Roman" w:hAnsi="Times New Roman"/>
          <w:sz w:val="18"/>
          <w:szCs w:val="18"/>
          <w:color w:val="auto"/>
        </w:rPr>
        <w:t>Valid Third Party Entity:</w:t>
        <w:tab/>
        <w:t>In respect of any transaction or event, any third party that has a bona fide intent to enter into or consummate such transaction (it being understood and agreed that in determining, in a commercially reasonable manner, whether such third party has such a bona fide intent, the Calculation Agent shall take into consideration whether the relevant announcement by such party has had a material economic effect on the Shares and/or Options on the Shares).</w:t>
      </w:r>
    </w:p>
    <w:p>
      <w:pPr>
        <w:spacing w:after="0" w:line="141" w:lineRule="exact"/>
        <w:rPr>
          <w:sz w:val="20"/>
          <w:szCs w:val="20"/>
          <w:color w:val="auto"/>
        </w:rPr>
      </w:pPr>
    </w:p>
    <w:p>
      <w:pPr>
        <w:jc w:val="both"/>
        <w:ind w:left="3100" w:hanging="3239"/>
        <w:spacing w:after="0" w:line="261" w:lineRule="auto"/>
        <w:tabs>
          <w:tab w:leader="none" w:pos="3080" w:val="left"/>
        </w:tabs>
        <w:rPr>
          <w:sz w:val="20"/>
          <w:szCs w:val="20"/>
          <w:color w:val="auto"/>
        </w:rPr>
      </w:pPr>
      <w:r>
        <w:rPr>
          <w:rFonts w:ascii="Times New Roman" w:cs="Times New Roman" w:eastAsia="Times New Roman" w:hAnsi="Times New Roman"/>
          <w:sz w:val="18"/>
          <w:szCs w:val="18"/>
          <w:color w:val="auto"/>
        </w:rPr>
        <w:t>Nationalization, Insolvency or Delisting:</w:t>
        <w:tab/>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120"/>
          </w:cols>
          <w:pgMar w:left="1440" w:top="1440" w:right="339" w:bottom="1440" w:gutter="0" w:footer="0" w:header="0"/>
        </w:sectPr>
      </w:pPr>
    </w:p>
    <w:bookmarkStart w:id="143" w:name="page144"/>
    <w:bookmarkEnd w:id="143"/>
    <w:p>
      <w:pPr>
        <w:spacing w:after="0" w:line="153" w:lineRule="exact"/>
        <w:rPr>
          <w:sz w:val="20"/>
          <w:szCs w:val="20"/>
          <w:color w:val="auto"/>
        </w:rPr>
      </w:pPr>
    </w:p>
    <w:p>
      <w:pPr>
        <w:jc w:val="both"/>
        <w:ind w:left="3240"/>
        <w:spacing w:after="0" w:line="261" w:lineRule="auto"/>
        <w:rPr>
          <w:sz w:val="20"/>
          <w:szCs w:val="20"/>
          <w:color w:val="auto"/>
        </w:rPr>
      </w:pPr>
      <w:r>
        <w:rPr>
          <w:rFonts w:ascii="Times New Roman" w:cs="Times New Roman" w:eastAsia="Times New Roman" w:hAnsi="Times New Roman"/>
          <w:sz w:val="18"/>
          <w:szCs w:val="18"/>
          <w:color w:val="auto"/>
        </w:rPr>
        <w:t>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Disruption Events:</w:t>
      </w:r>
    </w:p>
    <w:p>
      <w:pPr>
        <w:spacing w:after="0" w:line="183" w:lineRule="exact"/>
        <w:rPr>
          <w:sz w:val="20"/>
          <w:szCs w:val="20"/>
          <w:color w:val="auto"/>
        </w:rPr>
      </w:pPr>
    </w:p>
    <w:p>
      <w:pPr>
        <w:jc w:val="both"/>
        <w:ind w:left="1380" w:hanging="3239"/>
        <w:spacing w:after="0" w:line="256" w:lineRule="auto"/>
        <w:tabs>
          <w:tab w:leader="none" w:pos="1360" w:val="left"/>
        </w:tabs>
        <w:rPr>
          <w:sz w:val="20"/>
          <w:szCs w:val="20"/>
          <w:color w:val="auto"/>
        </w:rPr>
      </w:pPr>
      <w:r>
        <w:rPr>
          <w:rFonts w:ascii="Times New Roman" w:cs="Times New Roman" w:eastAsia="Times New Roman" w:hAnsi="Times New Roman"/>
          <w:sz w:val="18"/>
          <w:szCs w:val="18"/>
          <w:color w:val="auto"/>
        </w:rPr>
        <w:t>Change in Law:</w:t>
        <w:tab/>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w:t>
      </w:r>
    </w:p>
    <w:p>
      <w:pPr>
        <w:spacing w:after="0" w:line="3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Failure to Deliver:</w:t>
      </w:r>
      <w:r>
        <w:rPr>
          <w:sz w:val="20"/>
          <w:szCs w:val="20"/>
          <w:color w:val="auto"/>
        </w:rPr>
        <w:tab/>
      </w:r>
      <w:r>
        <w:rPr>
          <w:rFonts w:ascii="Times New Roman" w:cs="Times New Roman" w:eastAsia="Times New Roman" w:hAnsi="Times New Roman"/>
          <w:sz w:val="17"/>
          <w:szCs w:val="17"/>
          <w:color w:val="auto"/>
        </w:rPr>
        <w:t>Applicable</w:t>
      </w:r>
    </w:p>
    <w:p>
      <w:pPr>
        <w:spacing w:after="0" w:line="196"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Hedging Disruption:</w:t>
      </w:r>
      <w:r>
        <w:rPr>
          <w:sz w:val="20"/>
          <w:szCs w:val="20"/>
          <w:color w:val="auto"/>
        </w:rPr>
        <w:tab/>
      </w: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87" w:lineRule="exact"/>
        <w:rPr>
          <w:sz w:val="20"/>
          <w:szCs w:val="20"/>
          <w:color w:val="auto"/>
        </w:rPr>
      </w:pPr>
    </w:p>
    <w:p>
      <w:pPr>
        <w:ind w:left="3760" w:hanging="520"/>
        <w:spacing w:after="0" w:line="282" w:lineRule="auto"/>
        <w:tabs>
          <w:tab w:leader="none" w:pos="36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12.9(a)(v) of the Equity Definitions is hereby amended by inserting the following two phrases at the end of such Section:</w:t>
      </w:r>
    </w:p>
    <w:p>
      <w:pPr>
        <w:spacing w:after="0" w:line="121" w:lineRule="exact"/>
        <w:rPr>
          <w:sz w:val="20"/>
          <w:szCs w:val="20"/>
          <w:color w:val="auto"/>
        </w:rPr>
      </w:pPr>
    </w:p>
    <w:p>
      <w:pPr>
        <w:jc w:val="both"/>
        <w:ind w:left="3760" w:hanging="318"/>
        <w:spacing w:after="0" w:line="261" w:lineRule="auto"/>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spacing w:after="0" w:line="153" w:lineRule="exact"/>
        <w:rPr>
          <w:sz w:val="20"/>
          <w:szCs w:val="20"/>
          <w:color w:val="auto"/>
        </w:rPr>
      </w:pPr>
    </w:p>
    <w:p>
      <w:pPr>
        <w:jc w:val="both"/>
        <w:ind w:left="3760" w:hanging="520"/>
        <w:spacing w:after="0" w:line="266" w:lineRule="auto"/>
        <w:tabs>
          <w:tab w:leader="none" w:pos="37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12.9(b)(iii) of the Equity Definitions is hereby amended by inserting in the third line thereof, after the words “to terminate the Transaction”, the words “or a portion of the Transaction affected by such Hedging Disruption”.</w:t>
      </w:r>
    </w:p>
    <w:p>
      <w:pPr>
        <w:spacing w:after="0" w:line="135" w:lineRule="exact"/>
        <w:rPr>
          <w:sz w:val="20"/>
          <w:szCs w:val="20"/>
          <w:color w:val="auto"/>
        </w:rPr>
      </w:pPr>
    </w:p>
    <w:p>
      <w:pPr>
        <w:ind w:left="80"/>
        <w:spacing w:after="0"/>
        <w:tabs>
          <w:tab w:leader="none" w:pos="2220" w:val="left"/>
        </w:tabs>
        <w:rPr>
          <w:sz w:val="20"/>
          <w:szCs w:val="20"/>
          <w:color w:val="auto"/>
        </w:rPr>
      </w:pPr>
      <w:r>
        <w:rPr>
          <w:rFonts w:ascii="Times New Roman" w:cs="Times New Roman" w:eastAsia="Times New Roman" w:hAnsi="Times New Roman"/>
          <w:sz w:val="18"/>
          <w:szCs w:val="18"/>
          <w:color w:val="auto"/>
        </w:rPr>
        <w:t>Increased Cost of Hedging:</w:t>
      </w:r>
      <w:r>
        <w:rPr>
          <w:sz w:val="20"/>
          <w:szCs w:val="20"/>
          <w:color w:val="auto"/>
        </w:rPr>
        <w:tab/>
      </w:r>
      <w:r>
        <w:rPr>
          <w:rFonts w:ascii="Times New Roman" w:cs="Times New Roman" w:eastAsia="Times New Roman" w:hAnsi="Times New Roman"/>
          <w:sz w:val="17"/>
          <w:szCs w:val="17"/>
          <w:color w:val="auto"/>
        </w:rPr>
        <w:t>Not Applicable</w:t>
      </w:r>
    </w:p>
    <w:p>
      <w:pPr>
        <w:spacing w:after="0" w:line="18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8"/>
          <w:szCs w:val="18"/>
          <w:color w:val="auto"/>
        </w:rPr>
        <w:t>Hedging Party:</w:t>
      </w:r>
      <w:r>
        <w:rPr>
          <w:sz w:val="20"/>
          <w:szCs w:val="20"/>
          <w:color w:val="auto"/>
        </w:rPr>
        <w:tab/>
      </w:r>
      <w:r>
        <w:rPr>
          <w:rFonts w:ascii="Times New Roman" w:cs="Times New Roman" w:eastAsia="Times New Roman" w:hAnsi="Times New Roman"/>
          <w:sz w:val="17"/>
          <w:szCs w:val="17"/>
          <w:color w:val="auto"/>
        </w:rPr>
        <w:t>For all applicable Additional Disruption Events, Dealer.</w:t>
      </w:r>
    </w:p>
    <w:p>
      <w:pPr>
        <w:spacing w:after="0" w:line="196" w:lineRule="exact"/>
        <w:rPr>
          <w:sz w:val="20"/>
          <w:szCs w:val="20"/>
          <w:color w:val="auto"/>
        </w:rPr>
      </w:pPr>
    </w:p>
    <w:p>
      <w:pPr>
        <w:jc w:val="both"/>
        <w:ind w:left="1800" w:hanging="3158"/>
        <w:spacing w:after="0" w:line="264" w:lineRule="auto"/>
        <w:tabs>
          <w:tab w:leader="none" w:pos="1780" w:val="left"/>
        </w:tabs>
        <w:rPr>
          <w:sz w:val="20"/>
          <w:szCs w:val="20"/>
          <w:color w:val="auto"/>
        </w:rPr>
      </w:pPr>
      <w:r>
        <w:rPr>
          <w:rFonts w:ascii="Times New Roman" w:cs="Times New Roman" w:eastAsia="Times New Roman" w:hAnsi="Times New Roman"/>
          <w:sz w:val="18"/>
          <w:szCs w:val="18"/>
          <w:color w:val="auto"/>
        </w:rPr>
        <w:t>Determining Party:</w:t>
      </w:r>
      <w:r>
        <w:rPr>
          <w:sz w:val="20"/>
          <w:szCs w:val="20"/>
          <w:color w:val="auto"/>
        </w:rPr>
        <w:tab/>
      </w:r>
      <w:r>
        <w:rPr>
          <w:rFonts w:ascii="Times New Roman" w:cs="Times New Roman" w:eastAsia="Times New Roman" w:hAnsi="Times New Roman"/>
          <w:sz w:val="18"/>
          <w:szCs w:val="18"/>
          <w:color w:val="auto"/>
        </w:rPr>
        <w:t xml:space="preserve">For all applicable Extraordinary Events,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making any determination or calculation as “Determining Party,” Dealer shall be bound by the same obligations relating to required acts of the Calculation Agent as set forth in Section 1.40 of the Equity Definitions and this Confirmation as if the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60"/>
          </w:cols>
          <w:pgMar w:left="1300" w:top="1440" w:right="339" w:bottom="1440" w:gutter="0" w:footer="0" w:header="0"/>
        </w:sectPr>
      </w:pPr>
    </w:p>
    <w:bookmarkStart w:id="144" w:name="page145"/>
    <w:bookmarkEnd w:id="144"/>
    <w:p>
      <w:pPr>
        <w:spacing w:after="0" w:line="153" w:lineRule="exact"/>
        <w:rPr>
          <w:sz w:val="20"/>
          <w:szCs w:val="20"/>
          <w:color w:val="auto"/>
        </w:rPr>
      </w:pPr>
    </w:p>
    <w:p>
      <w:pPr>
        <w:jc w:val="both"/>
        <w:ind w:left="4220"/>
        <w:spacing w:after="0" w:line="253" w:lineRule="auto"/>
        <w:rPr>
          <w:sz w:val="20"/>
          <w:szCs w:val="20"/>
          <w:color w:val="auto"/>
        </w:rPr>
      </w:pPr>
      <w:r>
        <w:rPr>
          <w:rFonts w:ascii="Times New Roman" w:cs="Times New Roman" w:eastAsia="Times New Roman" w:hAnsi="Times New Roman"/>
          <w:sz w:val="18"/>
          <w:szCs w:val="18"/>
          <w:color w:val="auto"/>
        </w:rPr>
        <w:t>Party were the Calculation Agent. Following any determination or calculation by the Determining Party hereunder (but not, for the avoidance of doubt, the making of any election it is entitled to make as “Determining Party”), upon a written request by Counterparty, the Determining Party shall promptly provide to Counterparty by e-mail to the e-mail address provided by Counterparty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Determining Party shall not be obligated to disclose any proprietary models used by it for such determination or calculation or any information that may be proprietary or confidential or subject to an obligation not to disclose such information. All calculations, adjustments and determinations by Dealer acting in its capacity as the Determining Party shall be made in good faith and in a commercially reasonable manner and assuming that Dealer maintains a commercially reasonable hedge position.</w:t>
      </w:r>
    </w:p>
    <w:p>
      <w:pPr>
        <w:spacing w:after="0" w:line="160" w:lineRule="exact"/>
        <w:rPr>
          <w:sz w:val="20"/>
          <w:szCs w:val="20"/>
          <w:color w:val="auto"/>
        </w:rPr>
      </w:pPr>
    </w:p>
    <w:p>
      <w:pPr>
        <w:ind w:left="1060"/>
        <w:spacing w:after="0"/>
        <w:tabs>
          <w:tab w:leader="none" w:pos="2260" w:val="left"/>
        </w:tabs>
        <w:rPr>
          <w:sz w:val="20"/>
          <w:szCs w:val="20"/>
          <w:color w:val="auto"/>
        </w:rPr>
      </w:pPr>
      <w:r>
        <w:rPr>
          <w:rFonts w:ascii="Times New Roman" w:cs="Times New Roman" w:eastAsia="Times New Roman" w:hAnsi="Times New Roman"/>
          <w:sz w:val="18"/>
          <w:szCs w:val="18"/>
          <w:color w:val="auto"/>
        </w:rPr>
        <w:t>Non-Reliance:</w:t>
      </w:r>
      <w:r>
        <w:rPr>
          <w:sz w:val="20"/>
          <w:szCs w:val="20"/>
          <w:color w:val="auto"/>
        </w:rPr>
        <w:tab/>
      </w:r>
      <w:r>
        <w:rPr>
          <w:rFonts w:ascii="Times New Roman" w:cs="Times New Roman" w:eastAsia="Times New Roman" w:hAnsi="Times New Roman"/>
          <w:sz w:val="17"/>
          <w:szCs w:val="17"/>
          <w:color w:val="auto"/>
        </w:rPr>
        <w:t>Applicable</w:t>
      </w:r>
    </w:p>
    <w:p>
      <w:pPr>
        <w:spacing w:after="0" w:line="1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Agreements and Acknowledgments</w:t>
      </w:r>
    </w:p>
    <w:p>
      <w:pPr>
        <w:spacing w:after="0" w:line="27" w:lineRule="exact"/>
        <w:rPr>
          <w:sz w:val="20"/>
          <w:szCs w:val="20"/>
          <w:color w:val="auto"/>
        </w:rPr>
      </w:pPr>
    </w:p>
    <w:p>
      <w:pPr>
        <w:ind w:left="1060"/>
        <w:spacing w:after="0"/>
        <w:tabs>
          <w:tab w:leader="none" w:pos="3420" w:val="left"/>
        </w:tabs>
        <w:rPr>
          <w:sz w:val="20"/>
          <w:szCs w:val="20"/>
          <w:color w:val="auto"/>
        </w:rPr>
      </w:pPr>
      <w:r>
        <w:rPr>
          <w:rFonts w:ascii="Times New Roman" w:cs="Times New Roman" w:eastAsia="Times New Roman" w:hAnsi="Times New Roman"/>
          <w:sz w:val="18"/>
          <w:szCs w:val="18"/>
          <w:color w:val="auto"/>
        </w:rPr>
        <w:t>Regarding Hedging Activities:</w:t>
      </w:r>
      <w:r>
        <w:rPr>
          <w:sz w:val="20"/>
          <w:szCs w:val="20"/>
          <w:color w:val="auto"/>
        </w:rPr>
        <w:tab/>
      </w:r>
      <w:r>
        <w:rPr>
          <w:rFonts w:ascii="Times New Roman" w:cs="Times New Roman" w:eastAsia="Times New Roman" w:hAnsi="Times New Roman"/>
          <w:sz w:val="17"/>
          <w:szCs w:val="17"/>
          <w:color w:val="auto"/>
        </w:rPr>
        <w:t>Applicable</w:t>
      </w:r>
    </w:p>
    <w:p>
      <w:pPr>
        <w:spacing w:after="0" w:line="166" w:lineRule="exact"/>
        <w:rPr>
          <w:sz w:val="20"/>
          <w:szCs w:val="20"/>
          <w:color w:val="auto"/>
        </w:rPr>
      </w:pPr>
    </w:p>
    <w:p>
      <w:pPr>
        <w:ind w:left="1060"/>
        <w:spacing w:after="0"/>
        <w:tabs>
          <w:tab w:leader="none" w:pos="3420" w:val="left"/>
        </w:tabs>
        <w:rPr>
          <w:sz w:val="20"/>
          <w:szCs w:val="20"/>
          <w:color w:val="auto"/>
        </w:rPr>
      </w:pPr>
      <w:r>
        <w:rPr>
          <w:rFonts w:ascii="Times New Roman" w:cs="Times New Roman" w:eastAsia="Times New Roman" w:hAnsi="Times New Roman"/>
          <w:sz w:val="18"/>
          <w:szCs w:val="18"/>
          <w:color w:val="auto"/>
        </w:rPr>
        <w:t>Additional Acknowledgments:</w:t>
        <w:tab/>
        <w:t>Applicable</w:t>
      </w:r>
    </w:p>
    <w:p>
      <w:pPr>
        <w:spacing w:after="0" w:line="198" w:lineRule="exact"/>
        <w:rPr>
          <w:sz w:val="20"/>
          <w:szCs w:val="20"/>
          <w:color w:val="auto"/>
        </w:rPr>
      </w:pPr>
    </w:p>
    <w:p>
      <w:pPr>
        <w:jc w:val="both"/>
        <w:ind w:left="2960" w:hanging="3158"/>
        <w:spacing w:after="0" w:line="255" w:lineRule="auto"/>
        <w:tabs>
          <w:tab w:leader="none" w:pos="2940" w:val="left"/>
        </w:tabs>
        <w:rPr>
          <w:sz w:val="20"/>
          <w:szCs w:val="20"/>
          <w:color w:val="auto"/>
        </w:rPr>
      </w:pPr>
      <w:r>
        <w:rPr>
          <w:rFonts w:ascii="Times New Roman" w:cs="Times New Roman" w:eastAsia="Times New Roman" w:hAnsi="Times New Roman"/>
          <w:sz w:val="18"/>
          <w:szCs w:val="18"/>
          <w:color w:val="auto"/>
        </w:rPr>
        <w:t>Hedging Adjustment:</w:t>
      </w:r>
      <w:r>
        <w:rPr>
          <w:sz w:val="20"/>
          <w:szCs w:val="20"/>
          <w:color w:val="auto"/>
        </w:rPr>
        <w:tab/>
      </w:r>
      <w:r>
        <w:rPr>
          <w:rFonts w:ascii="Times New Roman" w:cs="Times New Roman" w:eastAsia="Times New Roman" w:hAnsi="Times New Roman"/>
          <w:sz w:val="18"/>
          <w:szCs w:val="18"/>
          <w:color w:val="auto"/>
        </w:rPr>
        <w:t>For the avoidance of doubt, whenever Hedging Party, Determining Party or the Calculation Agent makes an adjustment, calculation or determination permitted or required to be made pursuant to the terms of this Confirmation or the Equity Definitions to take into account the effect of any event (other than an adjustment, calculation or determination made by reference to the Indenture), the Calculation Agent, Determining Party or Hedging Party, as the case may be, shall make such adjustment, calculation or determination in a commercially reasonable manner and by reference to the effect of such event on Dealer assuming that Dealer maintains a commercially reasonable hedge position.</w:t>
      </w:r>
    </w:p>
    <w:p>
      <w:pPr>
        <w:spacing w:after="0" w:line="360" w:lineRule="exact"/>
        <w:rPr>
          <w:sz w:val="20"/>
          <w:szCs w:val="20"/>
          <w:color w:val="auto"/>
        </w:rPr>
      </w:pPr>
    </w:p>
    <w:p>
      <w:pPr>
        <w:ind w:left="4220" w:hanging="4212"/>
        <w:spacing w:after="0" w:line="257" w:lineRule="auto"/>
        <w:tabs>
          <w:tab w:leader="none" w:pos="377"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Calculation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all calculations and determinations by the Calculation Agent (other than calculations or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by reference to the Indenture) shall be made in good faith and in a commercially reasonable manner and assuming for such purposes that Dealer is maintaining, establishing and/or unwinding, as applicable, a commercially reasonable hedge position;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 Event of Default of the type described in Section 5(a)(vii) of the Agreement with respect to which Dealer is the sole Defaulting Party occurs,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3" w:lineRule="exact"/>
        <w:rPr>
          <w:sz w:val="20"/>
          <w:szCs w:val="20"/>
          <w:color w:val="auto"/>
        </w:rPr>
      </w:pPr>
    </w:p>
    <w:p>
      <w:pPr>
        <w:jc w:val="both"/>
        <w:ind w:left="4220"/>
        <w:spacing w:after="0" w:line="254" w:lineRule="auto"/>
        <w:rPr>
          <w:sz w:val="20"/>
          <w:szCs w:val="20"/>
          <w:color w:val="auto"/>
        </w:rPr>
      </w:pPr>
      <w:r>
        <w:rPr>
          <w:rFonts w:ascii="Times New Roman" w:cs="Times New Roman" w:eastAsia="Times New Roman" w:hAnsi="Times New Roman"/>
          <w:sz w:val="18"/>
          <w:szCs w:val="18"/>
          <w:color w:val="auto"/>
        </w:rPr>
        <w:t>shall have the right to appoint a successor calculation agent which shall be a nationally recognized third-party dealer in over-the-counter corporate equity derivatives. The Calculation Agent agrees that it will promptly (but in any event within five (5) Exchange Business Days),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Calculation Agent shall not be required to disclose any confidential information or proprietary models used by it in connection with such determination, adjustment or calculation, as the case may be).</w:t>
      </w:r>
    </w:p>
    <w:p>
      <w:pPr>
        <w:spacing w:after="0" w:line="157" w:lineRule="exact"/>
        <w:rPr>
          <w:sz w:val="20"/>
          <w:szCs w:val="20"/>
          <w:color w:val="auto"/>
        </w:rPr>
      </w:pPr>
    </w:p>
    <w:p>
      <w:pPr>
        <w:ind w:left="320" w:hanging="312"/>
        <w:spacing w:after="0"/>
        <w:tabs>
          <w:tab w:leader="none" w:pos="32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 Details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b w:val="1"/>
          <w:bCs w:val="1"/>
          <w:color w:val="auto"/>
        </w:rPr>
      </w:pPr>
    </w:p>
    <w:p>
      <w:pPr>
        <w:ind w:left="1300" w:right="7380" w:hanging="644"/>
        <w:spacing w:after="0" w:line="485" w:lineRule="auto"/>
        <w:tabs>
          <w:tab w:leader="none" w:pos="1022"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Account for delivery of Shares to Counterparty: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be provided by Counterparty.</w:t>
      </w:r>
    </w:p>
    <w:p>
      <w:pPr>
        <w:spacing w:after="0" w:line="185"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(b)</w:t>
        <w:tab/>
        <w:t>Account for payments to Dealer:</w:t>
      </w:r>
    </w:p>
    <w:p>
      <w:pPr>
        <w:spacing w:after="0" w:line="136" w:lineRule="exact"/>
        <w:rPr>
          <w:sz w:val="20"/>
          <w:szCs w:val="20"/>
          <w:color w:val="auto"/>
        </w:rPr>
      </w:pPr>
    </w:p>
    <w:tbl>
      <w:tblPr>
        <w:tblLayout w:type="fixed"/>
        <w:tblInd w:w="1300" w:type="dxa"/>
        <w:tblCellMar>
          <w:top w:w="0" w:type="dxa"/>
          <w:left w:w="0" w:type="dxa"/>
          <w:bottom w:w="0" w:type="dxa"/>
          <w:right w:w="0" w:type="dxa"/>
        </w:tblCellMar>
      </w:tblPr>
      <w:tr>
        <w:trPr>
          <w:trHeight w:val="26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1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9"/>
              </w:rPr>
              <w:t>[_________]</w:t>
            </w:r>
            <w:r>
              <w:rPr>
                <w:rFonts w:ascii="Times New Roman" w:cs="Times New Roman" w:eastAsia="Times New Roman" w:hAnsi="Times New Roman"/>
                <w:sz w:val="23"/>
                <w:szCs w:val="23"/>
                <w:color w:val="auto"/>
                <w:w w:val="99"/>
                <w:vertAlign w:val="superscript"/>
              </w:rPr>
              <w:t>13</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[SWIFT:]</w:t>
            </w:r>
          </w:p>
        </w:tc>
        <w:tc>
          <w:tcPr>
            <w:tcW w:w="18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[_________]</w:t>
            </w:r>
          </w:p>
        </w:tc>
      </w:tr>
      <w:tr>
        <w:trPr>
          <w:trHeight w:val="216"/>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Routing:]  [_________]</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[Acct Name:]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[Acct No.:]</w:t>
            </w:r>
          </w:p>
        </w:tc>
        <w:tc>
          <w:tcPr>
            <w:tcW w:w="1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[_________]</w:t>
            </w:r>
          </w:p>
        </w:tc>
      </w:tr>
    </w:tbl>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Account for delivery of Shares from Dealer: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w:t>
      </w:r>
    </w:p>
    <w:p>
      <w:pPr>
        <w:spacing w:after="0" w:line="181" w:lineRule="exact"/>
        <w:rPr>
          <w:sz w:val="20"/>
          <w:szCs w:val="20"/>
          <w:color w:val="auto"/>
        </w:rPr>
      </w:pPr>
    </w:p>
    <w:p>
      <w:pPr>
        <w:ind w:left="320" w:hanging="312"/>
        <w:spacing w:after="0"/>
        <w:tabs>
          <w:tab w:leader="none" w:pos="32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Offices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18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[____________][Inapplicable; Dealer is not a Multibranch Party]</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459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8" w:lineRule="exact"/>
        <w:rPr>
          <w:sz w:val="20"/>
          <w:szCs w:val="20"/>
          <w:color w:val="auto"/>
        </w:rPr>
      </w:pPr>
    </w:p>
    <w:p>
      <w:pPr>
        <w:ind w:left="160" w:hanging="152"/>
        <w:spacing w:after="0"/>
        <w:tabs>
          <w:tab w:leader="none" w:pos="160" w:val="left"/>
        </w:tabs>
        <w:numPr>
          <w:ilvl w:val="0"/>
          <w:numId w:val="1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Dealer’s account information.</w:t>
      </w:r>
    </w:p>
    <w:p>
      <w:pPr>
        <w:ind w:left="160" w:hanging="152"/>
        <w:spacing w:after="0" w:line="191" w:lineRule="auto"/>
        <w:tabs>
          <w:tab w:leader="none" w:pos="160" w:val="left"/>
        </w:tabs>
        <w:numPr>
          <w:ilvl w:val="0"/>
          <w:numId w:val="1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Dealer’s Office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9" w:lineRule="exact"/>
        <w:rPr>
          <w:sz w:val="20"/>
          <w:szCs w:val="20"/>
          <w:color w:val="auto"/>
        </w:rPr>
      </w:pPr>
    </w:p>
    <w:p>
      <w:pPr>
        <w:ind w:left="320" w:hanging="312"/>
        <w:spacing w:after="0"/>
        <w:tabs>
          <w:tab w:leader="none" w:pos="32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2045 East Innovation Circle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Tempe, AZ 85284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Eric Chambers; Mark Rogers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No.: (480) 821-5000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09" w:lineRule="exact"/>
        <w:rPr>
          <w:sz w:val="20"/>
          <w:szCs w:val="20"/>
          <w:color w:val="auto"/>
        </w:rPr>
      </w:pPr>
    </w:p>
    <w:p>
      <w:pPr>
        <w:ind w:left="1300" w:right="6620" w:hanging="644"/>
        <w:spacing w:after="0" w:line="426" w:lineRule="auto"/>
        <w:tabs>
          <w:tab w:leader="none" w:pos="103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[____________]</w:t>
      </w:r>
      <w:r>
        <w:rPr>
          <w:rFonts w:ascii="Times New Roman" w:cs="Times New Roman" w:eastAsia="Times New Roman" w:hAnsi="Times New Roman"/>
          <w:sz w:val="23"/>
          <w:szCs w:val="23"/>
          <w:color w:val="auto"/>
          <w:vertAlign w:val="superscript"/>
        </w:rPr>
        <w:t>15</w:t>
      </w: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[____________]</w:t>
      </w:r>
    </w:p>
    <w:p>
      <w:pPr>
        <w:spacing w:after="0" w:line="27"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Telephone:</w:t>
        <w:tab/>
        <w:t>[____________]</w:t>
      </w:r>
    </w:p>
    <w:p>
      <w:pPr>
        <w:spacing w:after="0" w:line="9"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tab/>
        <w:t>[____________]</w:t>
      </w:r>
    </w:p>
    <w:p>
      <w:pPr>
        <w:spacing w:after="0" w:line="2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w:t>
      </w:r>
    </w:p>
    <w:p>
      <w:pPr>
        <w:spacing w:after="0" w:line="225" w:lineRule="exact"/>
        <w:rPr>
          <w:sz w:val="20"/>
          <w:szCs w:val="20"/>
          <w:color w:val="auto"/>
        </w:rPr>
      </w:pPr>
    </w:p>
    <w:p>
      <w:pPr>
        <w:ind w:left="1300"/>
        <w:spacing w:after="0"/>
        <w:tabs>
          <w:tab w:leader="none" w:pos="2240" w:val="left"/>
        </w:tabs>
        <w:rPr>
          <w:sz w:val="20"/>
          <w:szCs w:val="20"/>
          <w:color w:val="auto"/>
        </w:rPr>
      </w:pPr>
      <w:r>
        <w:rPr>
          <w:rFonts w:ascii="Times New Roman" w:cs="Times New Roman" w:eastAsia="Times New Roman" w:hAnsi="Times New Roman"/>
          <w:sz w:val="18"/>
          <w:szCs w:val="18"/>
          <w:color w:val="auto"/>
        </w:rPr>
        <w:t>Attention:</w:t>
        <w:tab/>
        <w:t>[____________]</w:t>
      </w:r>
    </w:p>
    <w:p>
      <w:pPr>
        <w:spacing w:after="0" w:line="27" w:lineRule="exact"/>
        <w:rPr>
          <w:sz w:val="20"/>
          <w:szCs w:val="20"/>
          <w:color w:val="auto"/>
        </w:rPr>
      </w:pPr>
    </w:p>
    <w:p>
      <w:pPr>
        <w:ind w:left="1300"/>
        <w:spacing w:after="0"/>
        <w:tabs>
          <w:tab w:leader="none" w:pos="2260" w:val="left"/>
        </w:tabs>
        <w:rPr>
          <w:sz w:val="20"/>
          <w:szCs w:val="20"/>
          <w:color w:val="auto"/>
        </w:rPr>
      </w:pPr>
      <w:r>
        <w:rPr>
          <w:rFonts w:ascii="Times New Roman" w:cs="Times New Roman" w:eastAsia="Times New Roman" w:hAnsi="Times New Roman"/>
          <w:sz w:val="18"/>
          <w:szCs w:val="18"/>
          <w:color w:val="auto"/>
        </w:rPr>
        <w:t>Telephone:</w:t>
        <w:tab/>
        <w:t>[____________]</w:t>
      </w:r>
    </w:p>
    <w:p>
      <w:pPr>
        <w:spacing w:after="0" w:line="9"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tab/>
        <w:t>[____________]]</w:t>
      </w:r>
    </w:p>
    <w:p>
      <w:pPr>
        <w:spacing w:after="0" w:line="162" w:lineRule="exact"/>
        <w:rPr>
          <w:sz w:val="20"/>
          <w:szCs w:val="20"/>
          <w:color w:val="auto"/>
        </w:rPr>
      </w:pPr>
    </w:p>
    <w:p>
      <w:pPr>
        <w:ind w:left="320" w:hanging="312"/>
        <w:spacing w:after="0"/>
        <w:tabs>
          <w:tab w:leader="none" w:pos="32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Counterparty</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Each of the representations and warranties of Counterparty set forth in Section 3 of the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April 30, 2026, among Counterparty and BofA Securities, Inc. and Wells Fargo Securities, LLC,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are true and correct and are hereby deemed to be repeated to Dealer as if set forth herein. Counterparty hereby further represents and warrants to Dealer on the date hereof and on and as of the Premium Payment Date that:</w:t>
      </w:r>
    </w:p>
    <w:p>
      <w:pPr>
        <w:spacing w:after="0" w:line="153" w:lineRule="exact"/>
        <w:rPr>
          <w:sz w:val="20"/>
          <w:szCs w:val="20"/>
          <w:color w:val="auto"/>
        </w:rPr>
      </w:pPr>
    </w:p>
    <w:p>
      <w:pPr>
        <w:ind w:left="1300" w:hanging="644"/>
        <w:spacing w:after="0" w:line="254" w:lineRule="auto"/>
        <w:tabs>
          <w:tab w:leader="none" w:pos="108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51" w:lineRule="exact"/>
        <w:rPr>
          <w:rFonts w:ascii="Times New Roman" w:cs="Times New Roman" w:eastAsia="Times New Roman" w:hAnsi="Times New Roman"/>
          <w:sz w:val="18"/>
          <w:szCs w:val="18"/>
          <w:color w:val="auto"/>
        </w:rPr>
      </w:pPr>
    </w:p>
    <w:p>
      <w:pPr>
        <w:ind w:left="1300" w:hanging="644"/>
        <w:spacing w:after="0" w:line="266" w:lineRule="auto"/>
        <w:tabs>
          <w:tab w:leader="none" w:pos="110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6459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97" w:lineRule="exact"/>
        <w:rPr>
          <w:sz w:val="20"/>
          <w:szCs w:val="20"/>
          <w:color w:val="auto"/>
        </w:rPr>
      </w:pPr>
    </w:p>
    <w:p>
      <w:pPr>
        <w:ind w:left="160" w:hanging="152"/>
        <w:spacing w:after="0"/>
        <w:tabs>
          <w:tab w:leader="none" w:pos="160" w:val="left"/>
        </w:tabs>
        <w:numPr>
          <w:ilvl w:val="0"/>
          <w:numId w:val="18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Dealer’s notice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3"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agency, or any agreement or instrument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49" w:lineRule="exact"/>
        <w:rPr>
          <w:sz w:val="20"/>
          <w:szCs w:val="20"/>
          <w:color w:val="auto"/>
        </w:rPr>
      </w:pPr>
    </w:p>
    <w:p>
      <w:pPr>
        <w:ind w:left="644" w:hanging="644"/>
        <w:spacing w:after="0" w:line="258" w:lineRule="auto"/>
        <w:tabs>
          <w:tab w:leader="none" w:pos="4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Counterparty, 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 being financial institutions or broker-dealers.</w:t>
      </w:r>
    </w:p>
    <w:p>
      <w:pPr>
        <w:spacing w:after="0" w:line="142" w:lineRule="exact"/>
        <w:rPr>
          <w:rFonts w:ascii="Times New Roman" w:cs="Times New Roman" w:eastAsia="Times New Roman" w:hAnsi="Times New Roman"/>
          <w:sz w:val="18"/>
          <w:szCs w:val="18"/>
          <w:color w:val="auto"/>
        </w:rPr>
      </w:pPr>
    </w:p>
    <w:p>
      <w:pPr>
        <w:ind w:left="644" w:hanging="644"/>
        <w:spacing w:after="0" w:line="282" w:lineRule="auto"/>
        <w:tabs>
          <w:tab w:leader="none" w:pos="46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121" w:lineRule="exact"/>
        <w:rPr>
          <w:rFonts w:ascii="Times New Roman" w:cs="Times New Roman" w:eastAsia="Times New Roman" w:hAnsi="Times New Roman"/>
          <w:sz w:val="18"/>
          <w:szCs w:val="18"/>
          <w:color w:val="auto"/>
        </w:rPr>
      </w:pPr>
    </w:p>
    <w:p>
      <w:pPr>
        <w:ind w:left="644" w:hanging="644"/>
        <w:spacing w:after="0" w:line="282" w:lineRule="auto"/>
        <w:tabs>
          <w:tab w:leader="none" w:pos="41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34"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in possession of any material non-public information with respect to Counterparty or the Shares.</w:t>
      </w:r>
    </w:p>
    <w:p>
      <w:pPr>
        <w:spacing w:after="0" w:line="184" w:lineRule="exact"/>
        <w:rPr>
          <w:rFonts w:ascii="Times New Roman" w:cs="Times New Roman" w:eastAsia="Times New Roman" w:hAnsi="Times New Roman"/>
          <w:sz w:val="18"/>
          <w:szCs w:val="18"/>
          <w:color w:val="auto"/>
        </w:rPr>
      </w:pPr>
    </w:p>
    <w:p>
      <w:pPr>
        <w:ind w:left="644" w:hanging="644"/>
        <w:spacing w:after="0" w:line="255" w:lineRule="auto"/>
        <w:tabs>
          <w:tab w:leader="none" w:pos="38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Counterparty,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in each case, other than U.S. federal securities laws generally applicable to transactions relating to common equity securities of U.S. domestic issuers listed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representation or warranty regarding any such requirement that is applicable generally to the ownership of equity securities by Dealer or any of its affiliates solely as a result of it or any of such affiliate being financial institutions or broker-dealers.</w:t>
      </w:r>
    </w:p>
    <w:p>
      <w:pPr>
        <w:spacing w:after="0" w:line="148" w:lineRule="exact"/>
        <w:rPr>
          <w:rFonts w:ascii="Times New Roman" w:cs="Times New Roman" w:eastAsia="Times New Roman" w:hAnsi="Times New Roman"/>
          <w:sz w:val="18"/>
          <w:szCs w:val="18"/>
          <w:color w:val="auto"/>
        </w:rPr>
      </w:pPr>
    </w:p>
    <w:p>
      <w:pPr>
        <w:ind w:left="644" w:hanging="644"/>
        <w:spacing w:after="0" w:line="261" w:lineRule="auto"/>
        <w:tabs>
          <w:tab w:leader="none" w:pos="40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52"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40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within the meaning of 29 C.F.R. § 2510.3-101 under the Employee Retirement Income Security Act of 1974, as amended.</w:t>
      </w:r>
    </w:p>
    <w:p>
      <w:pPr>
        <w:spacing w:after="0" w:line="121" w:lineRule="exact"/>
        <w:rPr>
          <w:rFonts w:ascii="Times New Roman" w:cs="Times New Roman" w:eastAsia="Times New Roman" w:hAnsi="Times New Roman"/>
          <w:sz w:val="18"/>
          <w:szCs w:val="18"/>
          <w:color w:val="auto"/>
        </w:rPr>
      </w:pPr>
    </w:p>
    <w:p>
      <w:pPr>
        <w:ind w:left="644" w:hanging="644"/>
        <w:spacing w:after="0" w:line="254" w:lineRule="auto"/>
        <w:tabs>
          <w:tab w:leader="none" w:pos="35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(F) Counterparty would be able to purchase the number of Shares with respect to the Transaction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4"/>
          </w:cols>
          <w:pgMar w:left="976" w:top="1440" w:right="339" w:bottom="1440" w:gutter="0" w:footer="0" w:header="0"/>
        </w:sectPr>
      </w:pPr>
    </w:p>
    <w:bookmarkStart w:id="148" w:name="page149"/>
    <w:bookmarkEnd w:id="148"/>
    <w:p>
      <w:pPr>
        <w:spacing w:after="0" w:line="153"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compliance with the laws of the jurisdiction of Counterparty’s incorporation (including the adequate surplus and capital requirements of Sections 154 and 160 of the General Corporation Law of the State of Delaware).</w:t>
      </w:r>
    </w:p>
    <w:p>
      <w:pPr>
        <w:spacing w:after="0" w:line="133" w:lineRule="exact"/>
        <w:rPr>
          <w:sz w:val="20"/>
          <w:szCs w:val="20"/>
          <w:color w:val="auto"/>
        </w:rPr>
      </w:pPr>
    </w:p>
    <w:p>
      <w:pPr>
        <w:ind w:left="1040" w:hanging="384"/>
        <w:spacing w:after="0"/>
        <w:tabs>
          <w:tab w:leader="none" w:pos="10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300" w:hanging="644"/>
        <w:spacing w:after="0" w:line="283" w:lineRule="auto"/>
        <w:tabs>
          <w:tab w:leader="none" w:pos="108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3"/>
          <w:szCs w:val="23"/>
          <w:color w:val="auto"/>
          <w:vertAlign w:val="superscript"/>
        </w:rPr>
        <w:t>16</w:t>
      </w:r>
    </w:p>
    <w:p>
      <w:pPr>
        <w:spacing w:after="0" w:line="4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Provisions</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b w:val="1"/>
          <w:bCs w:val="1"/>
          <w:color w:val="auto"/>
        </w:rPr>
      </w:pPr>
    </w:p>
    <w:p>
      <w:pPr>
        <w:ind w:left="1300" w:hanging="644"/>
        <w:spacing w:after="0" w:line="261" w:lineRule="auto"/>
        <w:tabs>
          <w:tab w:leader="none" w:pos="104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Premium Payment Date, with respect to the matters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forth in Sections 8(a) through (c) of this Confirmation;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limitations, exceptions and qualifications. Delivery of such opinion to Dealer shall be a condition precedent for the purpose of Section 2(a)(iii) of the Agreement with respect to each obligation of Dealer under Section 2(a)(i) of the Agreement.</w:t>
      </w:r>
    </w:p>
    <w:p>
      <w:pPr>
        <w:spacing w:after="0" w:line="139" w:lineRule="exact"/>
        <w:rPr>
          <w:rFonts w:ascii="Times New Roman" w:cs="Times New Roman" w:eastAsia="Times New Roman" w:hAnsi="Times New Roman"/>
          <w:sz w:val="18"/>
          <w:szCs w:val="18"/>
          <w:color w:val="auto"/>
        </w:rPr>
      </w:pPr>
    </w:p>
    <w:p>
      <w:pPr>
        <w:ind w:left="1300" w:hanging="644"/>
        <w:spacing w:after="0" w:line="251" w:lineRule="auto"/>
        <w:tabs>
          <w:tab w:leader="none" w:pos="1055"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any day on which Counterparty effects any repurchase of Shares, promptly give Dealer a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(which, for the avoidance of doubt may be by email)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xml:space="preserve">”) on such day if following such repurchase, the number of outstanding Shares as determined on such day is (i) less than 157.57 million (in the case of the first such notice) or (ii) thereafter more than 42.08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Exchange Act (as defined below),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and documented out-of-pocket expenses (including reasonable attorney’s fees of one outside counsel in each relevant jurisdiction),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out-of-pocket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59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left="160" w:hanging="152"/>
        <w:spacing w:after="0"/>
        <w:tabs>
          <w:tab w:leader="none" w:pos="160" w:val="left"/>
        </w:tabs>
        <w:numPr>
          <w:ilvl w:val="0"/>
          <w:numId w:val="19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for applicable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53" w:lineRule="exact"/>
        <w:rPr>
          <w:sz w:val="20"/>
          <w:szCs w:val="20"/>
          <w:color w:val="auto"/>
        </w:rPr>
      </w:pPr>
    </w:p>
    <w:p>
      <w:pPr>
        <w:jc w:val="both"/>
        <w:ind w:left="644"/>
        <w:spacing w:after="0" w:line="252" w:lineRule="auto"/>
        <w:rPr>
          <w:sz w:val="20"/>
          <w:szCs w:val="20"/>
          <w:color w:val="auto"/>
        </w:rPr>
      </w:pPr>
      <w:r>
        <w:rPr>
          <w:rFonts w:ascii="Times New Roman" w:cs="Times New Roman" w:eastAsia="Times New Roman" w:hAnsi="Times New Roman"/>
          <w:sz w:val="18"/>
          <w:szCs w:val="18"/>
          <w:color w:val="auto"/>
        </w:rPr>
        <w:t>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Counterparty shall not be liable for any losses, claims, damages or liabilities (or expenses relating thereto) of any Indemnified Person that results from the bad faith, gross negligence, willful misconduct or fraud of an Indemnified Person (in each case, as conclusively determined by a court of competent jurisdiction in a final and non-appealable judgment).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w:t>
      </w:r>
    </w:p>
    <w:p>
      <w:pPr>
        <w:spacing w:after="0" w:line="2" w:lineRule="exact"/>
        <w:rPr>
          <w:sz w:val="20"/>
          <w:szCs w:val="20"/>
          <w:color w:val="auto"/>
        </w:rPr>
      </w:pPr>
    </w:p>
    <w:p>
      <w:pPr>
        <w:jc w:val="both"/>
        <w:ind w:left="644" w:firstLine="4"/>
        <w:spacing w:after="0" w:line="255" w:lineRule="auto"/>
        <w:tabs>
          <w:tab w:leader="none" w:pos="90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156" w:lineRule="exact"/>
        <w:rPr>
          <w:rFonts w:ascii="Times New Roman" w:cs="Times New Roman" w:eastAsia="Times New Roman" w:hAnsi="Times New Roman"/>
          <w:sz w:val="18"/>
          <w:szCs w:val="18"/>
          <w:color w:val="auto"/>
        </w:rPr>
      </w:pPr>
    </w:p>
    <w:p>
      <w:pPr>
        <w:ind w:left="644" w:hanging="644"/>
        <w:spacing w:after="0" w:line="261" w:lineRule="auto"/>
        <w:tabs>
          <w:tab w:leader="none" w:pos="41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any securities of Counterparty, other than a distribution meeting the requirements of the exception set forth in Rules 101(b)(10) and 102(b)(7) of Regulation M. Counterparty shall not, until the second Scheduled Trading Day immediately following the Trade Date, engage in any such distribution.</w:t>
      </w:r>
    </w:p>
    <w:p>
      <w:pPr>
        <w:spacing w:after="0" w:line="139" w:lineRule="exact"/>
        <w:rPr>
          <w:rFonts w:ascii="Times New Roman" w:cs="Times New Roman" w:eastAsia="Times New Roman" w:hAnsi="Times New Roman"/>
          <w:sz w:val="18"/>
          <w:szCs w:val="18"/>
          <w:color w:val="auto"/>
        </w:rPr>
      </w:pPr>
    </w:p>
    <w:p>
      <w:pPr>
        <w:ind w:left="644" w:hanging="644"/>
        <w:spacing w:after="0" w:line="267" w:lineRule="auto"/>
        <w:tabs>
          <w:tab w:leader="none" w:pos="39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the Shares) or to raise or depress or otherwise manipulate the price of the Shares (or any security convertible into or exchangeable for the Shares) or otherwise in violation of the Exchange Act.</w:t>
      </w:r>
    </w:p>
    <w:p>
      <w:pPr>
        <w:spacing w:after="0" w:line="132"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1304" w:hanging="656"/>
        <w:spacing w:after="0" w:line="266"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135" w:lineRule="exact"/>
        <w:rPr>
          <w:rFonts w:ascii="Times New Roman" w:cs="Times New Roman" w:eastAsia="Times New Roman" w:hAnsi="Times New Roman"/>
          <w:sz w:val="18"/>
          <w:szCs w:val="18"/>
          <w:color w:val="auto"/>
        </w:rPr>
      </w:pPr>
    </w:p>
    <w:p>
      <w:pPr>
        <w:ind w:left="1944" w:hanging="648"/>
        <w:spacing w:after="0" w:line="282" w:lineRule="auto"/>
        <w:tabs>
          <w:tab w:leader="none" w:pos="1766"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9(n) or 9(s) of this Confirmation;</w:t>
      </w:r>
    </w:p>
    <w:p>
      <w:pPr>
        <w:spacing w:after="0" w:line="121" w:lineRule="exact"/>
        <w:rPr>
          <w:rFonts w:ascii="Times New Roman" w:cs="Times New Roman" w:eastAsia="Times New Roman" w:hAnsi="Times New Roman"/>
          <w:sz w:val="18"/>
          <w:szCs w:val="18"/>
          <w:color w:val="auto"/>
        </w:rPr>
      </w:pPr>
    </w:p>
    <w:p>
      <w:pPr>
        <w:ind w:left="1944" w:hanging="648"/>
        <w:spacing w:after="0" w:line="282" w:lineRule="auto"/>
        <w:tabs>
          <w:tab w:leader="none" w:pos="1766"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Section 7701(a)(30)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944" w:hanging="648"/>
        <w:spacing w:after="0" w:line="261" w:lineRule="auto"/>
        <w:tabs>
          <w:tab w:leader="none" w:pos="1856"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4"/>
          </w:cols>
          <w:pgMar w:left="976" w:top="1440" w:right="339" w:bottom="1440" w:gutter="0" w:footer="0" w:header="0"/>
        </w:sectPr>
      </w:pPr>
    </w:p>
    <w:bookmarkStart w:id="150" w:name="page151"/>
    <w:bookmarkEnd w:id="150"/>
    <w:p>
      <w:pPr>
        <w:spacing w:after="0" w:line="153" w:lineRule="exact"/>
        <w:rPr>
          <w:sz w:val="20"/>
          <w:szCs w:val="20"/>
          <w:color w:val="auto"/>
        </w:rPr>
      </w:pPr>
    </w:p>
    <w:p>
      <w:pPr>
        <w:ind w:left="1480" w:right="20"/>
        <w:spacing w:after="0" w:line="282" w:lineRule="auto"/>
        <w:rPr>
          <w:sz w:val="20"/>
          <w:szCs w:val="20"/>
          <w:color w:val="auto"/>
        </w:rPr>
      </w:pPr>
      <w:r>
        <w:rPr>
          <w:rFonts w:ascii="Times New Roman" w:cs="Times New Roman" w:eastAsia="Times New Roman" w:hAnsi="Times New Roman"/>
          <w:sz w:val="18"/>
          <w:szCs w:val="18"/>
          <w:color w:val="auto"/>
        </w:rPr>
        <w:t>delivery of legal opinions with respect to securities laws and other matters by such third party and Counterparty, as are reasonably requested and reasonably satisfactory to Dealer;</w:t>
      </w:r>
    </w:p>
    <w:p>
      <w:pPr>
        <w:spacing w:after="0" w:line="135" w:lineRule="exact"/>
        <w:rPr>
          <w:sz w:val="20"/>
          <w:szCs w:val="20"/>
          <w:color w:val="auto"/>
        </w:rPr>
      </w:pPr>
    </w:p>
    <w:p>
      <w:pPr>
        <w:ind w:left="1480" w:hanging="648"/>
        <w:spacing w:after="0" w:line="266" w:lineRule="auto"/>
        <w:tabs>
          <w:tab w:leader="none" w:pos="130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be required to pay the transferee or assignee on any payment date an amount under Section 2(d)(i)(4) of the Agreement greater than an amount that Dealer would have been required to pay to Counterparty in the absence of such transfer or assignment;</w:t>
      </w:r>
    </w:p>
    <w:p>
      <w:pPr>
        <w:spacing w:after="0" w:line="135" w:lineRule="exact"/>
        <w:rPr>
          <w:rFonts w:ascii="Times New Roman" w:cs="Times New Roman" w:eastAsia="Times New Roman" w:hAnsi="Times New Roman"/>
          <w:sz w:val="18"/>
          <w:szCs w:val="18"/>
          <w:color w:val="auto"/>
        </w:rPr>
      </w:pPr>
    </w:p>
    <w:p>
      <w:pPr>
        <w:ind w:left="1480" w:hanging="648"/>
        <w:spacing w:after="0" w:line="261" w:lineRule="auto"/>
        <w:tabs>
          <w:tab w:leader="none" w:pos="1302"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as a result of such transfer or assignment, receive from the transferee or assignee on any payment date (after accounting for amounts paid by the transferee or assignee under Section 2(d)(i)(4) of the Agreement as well as any withholding or deduction of Tax from the payment) an amount less than the amount it would have been entitled to receive from Counterparty in the absence of such transfer or assignment;</w:t>
      </w:r>
    </w:p>
    <w:p>
      <w:pPr>
        <w:spacing w:after="0" w:line="139" w:lineRule="exact"/>
        <w:rPr>
          <w:rFonts w:ascii="Times New Roman" w:cs="Times New Roman" w:eastAsia="Times New Roman" w:hAnsi="Times New Roman"/>
          <w:sz w:val="18"/>
          <w:szCs w:val="18"/>
          <w:color w:val="auto"/>
        </w:rPr>
      </w:pPr>
    </w:p>
    <w:p>
      <w:pPr>
        <w:ind w:left="1480" w:hanging="648"/>
        <w:spacing w:after="0" w:line="282" w:lineRule="auto"/>
        <w:tabs>
          <w:tab w:leader="none" w:pos="133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or assignment;</w:t>
      </w:r>
    </w:p>
    <w:p>
      <w:pPr>
        <w:spacing w:after="0" w:line="134" w:lineRule="exact"/>
        <w:rPr>
          <w:rFonts w:ascii="Times New Roman" w:cs="Times New Roman" w:eastAsia="Times New Roman" w:hAnsi="Times New Roman"/>
          <w:sz w:val="18"/>
          <w:szCs w:val="18"/>
          <w:color w:val="auto"/>
        </w:rPr>
      </w:pPr>
    </w:p>
    <w:p>
      <w:pPr>
        <w:ind w:left="1480" w:hanging="648"/>
        <w:spacing w:after="0" w:line="261" w:lineRule="auto"/>
        <w:tabs>
          <w:tab w:leader="none" w:pos="130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the transferee or assignee shall make such Payee Tax Representations and provide a properly executed IRS Form W-9 and any such other tax documentation as may be reasonably requested by Dealer to permit Dealer to determine that results described in clauses (D) and (E) will not occur upon or after such transfer or assignment; and</w:t>
      </w:r>
    </w:p>
    <w:p>
      <w:pPr>
        <w:spacing w:after="0" w:line="139" w:lineRule="exact"/>
        <w:rPr>
          <w:rFonts w:ascii="Times New Roman" w:cs="Times New Roman" w:eastAsia="Times New Roman" w:hAnsi="Times New Roman"/>
          <w:sz w:val="18"/>
          <w:szCs w:val="18"/>
          <w:color w:val="auto"/>
        </w:rPr>
      </w:pPr>
    </w:p>
    <w:p>
      <w:pPr>
        <w:ind w:left="1480" w:hanging="648"/>
        <w:spacing w:after="0" w:line="282" w:lineRule="auto"/>
        <w:tabs>
          <w:tab w:leader="none" w:pos="1327"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121" w:lineRule="exact"/>
        <w:rPr>
          <w:rFonts w:ascii="Times New Roman" w:cs="Times New Roman" w:eastAsia="Times New Roman" w:hAnsi="Times New Roman"/>
          <w:sz w:val="18"/>
          <w:szCs w:val="18"/>
          <w:color w:val="auto"/>
        </w:rPr>
      </w:pPr>
    </w:p>
    <w:p>
      <w:pPr>
        <w:jc w:val="right"/>
        <w:ind w:left="840" w:hanging="656"/>
        <w:spacing w:after="0" w:line="268" w:lineRule="auto"/>
        <w:tabs>
          <w:tab w:leader="none" w:pos="634"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 may transfer or assign all or any part of its rights or obligations under the Transaction (A) without Counterparty’s consent (but with prompt subsequent (but in no event more than two Exchange Business Days) written notice to Counterparty),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as 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connection with any transfer or assignment pursuant to clause (A)(2) hereof, the guarantee of any guarantor of the relevant transferee’s or assignee’s obligations under the Transaction shall constitute a Credit Support Document under the Agreement), or</w:t>
      </w:r>
    </w:p>
    <w:p>
      <w:pPr>
        <w:spacing w:after="0" w:line="2" w:lineRule="exact"/>
        <w:rPr>
          <w:rFonts w:ascii="Times New Roman" w:cs="Times New Roman" w:eastAsia="Times New Roman" w:hAnsi="Times New Roman"/>
          <w:sz w:val="17"/>
          <w:szCs w:val="17"/>
          <w:color w:val="auto"/>
        </w:rPr>
      </w:pPr>
    </w:p>
    <w:p>
      <w:pPr>
        <w:jc w:val="both"/>
        <w:ind w:left="840" w:hanging="8"/>
        <w:spacing w:after="0" w:line="250" w:lineRule="auto"/>
        <w:tabs>
          <w:tab w:leader="none" w:pos="1141"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Counterparty’s consent (such consent not to be unreasonably withheld or delayed), to any other third party financial institution that is a recognized dealer in the market for U.S. corporate equity derivatives and that has a long-term issuer rating equal to or better than the lesser of (1) the credit rating of Dealer at the time of the transfer or assignment and (2) A- by Standard and Poor’s Financial Services LLC or its successor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or A3 by Moody’s Investor Service, Inc. or its successor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assignment described in clause</w:t>
      </w:r>
    </w:p>
    <w:p>
      <w:pPr>
        <w:spacing w:after="0" w:line="2" w:lineRule="exact"/>
        <w:rPr>
          <w:rFonts w:ascii="Times New Roman" w:cs="Times New Roman" w:eastAsia="Times New Roman" w:hAnsi="Times New Roman"/>
          <w:sz w:val="18"/>
          <w:szCs w:val="18"/>
          <w:color w:val="auto"/>
        </w:rPr>
      </w:pPr>
    </w:p>
    <w:p>
      <w:pPr>
        <w:jc w:val="both"/>
        <w:ind w:left="840" w:hanging="8"/>
        <w:spacing w:after="0" w:line="253" w:lineRule="auto"/>
        <w:tabs>
          <w:tab w:leader="none" w:pos="1154"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(I) such a transfer or assignment shall not occur unless an Event of Default, Potential Event of Default or Termination Event will not occur as a result of such transfer or assignment; (II) both Dealer and the transferee or assignee in any such transfer or assignment are a “dealer in securities” within the meaning of Section 475(c)(1) of the Code, or such transfer or assignment will not otherwise result in a taxable exchange from Counterparty’s perspective for U.S. federal income tax purposes; and (III)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120"/>
          </w:cols>
          <w:pgMar w:left="1440" w:top="1440" w:right="339" w:bottom="1440" w:gutter="0" w:footer="0" w:header="0"/>
        </w:sectPr>
      </w:pPr>
    </w:p>
    <w:bookmarkStart w:id="151" w:name="page152"/>
    <w:bookmarkEnd w:id="151"/>
    <w:p>
      <w:pPr>
        <w:spacing w:after="0" w:line="153"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will not, as a result of such transfer or assignment, (x) receive from the transferee or assignee on any payment date or delivery date (after accounting for amounts paid by the transferee or assignee under Section 2(d)(i)(4) of the Agreement as well as any withholding or deduction of Tax from the payment or delivery) an amount or a number of Shares, as applicable, lower than the amount or the number of Shares, as applicable, that Counterparty would have been entitled to receive from Dealer in the absence of such transfer or assignment or (y) be required to pay such transferee or assignee on any payment date (taking into account any additional amount required to be paid by Counterparty under Section 2(d)(i)(4) of the Agreement) an amount greater than the amount that Counterparty would have been required to pay to Dealer in the absence of such transfer or assignment. In addition, the transferee or assignee shall make such Payee Tax Representations and shall provide such tax documentation as may be reasonably requested by Counterparty, including in order to permit Counterparty to make any necessary determinations pursuant to clause (III) of the preceding sentence. If at any time at which (A) the Section 16 Percentage exceeds 8.0%,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(after giving effect to such transfer or assignment and any resulting change in Dealer’s commercially reasonable Hedge Positions),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(after giving effect to such transfer or assignment and any resulting change in Dealer’s commercially reasonable Hedge Positions).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9(l)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120"/>
          </w:cols>
          <w:pgMar w:left="1440" w:top="1440" w:right="339" w:bottom="1440" w:gutter="0" w:footer="0" w:header="0"/>
        </w:sectPr>
      </w:pPr>
    </w:p>
    <w:bookmarkStart w:id="152" w:name="page153"/>
    <w:bookmarkEnd w:id="152"/>
    <w:p>
      <w:pPr>
        <w:spacing w:after="0" w:line="149" w:lineRule="exact"/>
        <w:rPr>
          <w:sz w:val="20"/>
          <w:szCs w:val="20"/>
          <w:color w:val="auto"/>
        </w:rPr>
      </w:pPr>
    </w:p>
    <w:p>
      <w:pPr>
        <w:jc w:val="both"/>
        <w:ind w:left="1304"/>
        <w:spacing w:after="0" w:line="256" w:lineRule="auto"/>
        <w:rPr>
          <w:sz w:val="20"/>
          <w:szCs w:val="20"/>
          <w:color w:val="auto"/>
        </w:rPr>
      </w:pP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owns, beneficially owns, constructively owns, controls, holds the power to vote or otherwise meets a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Limit</w:t>
      </w:r>
      <w:r>
        <w:rPr>
          <w:rFonts w:ascii="Times New Roman" w:cs="Times New Roman" w:eastAsia="Times New Roman" w:hAnsi="Times New Roman"/>
          <w:sz w:val="18"/>
          <w:szCs w:val="18"/>
          <w:color w:val="auto"/>
        </w:rPr>
        <w:t>” means a number of Shares equal to (A) the minimum number of Shares that could give rise to reporting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obligations (except for any filing requirements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good faith and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w:t>
      </w:r>
    </w:p>
    <w:p>
      <w:pPr>
        <w:spacing w:after="0" w:line="160" w:lineRule="exact"/>
        <w:rPr>
          <w:sz w:val="20"/>
          <w:szCs w:val="20"/>
          <w:color w:val="auto"/>
        </w:rPr>
      </w:pPr>
    </w:p>
    <w:p>
      <w:pPr>
        <w:ind w:left="1304" w:hanging="656"/>
        <w:spacing w:after="0" w:line="253" w:lineRule="auto"/>
        <w:tabs>
          <w:tab w:leader="none" w:pos="112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(each, a “</w:t>
      </w:r>
      <w:r>
        <w:rPr>
          <w:rFonts w:ascii="Times New Roman" w:cs="Times New Roman" w:eastAsia="Times New Roman" w:hAnsi="Times New Roman"/>
          <w:sz w:val="18"/>
          <w:szCs w:val="18"/>
          <w:b w:val="1"/>
          <w:bCs w:val="1"/>
          <w:color w:val="auto"/>
        </w:rPr>
        <w:t>Dealer Designated Affiliate</w:t>
      </w:r>
      <w:r>
        <w:rPr>
          <w:rFonts w:ascii="Times New Roman" w:cs="Times New Roman" w:eastAsia="Times New Roman" w:hAnsi="Times New Roman"/>
          <w:sz w:val="18"/>
          <w:szCs w:val="18"/>
          <w:color w:val="auto"/>
        </w:rPr>
        <w:t xml:space="preserve">”) to purchase, sell, receive or deliver such Shares or other securities, or to make or receive such payment in cash, and otherwise to perform Dealer’s obligations in respect of the Transaction and any such designee may assume such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Dealer Designated Affiliate shall comply with the provisions of the Transaction in the same manner as Dealer would have been required to comply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for the avoidance of doubt, that Counterparty will not receive from the designee on any payment date or delivery date an amount or a number of Shares, as applicable, lower than the amount that Counterparty would have been entitled to receive from Dealer in the absence of such designation. For the avoidance of doubt, the representations and covenants with respect to Sections 9(z)(i) and 9(z)(ii) shall remain unaffected by such designation. Dealer shall be discharged of its obligations to Counterparty to the extent of any such performance.</w:t>
      </w:r>
    </w:p>
    <w:p>
      <w:pPr>
        <w:spacing w:after="0" w:line="149" w:lineRule="exact"/>
        <w:rPr>
          <w:rFonts w:ascii="Times New Roman" w:cs="Times New Roman" w:eastAsia="Times New Roman" w:hAnsi="Times New Roman"/>
          <w:sz w:val="18"/>
          <w:szCs w:val="18"/>
          <w:color w:val="auto"/>
        </w:rPr>
      </w:pPr>
    </w:p>
    <w:p>
      <w:pPr>
        <w:ind w:left="644" w:hanging="644"/>
        <w:spacing w:after="0" w:line="258" w:lineRule="auto"/>
        <w:tabs>
          <w:tab w:leader="none" w:pos="42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44"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03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shall occur on or prior to such Nominal Settlement Date) and the number of Shares that it will deliver on each Staggered Settlement Date;</w:t>
      </w:r>
    </w:p>
    <w:p>
      <w:pPr>
        <w:spacing w:after="0" w:line="135" w:lineRule="exact"/>
        <w:rPr>
          <w:sz w:val="20"/>
          <w:szCs w:val="20"/>
          <w:color w:val="auto"/>
        </w:rPr>
      </w:pPr>
    </w:p>
    <w:p>
      <w:pPr>
        <w:ind w:left="1304" w:hanging="656"/>
        <w:spacing w:after="0" w:line="282" w:lineRule="auto"/>
        <w:tabs>
          <w:tab w:leader="none" w:pos="113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21" w:lineRule="exact"/>
        <w:rPr>
          <w:rFonts w:ascii="Times New Roman" w:cs="Times New Roman" w:eastAsia="Times New Roman" w:hAnsi="Times New Roman"/>
          <w:sz w:val="18"/>
          <w:szCs w:val="18"/>
          <w:color w:val="auto"/>
        </w:rPr>
      </w:pPr>
    </w:p>
    <w:p>
      <w:pPr>
        <w:ind w:left="1304" w:hanging="656"/>
        <w:spacing w:after="0" w:line="261" w:lineRule="auto"/>
        <w:tabs>
          <w:tab w:leader="none" w:pos="1151"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37" w:lineRule="exact"/>
        <w:rPr>
          <w:rFonts w:ascii="Times New Roman" w:cs="Times New Roman" w:eastAsia="Times New Roman" w:hAnsi="Times New Roman"/>
          <w:sz w:val="18"/>
          <w:szCs w:val="18"/>
          <w:color w:val="auto"/>
        </w:rPr>
      </w:pPr>
    </w:p>
    <w:p>
      <w:pPr>
        <w:ind w:left="644" w:hanging="644"/>
        <w:spacing w:after="0" w:line="267" w:lineRule="auto"/>
        <w:tabs>
          <w:tab w:leader="none" w:pos="41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Dividends</w:t>
      </w:r>
      <w:r>
        <w:rPr>
          <w:rFonts w:ascii="Times New Roman" w:cs="Times New Roman" w:eastAsia="Times New Roman" w:hAnsi="Times New Roman"/>
          <w:sz w:val="18"/>
          <w:szCs w:val="18"/>
          <w:color w:val="auto"/>
        </w:rPr>
        <w:t>. If at any time during the period from and including the Effective Date, to but excluding the Expiration Date, (i) an ex-dividend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for a regular quarterly cash dividend occurs with respect to the Shares (an “</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and that dividend is less than the Regular Dividend on a per Share basis or (ii) if no Ex-Dividend Date for a regular quarterly cash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84"/>
          </w:cols>
          <w:pgMar w:left="976" w:top="1440" w:right="339" w:bottom="1440" w:gutter="0" w:footer="0" w:header="0"/>
        </w:sectPr>
      </w:pPr>
    </w:p>
    <w:bookmarkStart w:id="153" w:name="page154"/>
    <w:bookmarkEnd w:id="153"/>
    <w:p>
      <w:pPr>
        <w:spacing w:after="0" w:line="153"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occurs with respect to the Shares in any quarterly dividend period of Counterparty, then the Calculation Agent will adjust the Cap Price to preserve the fair value of the Options to Dealer after taking into account such dividend or lack thereof. “</w:t>
      </w:r>
      <w:r>
        <w:rPr>
          <w:rFonts w:ascii="Times New Roman" w:cs="Times New Roman" w:eastAsia="Times New Roman" w:hAnsi="Times New Roman"/>
          <w:sz w:val="18"/>
          <w:szCs w:val="18"/>
          <w:b w:val="1"/>
          <w:bCs w:val="1"/>
          <w:color w:val="auto"/>
        </w:rPr>
        <w:t>Regular Dividend</w:t>
      </w:r>
      <w:r>
        <w:rPr>
          <w:rFonts w:ascii="Times New Roman" w:cs="Times New Roman" w:eastAsia="Times New Roman" w:hAnsi="Times New Roman"/>
          <w:sz w:val="18"/>
          <w:szCs w:val="18"/>
          <w:color w:val="auto"/>
        </w:rPr>
        <w:t>” shall mean USD 0.08352 per Share per quarter. Upon any adjustment to the Dividend Threshold (as defined in the Indenture) for the Convertible Notes pursuant to the Indenture, the Calculation Agent will make a corresponding adjustment to the Regular Dividend for the Transaction.</w:t>
      </w:r>
    </w:p>
    <w:p>
      <w:pPr>
        <w:spacing w:after="0" w:line="154" w:lineRule="exact"/>
        <w:rPr>
          <w:sz w:val="20"/>
          <w:szCs w:val="20"/>
          <w:color w:val="auto"/>
        </w:rPr>
      </w:pPr>
    </w:p>
    <w:p>
      <w:pPr>
        <w:ind w:left="1300" w:hanging="644"/>
        <w:spacing w:after="0" w:line="285" w:lineRule="auto"/>
        <w:tabs>
          <w:tab w:leader="none" w:pos="110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party acknowledges and agrees to be bound by the Conduct Rules of the Financial Industry Regulatory Authority applicable to transactions in options, and further agrees not to violate the position and exercise limits set forth therein.][</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17</w:t>
      </w:r>
    </w:p>
    <w:p>
      <w:pPr>
        <w:spacing w:after="0" w:line="4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960" w:hanging="656"/>
        <w:spacing w:after="0" w:line="266" w:lineRule="auto"/>
        <w:tabs>
          <w:tab w:leader="none" w:pos="1804"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a Notice of Conversion (as such term is defined in the Indenture) that is effective as to Counterparty has been delivered by the relevant converting Holder (as such term is defined in the Indenture):</w:t>
      </w:r>
    </w:p>
    <w:p>
      <w:pPr>
        <w:spacing w:after="0" w:line="148" w:lineRule="exact"/>
        <w:rPr>
          <w:rFonts w:ascii="Times New Roman" w:cs="Times New Roman" w:eastAsia="Times New Roman" w:hAnsi="Times New Roman"/>
          <w:sz w:val="18"/>
          <w:szCs w:val="18"/>
          <w:color w:val="auto"/>
        </w:rPr>
      </w:pPr>
    </w:p>
    <w:p>
      <w:pPr>
        <w:ind w:left="2600" w:hanging="648"/>
        <w:spacing w:after="0" w:line="255" w:lineRule="auto"/>
        <w:tabs>
          <w:tab w:leader="none" w:pos="239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within 10 Scheduled Trading Days of the Conversion Date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 Notes</w:t>
      </w:r>
      <w:r>
        <w:rPr>
          <w:rFonts w:ascii="Times New Roman" w:cs="Times New Roman" w:eastAsia="Times New Roman" w:hAnsi="Times New Roman"/>
          <w:sz w:val="18"/>
          <w:szCs w:val="18"/>
          <w:color w:val="auto"/>
        </w:rPr>
        <w:t>”), and the giving of such Early Conversion Notice shall constitute an Additional Termination Event as provided in this clause (i) (and Counterparty acknowledges its responsibilities under applicable securities laws, and in particular Section 9 and Section 10(b) of the Exchange Act and the rules and regulations thereunder, in respect of delivering any such Early Conversion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“Early Conversion Notice” delivered to Dealer pursuant to the Base Call Option Transaction Confirmation shall be deemed to be an Early Conversion Notice pursuant to this Confirmation and the terms of such Early Conversion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3"/>
          <w:szCs w:val="23"/>
          <w:color w:val="auto"/>
          <w:vertAlign w:val="superscript"/>
        </w:rPr>
        <w:t>18</w:t>
      </w:r>
    </w:p>
    <w:p>
      <w:pPr>
        <w:spacing w:after="0" w:line="79" w:lineRule="exact"/>
        <w:rPr>
          <w:rFonts w:ascii="Times New Roman" w:cs="Times New Roman" w:eastAsia="Times New Roman" w:hAnsi="Times New Roman"/>
          <w:sz w:val="18"/>
          <w:szCs w:val="18"/>
          <w:color w:val="auto"/>
        </w:rPr>
      </w:pPr>
    </w:p>
    <w:p>
      <w:pPr>
        <w:ind w:left="2600" w:hanging="648"/>
        <w:spacing w:after="0" w:line="245" w:lineRule="auto"/>
        <w:tabs>
          <w:tab w:leader="none" w:pos="2508"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Conversion Notice, Dealer shall designate an Exchange Business Day as an Early Termination Date (which Exchange Business Day shall be no earlier than one Scheduled Valid Day following the Conversion Date for such Early Conversion)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 xml:space="preserve"> and (y) the Number of Options as of the Conversion Date for such Early Conversion;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settlement with respect to any such Early Termination Date shall occur on or as promptly as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 date of payment of the amount of cash (if any) and/or delivery of the number of Shares (if any) upon settlement of the conversion of the relevant Affected Convertible Notes;</w:t>
      </w:r>
    </w:p>
    <w:p>
      <w:pPr>
        <w:spacing w:after="0" w:line="159" w:lineRule="exact"/>
        <w:rPr>
          <w:rFonts w:ascii="Times New Roman" w:cs="Times New Roman" w:eastAsia="Times New Roman" w:hAnsi="Times New Roman"/>
          <w:sz w:val="18"/>
          <w:szCs w:val="18"/>
          <w:color w:val="auto"/>
        </w:rPr>
      </w:pPr>
    </w:p>
    <w:p>
      <w:pPr>
        <w:ind w:left="2420" w:hanging="468"/>
        <w:spacing w:after="0"/>
        <w:tabs>
          <w:tab w:leader="none" w:pos="242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w:t>
      </w:r>
    </w:p>
    <w:p>
      <w:pPr>
        <w:spacing w:after="0" w:line="27"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3"/>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Early Termination Date had been designated in respect of a Transaction having terms identical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6459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ind w:left="160" w:hanging="152"/>
        <w:spacing w:after="0"/>
        <w:tabs>
          <w:tab w:leader="none" w:pos="160" w:val="left"/>
        </w:tabs>
        <w:numPr>
          <w:ilvl w:val="0"/>
          <w:numId w:val="20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for applicable Dealers.</w:t>
      </w:r>
    </w:p>
    <w:p>
      <w:pPr>
        <w:spacing w:after="0" w:line="10" w:lineRule="exact"/>
        <w:rPr>
          <w:rFonts w:ascii="Times New Roman" w:cs="Times New Roman" w:eastAsia="Times New Roman" w:hAnsi="Times New Roman"/>
          <w:sz w:val="21"/>
          <w:szCs w:val="21"/>
          <w:color w:val="auto"/>
          <w:vertAlign w:val="superscript"/>
        </w:rPr>
      </w:pPr>
    </w:p>
    <w:p>
      <w:pPr>
        <w:ind w:left="160" w:hanging="152"/>
        <w:spacing w:after="0" w:line="187" w:lineRule="auto"/>
        <w:tabs>
          <w:tab w:leader="none" w:pos="160" w:val="left"/>
        </w:tabs>
        <w:numPr>
          <w:ilvl w:val="0"/>
          <w:numId w:val="20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in Additional Call Option Confirmation only.</w:t>
      </w:r>
    </w:p>
    <w:p>
      <w:pPr>
        <w:ind w:left="160" w:hanging="152"/>
        <w:spacing w:after="0" w:line="191" w:lineRule="auto"/>
        <w:tabs>
          <w:tab w:leader="none" w:pos="160" w:val="left"/>
        </w:tabs>
        <w:numPr>
          <w:ilvl w:val="0"/>
          <w:numId w:val="20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in Additional Call Option Confirmation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3" w:lineRule="exact"/>
        <w:rPr>
          <w:sz w:val="20"/>
          <w:szCs w:val="20"/>
          <w:color w:val="auto"/>
        </w:rPr>
      </w:pPr>
    </w:p>
    <w:p>
      <w:pPr>
        <w:jc w:val="both"/>
        <w:ind w:left="2600"/>
        <w:spacing w:after="0" w:line="248" w:lineRule="auto"/>
        <w:rPr>
          <w:sz w:val="20"/>
          <w:szCs w:val="20"/>
          <w:color w:val="auto"/>
        </w:rPr>
      </w:pPr>
      <w:r>
        <w:rPr>
          <w:rFonts w:ascii="Times New Roman" w:cs="Times New Roman" w:eastAsia="Times New Roman" w:hAnsi="Times New Roman"/>
          <w:sz w:val="18"/>
          <w:szCs w:val="18"/>
          <w:color w:val="auto"/>
        </w:rPr>
        <w:t xml:space="preserve">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payable with respect to such termination shall not be greater than the product of (1) the Applicable Percentage, (2) the Affected Number of Options, and (3) the excess of (x) the sum of (i) the amount of cash paid (if any) to the Holder (as such term is defined in the Indenture) per Affected Convertible Note upon conversion of such Affected Convertible Note (including any cash payable as the result of an adjustment to the “Conversion Rate” (as defined in the Indenture) pursuant to Section 5.07 of the Indenture) and (ii) the product of (I) the number of Shares delivered (if any) to the Holder (as such term is defined in the Indenture) per Affected Convertible Note upon conversion of such Affected Convertible Note (including any Shares deliverable as the result of an adjustment to the “Conversion Rate” (as defined in the Indenture) pursuant to Section 5.07 of the Indenture), and (II) the Applicable Limit Price on the settlement date for the conversion of such Affected Convertible Note (the “</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over (y) the Synthetic Instrument Adjusted Issue Price per Affected Convertible Note on the Conversion Settlement Date, as determined by the Calculation Agent in good faith and in a commercially reasonable manner by reference to the Synthetic Instrument AIP Table (as defined below). “</w:t>
      </w:r>
      <w:r>
        <w:rPr>
          <w:rFonts w:ascii="Times New Roman" w:cs="Times New Roman" w:eastAsia="Times New Roman" w:hAnsi="Times New Roman"/>
          <w:sz w:val="18"/>
          <w:szCs w:val="18"/>
          <w:b w:val="1"/>
          <w:bCs w:val="1"/>
          <w:color w:val="auto"/>
        </w:rPr>
        <w:t>Synthetic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 Adjusted Issue Price</w:t>
      </w:r>
      <w:r>
        <w:rPr>
          <w:rFonts w:ascii="Times New Roman" w:cs="Times New Roman" w:eastAsia="Times New Roman" w:hAnsi="Times New Roman"/>
          <w:sz w:val="18"/>
          <w:szCs w:val="18"/>
          <w:color w:val="auto"/>
        </w:rPr>
        <w:t>” shall mean the amount determined by the Calculation Agent by reference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 set forth below based on the relevant Conversion Settlement Date (the “</w:t>
      </w:r>
      <w:r>
        <w:rPr>
          <w:rFonts w:ascii="Times New Roman" w:cs="Times New Roman" w:eastAsia="Times New Roman" w:hAnsi="Times New Roman"/>
          <w:sz w:val="18"/>
          <w:szCs w:val="18"/>
          <w:b w:val="1"/>
          <w:bCs w:val="1"/>
          <w:color w:val="auto"/>
        </w:rPr>
        <w:t>Synthetic Instrument AIP 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If the relevant Conversion Settlement Date is not listed below, the amount in the preceding sentence shall be determined by the Calculation Agent by reference to the Synthetic Instrument AIP Table using a linear interpolation between the lower and higher Synthetic Instrument Adjusted Issue Prices for the dates immediately preceding and immediately following the relevant Conversion Settlement Date;</w:t>
      </w:r>
    </w:p>
    <w:p>
      <w:pPr>
        <w:spacing w:after="0" w:line="197" w:lineRule="exact"/>
        <w:rPr>
          <w:sz w:val="20"/>
          <w:szCs w:val="20"/>
          <w:color w:val="auto"/>
        </w:rPr>
      </w:pPr>
    </w:p>
    <w:tbl>
      <w:tblPr>
        <w:tblLayout w:type="fixed"/>
        <w:tblInd w:w="2610" w:type="dxa"/>
        <w:tblCellMar>
          <w:top w:w="0" w:type="dxa"/>
          <w:left w:w="0" w:type="dxa"/>
          <w:bottom w:w="0" w:type="dxa"/>
          <w:right w:w="0" w:type="dxa"/>
        </w:tblCellMar>
      </w:tblPr>
      <w:tr>
        <w:trPr>
          <w:trHeight w:val="189"/>
        </w:trPr>
        <w:tc>
          <w:tcPr>
            <w:tcW w:w="1920" w:type="dxa"/>
            <w:vAlign w:val="bottom"/>
            <w:tcBorders>
              <w:top w:val="single" w:sz="8" w:color="auto"/>
              <w:left w:val="single" w:sz="8" w:color="auto"/>
              <w:right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Conversion Settlement</w:t>
            </w:r>
          </w:p>
        </w:tc>
        <w:tc>
          <w:tcPr>
            <w:tcW w:w="2740" w:type="dxa"/>
            <w:vAlign w:val="bottom"/>
            <w:tcBorders>
              <w:top w:val="single" w:sz="8" w:color="auto"/>
              <w:right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Synthetic Instrument Adjusted</w:t>
            </w:r>
          </w:p>
        </w:tc>
      </w:tr>
      <w:tr>
        <w:trPr>
          <w:trHeight w:val="243"/>
        </w:trPr>
        <w:tc>
          <w:tcPr>
            <w:tcW w:w="1920" w:type="dxa"/>
            <w:vAlign w:val="bottom"/>
            <w:tcBorders>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Date/Repayment Date</w:t>
            </w:r>
          </w:p>
        </w:tc>
        <w:tc>
          <w:tcPr>
            <w:tcW w:w="27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Issue Price</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USD [_______]</w:t>
            </w:r>
          </w:p>
        </w:tc>
      </w:tr>
      <w:tr>
        <w:trPr>
          <w:trHeight w:val="223"/>
        </w:trPr>
        <w:tc>
          <w:tcPr>
            <w:tcW w:w="1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USD1,000.00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6459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20" w:firstLine="8"/>
        <w:spacing w:after="0"/>
        <w:tabs>
          <w:tab w:leader="none" w:pos="146" w:val="left"/>
        </w:tabs>
        <w:numPr>
          <w:ilvl w:val="0"/>
          <w:numId w:val="20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Table to be filled out by calculating the synthetic adjusted issue price of a Convertible Note after giving effect to the integration pursuant to Section 1.1275-6 of the United States Treasury Regulations of the Transaction (and other call option transactions with respect to such Convertible Note entered into by the Counterparty) and the Convertible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3" w:lineRule="exact"/>
        <w:rPr>
          <w:sz w:val="20"/>
          <w:szCs w:val="20"/>
          <w:color w:val="auto"/>
        </w:rPr>
      </w:pPr>
    </w:p>
    <w:p>
      <w:pPr>
        <w:ind w:left="2600" w:hanging="648"/>
        <w:spacing w:after="0" w:line="256" w:lineRule="auto"/>
        <w:tabs>
          <w:tab w:leader="none" w:pos="242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(as defined in the Indenture) have occurred pursuant to any Excluded Provision and (z) the corresponding Convertible Notes remain outstanding as if the circumstances related to such Early Conversion had not occurred; and</w:t>
      </w:r>
    </w:p>
    <w:p>
      <w:pPr>
        <w:spacing w:after="0" w:line="160" w:lineRule="exact"/>
        <w:rPr>
          <w:rFonts w:ascii="Times New Roman" w:cs="Times New Roman" w:eastAsia="Times New Roman" w:hAnsi="Times New Roman"/>
          <w:sz w:val="18"/>
          <w:szCs w:val="18"/>
          <w:color w:val="auto"/>
        </w:rPr>
      </w:pPr>
    </w:p>
    <w:p>
      <w:pPr>
        <w:ind w:left="2600" w:hanging="648"/>
        <w:spacing w:after="0" w:line="282" w:lineRule="auto"/>
        <w:tabs>
          <w:tab w:leader="none" w:pos="237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for such Early Conversion, the Number of Options shall be reduced by the Affected Number of Options.</w:t>
      </w:r>
    </w:p>
    <w:p>
      <w:pPr>
        <w:spacing w:after="0" w:line="121" w:lineRule="exact"/>
        <w:rPr>
          <w:rFonts w:ascii="Times New Roman" w:cs="Times New Roman" w:eastAsia="Times New Roman" w:hAnsi="Times New Roman"/>
          <w:sz w:val="18"/>
          <w:szCs w:val="18"/>
          <w:color w:val="auto"/>
        </w:rPr>
      </w:pPr>
    </w:p>
    <w:p>
      <w:pPr>
        <w:jc w:val="right"/>
        <w:ind w:left="1960" w:hanging="656"/>
        <w:spacing w:after="0" w:line="255" w:lineRule="auto"/>
        <w:tabs>
          <w:tab w:leader="none" w:pos="185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Scheduled Trading Days following any Repayment Event (as defined below), Counterparty (x) in the case of a Repayment Event resulting from the redemption of any Convertible Notes by Counterparty pursuant to Section 4.03 of the Indenture or from the repurchase of any Convertible Notes by Counterparty upon the occurrence of a “Fundamental Change” (as defined in the Indenture) pursuant to Section 4.02 of the Indenture, shall notify Dealer in writing of such Repayment Event and</w:t>
      </w:r>
    </w:p>
    <w:p>
      <w:pPr>
        <w:spacing w:after="0" w:line="2" w:lineRule="exact"/>
        <w:rPr>
          <w:rFonts w:ascii="Times New Roman" w:cs="Times New Roman" w:eastAsia="Times New Roman" w:hAnsi="Times New Roman"/>
          <w:sz w:val="18"/>
          <w:szCs w:val="18"/>
          <w:color w:val="auto"/>
        </w:rPr>
      </w:pPr>
    </w:p>
    <w:p>
      <w:pPr>
        <w:jc w:val="both"/>
        <w:ind w:left="196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in the case of a Repayment Event not described in clause (x) above, may notify Dealer of such Repayment Event, in each case, including the number of Convertible Notes subject to such Repayment Event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Repayment Notice described in clause (y) above shall be effective unless it contains the representation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set forth in Section 8(f) hereunder as of the date of such Repayment Notice[;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 Notwithstanding anything to the contrary in this Confirmation, the receipt by Dealer from Counterparty of any Repayment Notice shall constitute an Additional Termination Event as provided in this Section 9(i)(ii). Counterparty acknowledges its responsibilities under applicable securities laws, and in particular Section 9 and Section 10(b) of the Exchange Act and the rules and regulations thereunder, in respect of delivering any Repayment Notice. Upon receipt of any such Repayment Notice, Dealer shall promptly designate an Exchange Business Day following receipt of such Repayment Notice (which in no event shall be earlier than the related settlement date for the relevant Repayment Event)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Repayment Options</w:t>
      </w:r>
      <w:r>
        <w:rPr>
          <w:rFonts w:ascii="Times New Roman" w:cs="Times New Roman" w:eastAsia="Times New Roman" w:hAnsi="Times New Roman"/>
          <w:sz w:val="18"/>
          <w:szCs w:val="18"/>
          <w:color w:val="auto"/>
        </w:rPr>
        <w:t>”) equal to the lesser of (A) the number of such Convertible Notes specified in such Repayment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Repayment Options (as defined in the Base Call Option Confirmation), if any, that relate to such Convertible Notes (and for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8"/>
          <w:szCs w:val="18"/>
          <w:b w:val="1"/>
          <w:bCs w:val="1"/>
          <w:color w:val="auto"/>
        </w:rPr>
        <w:t>Repayment Unwind Payment</w:t>
      </w:r>
      <w:r>
        <w:rPr>
          <w:rFonts w:ascii="Times New Roman" w:cs="Times New Roman" w:eastAsia="Times New Roman" w:hAnsi="Times New Roman"/>
          <w:sz w:val="18"/>
          <w:szCs w:val="18"/>
          <w:color w:val="auto"/>
        </w:rPr>
        <w:t>”) shall be calculated pursuant to Section 6 of the Agreement as if (1) an Early Termination Date had been designated in respect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645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4" w:lineRule="exact"/>
        <w:rPr>
          <w:sz w:val="20"/>
          <w:szCs w:val="20"/>
          <w:color w:val="auto"/>
        </w:rPr>
      </w:pPr>
    </w:p>
    <w:p>
      <w:pPr>
        <w:ind w:left="140" w:hanging="132"/>
        <w:spacing w:after="0"/>
        <w:tabs>
          <w:tab w:leader="none" w:pos="140" w:val="left"/>
        </w:tabs>
        <w:numPr>
          <w:ilvl w:val="0"/>
          <w:numId w:val="20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 for additional capped call.</w:t>
      </w:r>
    </w:p>
    <w:p>
      <w:pPr>
        <w:ind w:left="140" w:hanging="132"/>
        <w:spacing w:after="0" w:line="211" w:lineRule="auto"/>
        <w:tabs>
          <w:tab w:leader="none" w:pos="140" w:val="left"/>
        </w:tabs>
        <w:numPr>
          <w:ilvl w:val="0"/>
          <w:numId w:val="20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 for additional capped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53" w:lineRule="exact"/>
        <w:rPr>
          <w:sz w:val="20"/>
          <w:szCs w:val="20"/>
          <w:color w:val="auto"/>
        </w:rPr>
      </w:pPr>
    </w:p>
    <w:p>
      <w:pPr>
        <w:jc w:val="both"/>
        <w:ind w:left="1304"/>
        <w:spacing w:after="0" w:line="251" w:lineRule="auto"/>
        <w:rPr>
          <w:sz w:val="20"/>
          <w:szCs w:val="20"/>
          <w:color w:val="auto"/>
        </w:rPr>
      </w:pPr>
      <w:r>
        <w:rPr>
          <w:rFonts w:ascii="Times New Roman" w:cs="Times New Roman" w:eastAsia="Times New Roman" w:hAnsi="Times New Roman"/>
          <w:sz w:val="18"/>
          <w:szCs w:val="18"/>
          <w:color w:val="auto"/>
        </w:rPr>
        <w:t xml:space="preserve">Transaction having terms identical to the Transaction and a Number of Options equal to the number of Repayment Options, (2) Counterparty were the sole Affected Party with respect to such Additional Termination Event, (3) the terminated portion of the Transaction were the sole Affected Transaction, (4) the relevant Repayment Event and any conversions, adjustments, agreements, payments, deliveries or acquisitions by or on behalf of Counterparty leading thereto had not occurred, (5) no adjustments to the “Conversion Rate” (as defined in the Indenture) have occurred pursuant to any Excluded Provision and (6) the corresponding Convertible Notes remain outstanding as if the circumstances related to such Repayment Event had not occurred;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event of a Repayment Event pursuant to Section 4.02 of the Indenture or Section 4.03 of the Indenture, the Repayment Unwind Payment shall not be greater than the product of (x) the number of Repayment Options, (y) the Applicable Percentage and (z) the excess of (I) the amount paid by the Counterparty per Convertible Note pursuant to Section 4.02 or 4.03 of the Indenture, as the case may be, over (II) the Synthetic Instrument Adjusted Issue Price determined by the Calculation Agent by reference to the Synthetic Instrument AIP Table set forth in Section 9(i)(i) as if the date of the Repayment Event (the “</w:t>
      </w:r>
      <w:r>
        <w:rPr>
          <w:rFonts w:ascii="Times New Roman" w:cs="Times New Roman" w:eastAsia="Times New Roman" w:hAnsi="Times New Roman"/>
          <w:sz w:val="18"/>
          <w:szCs w:val="18"/>
          <w:b w:val="1"/>
          <w:bCs w:val="1"/>
          <w:color w:val="auto"/>
        </w:rPr>
        <w:t>Repayment Date</w:t>
      </w:r>
      <w:r>
        <w:rPr>
          <w:rFonts w:ascii="Times New Roman" w:cs="Times New Roman" w:eastAsia="Times New Roman" w:hAnsi="Times New Roman"/>
          <w:sz w:val="18"/>
          <w:szCs w:val="18"/>
          <w:color w:val="auto"/>
        </w:rPr>
        <w:t>”) were the relevant Conversion Settlement Date. If the relevant Repayment Date is not listed in the Synthetic Instrument AIP Table, the amount in the preceding sentence shall be determined by the Calculation Agent by reference to the Synthetic Instrument AIP Table, using a linear interpolation between the lower and higher Synthetic Instrument Adjusted Issue Prices for the Repayment Dates immediately preceding and immediately following the relevant Repayment Date.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Convertible Notes are repurchased (whether pursuant to Section 4.02 of the Indenture or Section 4.03 of the Indenture or otherwise) by Counterparty or any of its subsidiaries (including in connection with, or as a result of, a Fundamental Change (as defined in the Indenture), a redemption, a tender offer, exchange offer or similar transaction or for any other reason), (ii) any Convertible Notes are delivered to Counterparty in exchange for delivery of any property or assets of Counterparty or any of its subsidiaries (howsoever described), (iii) any principal of any of the Convertible Notes is repaid in full prior to the final maturity date of the Convertible Notes (other than upon acceleration of the Convertible Notes pursuant to Section 7.02 of the Indenture), or (iv) any Convertible Notes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conversion of Convertible Notes (whether into cash, Shares, a combination of cash and Shares or any “Reference Property” (as defined in the Indenture)) pursuant to the terms of the Indenture shall not constitute a Repayment Event. Counterparty acknowledges and agrees that if an Additional Termination Event has occurred under this Section 9(i)(ii), then any related Convertible Notes subject to a Repayment Event will be deemed to be cancelled and disregarded and no longer outstanding for all purposes hereunder.</w:t>
      </w:r>
    </w:p>
    <w:p>
      <w:pPr>
        <w:spacing w:after="0" w:line="173" w:lineRule="exact"/>
        <w:rPr>
          <w:sz w:val="20"/>
          <w:szCs w:val="20"/>
          <w:color w:val="auto"/>
        </w:rPr>
      </w:pPr>
    </w:p>
    <w:p>
      <w:pPr>
        <w:ind w:left="344" w:hanging="344"/>
        <w:spacing w:after="0"/>
        <w:tabs>
          <w:tab w:leader="none" w:pos="34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 Agreement</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304" w:hanging="656"/>
        <w:spacing w:after="0" w:line="282" w:lineRule="auto"/>
        <w:tabs>
          <w:tab w:leader="none" w:pos="103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replaced in its entirety with the words “any other corporate event involving the Issuer that has a material effect on the theoretical value of the Shares or the Options.”</w:t>
      </w:r>
    </w:p>
    <w:p>
      <w:pPr>
        <w:spacing w:after="0" w:line="121" w:lineRule="exact"/>
        <w:rPr>
          <w:rFonts w:ascii="Times New Roman" w:cs="Times New Roman" w:eastAsia="Times New Roman" w:hAnsi="Times New Roman"/>
          <w:sz w:val="18"/>
          <w:szCs w:val="18"/>
          <w:color w:val="auto"/>
        </w:rPr>
      </w:pPr>
    </w:p>
    <w:p>
      <w:pPr>
        <w:ind w:left="1304" w:hanging="656"/>
        <w:spacing w:after="0" w:line="261" w:lineRule="auto"/>
        <w:tabs>
          <w:tab w:leader="none" w:pos="109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84"/>
          </w:cols>
          <w:pgMar w:left="976" w:top="1440" w:right="339" w:bottom="1440" w:gutter="0" w:footer="0" w:header="0"/>
        </w:sectPr>
      </w:pPr>
    </w:p>
    <w:bookmarkStart w:id="157" w:name="page158"/>
    <w:bookmarkEnd w:id="157"/>
    <w:p>
      <w:pPr>
        <w:spacing w:after="0" w:line="153" w:lineRule="exact"/>
        <w:rPr>
          <w:sz w:val="20"/>
          <w:szCs w:val="20"/>
          <w:color w:val="auto"/>
        </w:rPr>
      </w:pPr>
    </w:p>
    <w:p>
      <w:pPr>
        <w:ind w:left="1304" w:hanging="656"/>
        <w:spacing w:after="0" w:line="282" w:lineRule="auto"/>
        <w:tabs>
          <w:tab w:leader="none" w:pos="1143"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34" w:lineRule="exact"/>
        <w:rPr>
          <w:rFonts w:ascii="Times New Roman" w:cs="Times New Roman" w:eastAsia="Times New Roman" w:hAnsi="Times New Roman"/>
          <w:sz w:val="18"/>
          <w:szCs w:val="18"/>
          <w:color w:val="auto"/>
        </w:rPr>
      </w:pPr>
    </w:p>
    <w:p>
      <w:pPr>
        <w:ind w:left="1304" w:hanging="656"/>
        <w:spacing w:after="0" w:line="266" w:lineRule="auto"/>
        <w:tabs>
          <w:tab w:leader="none" w:pos="113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spacing w:after="0" w:line="133" w:lineRule="exact"/>
        <w:rPr>
          <w:rFonts w:ascii="Times New Roman" w:cs="Times New Roman" w:eastAsia="Times New Roman" w:hAnsi="Times New Roman"/>
          <w:sz w:val="18"/>
          <w:szCs w:val="18"/>
          <w:color w:val="auto"/>
        </w:rPr>
      </w:pPr>
    </w:p>
    <w:p>
      <w:pPr>
        <w:ind w:left="644" w:hanging="644"/>
        <w:spacing w:after="0" w:line="261" w:lineRule="auto"/>
        <w:tabs>
          <w:tab w:leader="none" w:pos="41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Setoff.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any provision of the Agreement and this Confirmation (including without limitation this Section 9(k))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the parties to the contrary, each party waives any and all rights it may have to set off obligations arising under the Agreement and the Transaction against other obligations between the parties, whether arising under any other agreement, applicable law or otherwise.</w:t>
      </w:r>
    </w:p>
    <w:p>
      <w:pPr>
        <w:spacing w:after="0" w:line="139" w:lineRule="exact"/>
        <w:rPr>
          <w:rFonts w:ascii="Times New Roman" w:cs="Times New Roman" w:eastAsia="Times New Roman" w:hAnsi="Times New Roman"/>
          <w:sz w:val="18"/>
          <w:szCs w:val="18"/>
          <w:color w:val="auto"/>
        </w:rPr>
      </w:pPr>
    </w:p>
    <w:p>
      <w:pPr>
        <w:ind w:left="644" w:hanging="644"/>
        <w:spacing w:after="0" w:line="252" w:lineRule="auto"/>
        <w:tabs>
          <w:tab w:leader="none" w:pos="3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12:00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(b) Counterparty remakes the representation set forth in Section 8(f) as of the date of such election and (c) Dealer agrees, in its commercially reasonable discretion, to such election, in which case the provisions of Section 12.7 or Section 12.9 of the Equity Definitions, or the provisions of Section 6(d)(ii) of the Agreement, as the case may be, shall apply.</w:t>
      </w:r>
    </w:p>
    <w:p>
      <w:pPr>
        <w:sectPr>
          <w:pgSz w:w="11900" w:h="16838" w:orient="portrait"/>
          <w:cols w:equalWidth="0" w:num="1">
            <w:col w:w="10584"/>
          </w:cols>
          <w:pgMar w:left="976" w:top="1440" w:right="339" w:bottom="1440" w:gutter="0" w:footer="0" w:header="0"/>
        </w:sectPr>
      </w:pPr>
    </w:p>
    <w:p>
      <w:pPr>
        <w:spacing w:after="0" w:line="17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Share Termination Alternative: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hanging="622"/>
        <w:spacing w:after="0" w:line="256"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147" w:lineRule="exact"/>
        <w:rPr>
          <w:sz w:val="20"/>
          <w:szCs w:val="20"/>
          <w:color w:val="auto"/>
        </w:rPr>
      </w:pPr>
    </w:p>
    <w:p>
      <w:pPr>
        <w:sectPr>
          <w:pgSz w:w="11900" w:h="16838" w:orient="portrait"/>
          <w:cols w:equalWidth="0" w:num="2">
            <w:col w:w="3164" w:space="720"/>
            <w:col w:w="6700"/>
          </w:cols>
          <w:pgMar w:left="976" w:top="1440" w:right="339" w:bottom="1440" w:gutter="0" w:footer="0" w:header="0"/>
          <w:type w:val="continuous"/>
        </w:sectPr>
      </w:pPr>
    </w:p>
    <w:p>
      <w:pPr>
        <w:jc w:val="both"/>
        <w:ind w:left="3604" w:hanging="3239"/>
        <w:spacing w:after="0" w:line="266" w:lineRule="auto"/>
        <w:tabs>
          <w:tab w:leader="none" w:pos="3584" w:val="left"/>
        </w:tabs>
        <w:rPr>
          <w:sz w:val="20"/>
          <w:szCs w:val="20"/>
          <w:color w:val="auto"/>
        </w:rPr>
      </w:pPr>
      <w:r>
        <w:rPr>
          <w:rFonts w:ascii="Times New Roman" w:cs="Times New Roman" w:eastAsia="Times New Roman" w:hAnsi="Times New Roman"/>
          <w:sz w:val="18"/>
          <w:szCs w:val="18"/>
          <w:color w:val="auto"/>
        </w:rPr>
        <w:t>Share Termination Delivery Property:</w:t>
        <w:tab/>
        <w:t>A number of Share Termination Delivery Units, as calculated by the Calculation Agent, equal to the Payment Obligation divided by the Share Termination Unit Price. The Calculation Agent shall adjust the Share Termination Delivery Property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84"/>
          </w:cols>
          <w:pgMar w:left="976" w:top="1440" w:right="339" w:bottom="1440" w:gutter="0" w:footer="0" w:header="0"/>
          <w:type w:val="continuous"/>
        </w:sectPr>
      </w:pPr>
    </w:p>
    <w:bookmarkStart w:id="158" w:name="page159"/>
    <w:bookmarkEnd w:id="158"/>
    <w:p>
      <w:pPr>
        <w:spacing w:after="0" w:line="153" w:lineRule="exact"/>
        <w:rPr>
          <w:sz w:val="20"/>
          <w:szCs w:val="20"/>
          <w:color w:val="auto"/>
        </w:rPr>
      </w:pPr>
    </w:p>
    <w:p>
      <w:pPr>
        <w:jc w:val="both"/>
        <w:ind w:left="3884" w:right="20"/>
        <w:spacing w:after="0" w:line="266" w:lineRule="auto"/>
        <w:rPr>
          <w:sz w:val="20"/>
          <w:szCs w:val="20"/>
          <w:color w:val="auto"/>
        </w:rPr>
      </w:pPr>
      <w:r>
        <w:rPr>
          <w:rFonts w:ascii="Times New Roman" w:cs="Times New Roman" w:eastAsia="Times New Roman" w:hAnsi="Times New Roman"/>
          <w:sz w:val="18"/>
          <w:szCs w:val="18"/>
          <w:color w:val="auto"/>
        </w:rPr>
        <w:t>replacing any fractional portion of a security therein with an amount of cash equal to the value of such fractional security based on the values used to calculate the Share Termination Unit Price.</w:t>
      </w:r>
    </w:p>
    <w:p>
      <w:pPr>
        <w:spacing w:after="0" w:line="149" w:lineRule="exact"/>
        <w:rPr>
          <w:sz w:val="20"/>
          <w:szCs w:val="20"/>
          <w:color w:val="auto"/>
        </w:rPr>
      </w:pPr>
    </w:p>
    <w:p>
      <w:pPr>
        <w:jc w:val="both"/>
        <w:ind w:left="3044" w:hanging="3239"/>
        <w:spacing w:after="0" w:line="256" w:lineRule="auto"/>
        <w:tabs>
          <w:tab w:leader="none" w:pos="3024" w:val="left"/>
        </w:tabs>
        <w:rPr>
          <w:sz w:val="20"/>
          <w:szCs w:val="20"/>
          <w:color w:val="auto"/>
        </w:rPr>
      </w:pPr>
      <w:r>
        <w:rPr>
          <w:rFonts w:ascii="Times New Roman" w:cs="Times New Roman" w:eastAsia="Times New Roman" w:hAnsi="Times New Roman"/>
          <w:sz w:val="18"/>
          <w:szCs w:val="18"/>
          <w:color w:val="auto"/>
        </w:rPr>
        <w:t>Share Termination Unit Price:</w:t>
        <w:tab/>
        <w:t>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spacing w:after="0" w:line="147" w:lineRule="exact"/>
        <w:rPr>
          <w:sz w:val="20"/>
          <w:szCs w:val="20"/>
          <w:color w:val="auto"/>
        </w:rPr>
      </w:pPr>
    </w:p>
    <w:p>
      <w:pPr>
        <w:jc w:val="both"/>
        <w:ind w:left="3324" w:hanging="3239"/>
        <w:spacing w:after="0" w:line="256" w:lineRule="auto"/>
        <w:tabs>
          <w:tab w:leader="none" w:pos="3304" w:val="left"/>
        </w:tabs>
        <w:rPr>
          <w:sz w:val="20"/>
          <w:szCs w:val="20"/>
          <w:color w:val="auto"/>
        </w:rPr>
      </w:pPr>
      <w:r>
        <w:rPr>
          <w:rFonts w:ascii="Times New Roman" w:cs="Times New Roman" w:eastAsia="Times New Roman" w:hAnsi="Times New Roman"/>
          <w:sz w:val="18"/>
          <w:szCs w:val="18"/>
          <w:color w:val="auto"/>
        </w:rPr>
        <w:t>Share Termination Delivery Unit:</w:t>
        <w:tab/>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363" w:lineRule="exact"/>
        <w:rPr>
          <w:sz w:val="20"/>
          <w:szCs w:val="20"/>
          <w:color w:val="auto"/>
        </w:rPr>
      </w:pPr>
    </w:p>
    <w:p>
      <w:pPr>
        <w:ind w:left="644"/>
        <w:spacing w:after="0"/>
        <w:tabs>
          <w:tab w:leader="none" w:pos="2164" w:val="left"/>
        </w:tabs>
        <w:rPr>
          <w:sz w:val="20"/>
          <w:szCs w:val="20"/>
          <w:color w:val="auto"/>
        </w:rPr>
      </w:pPr>
      <w:r>
        <w:rPr>
          <w:rFonts w:ascii="Times New Roman" w:cs="Times New Roman" w:eastAsia="Times New Roman" w:hAnsi="Times New Roman"/>
          <w:sz w:val="18"/>
          <w:szCs w:val="18"/>
          <w:color w:val="auto"/>
        </w:rPr>
        <w:t>Failure to Deliver:</w:t>
        <w:tab/>
        <w:t>Applicable</w:t>
      </w:r>
    </w:p>
    <w:p>
      <w:pPr>
        <w:spacing w:after="0" w:line="198" w:lineRule="exact"/>
        <w:rPr>
          <w:sz w:val="20"/>
          <w:szCs w:val="20"/>
          <w:color w:val="auto"/>
        </w:rPr>
      </w:pPr>
    </w:p>
    <w:p>
      <w:pPr>
        <w:jc w:val="both"/>
        <w:ind w:left="2984" w:hanging="3239"/>
        <w:spacing w:after="0" w:line="256" w:lineRule="auto"/>
        <w:tabs>
          <w:tab w:leader="none" w:pos="2964" w:val="left"/>
        </w:tabs>
        <w:rPr>
          <w:sz w:val="20"/>
          <w:szCs w:val="20"/>
          <w:color w:val="auto"/>
        </w:rPr>
      </w:pPr>
      <w:r>
        <w:rPr>
          <w:rFonts w:ascii="Times New Roman" w:cs="Times New Roman" w:eastAsia="Times New Roman" w:hAnsi="Times New Roman"/>
          <w:sz w:val="18"/>
          <w:szCs w:val="18"/>
          <w:color w:val="auto"/>
        </w:rPr>
        <w:t>Other applicable provisions:</w:t>
        <w:tab/>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361" w:lineRule="exact"/>
        <w:rPr>
          <w:sz w:val="20"/>
          <w:szCs w:val="20"/>
          <w:color w:val="auto"/>
        </w:rPr>
      </w:pPr>
    </w:p>
    <w:p>
      <w:pPr>
        <w:ind w:left="644" w:hanging="644"/>
        <w:spacing w:after="0" w:line="258" w:lineRule="auto"/>
        <w:tabs>
          <w:tab w:leader="none" w:pos="4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4"/>
          </w:cols>
          <w:pgMar w:left="976" w:top="1440" w:right="339" w:bottom="1440" w:gutter="0" w:footer="0" w:header="0"/>
        </w:sectPr>
      </w:pPr>
    </w:p>
    <w:bookmarkStart w:id="159" w:name="page160"/>
    <w:bookmarkEnd w:id="159"/>
    <w:p>
      <w:pPr>
        <w:spacing w:after="0" w:line="149" w:lineRule="exact"/>
        <w:rPr>
          <w:sz w:val="20"/>
          <w:szCs w:val="20"/>
          <w:color w:val="auto"/>
        </w:rPr>
      </w:pPr>
    </w:p>
    <w:p>
      <w:pPr>
        <w:ind w:left="644" w:hanging="644"/>
        <w:spacing w:after="0" w:line="253" w:lineRule="auto"/>
        <w:tabs>
          <w:tab w:leader="none" w:pos="39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the 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reasonably satisfactory to Dealer, substantially in the form of an underwriting agreement for a registered secondary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then-current market price on such Exchange Business Days, and in the amounts and at such time(s), requested by Dealer. For the avoidance of doubt, under no circumstances shall Counterparty be obligated to make the election described in clause (iii) of the preceding sentence.</w:t>
      </w:r>
    </w:p>
    <w:p>
      <w:pPr>
        <w:spacing w:after="0" w:line="158" w:lineRule="exact"/>
        <w:rPr>
          <w:rFonts w:ascii="Times New Roman" w:cs="Times New Roman" w:eastAsia="Times New Roman" w:hAnsi="Times New Roman"/>
          <w:sz w:val="18"/>
          <w:szCs w:val="18"/>
          <w:color w:val="auto"/>
        </w:rPr>
      </w:pPr>
    </w:p>
    <w:p>
      <w:pPr>
        <w:ind w:left="644" w:hanging="644"/>
        <w:spacing w:after="0" w:line="261" w:lineRule="auto"/>
        <w:tabs>
          <w:tab w:leader="none" w:pos="53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39" w:lineRule="exact"/>
        <w:rPr>
          <w:rFonts w:ascii="Times New Roman" w:cs="Times New Roman" w:eastAsia="Times New Roman" w:hAnsi="Times New Roman"/>
          <w:sz w:val="18"/>
          <w:szCs w:val="18"/>
          <w:color w:val="auto"/>
        </w:rPr>
      </w:pPr>
    </w:p>
    <w:p>
      <w:pPr>
        <w:ind w:left="644" w:hanging="644"/>
        <w:spacing w:after="0" w:line="253" w:lineRule="auto"/>
        <w:tabs>
          <w:tab w:leader="none" w:pos="4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other date of valuation, payment or delivery by Dealer, with respect to some or all of the Options hereunder, if Dealer reasonably determines, in its commercially reasonable judgment (in the case of clause (i) below) or based on the advice of counsel (in the case of clause (ii) below), that such action is reasonably necessary or appropriate (i) to preserve Dealer’s commercially reasonable hedging or hedge unwind activity hereunder in light of existing liquidity conditions or (ii) to enable Dealer to effect transactions with respect to Shares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such Valid Day or any other date of valuation, payment or delivery may be postponed or added more than 20 Valid Days after the original Valid Day or any other date of valuation, payment or delivery, as the case may be.</w:t>
      </w:r>
    </w:p>
    <w:p>
      <w:pPr>
        <w:spacing w:after="0" w:line="151" w:lineRule="exact"/>
        <w:rPr>
          <w:rFonts w:ascii="Times New Roman" w:cs="Times New Roman" w:eastAsia="Times New Roman" w:hAnsi="Times New Roman"/>
          <w:sz w:val="18"/>
          <w:szCs w:val="18"/>
          <w:color w:val="auto"/>
        </w:rPr>
      </w:pPr>
    </w:p>
    <w:p>
      <w:pPr>
        <w:ind w:left="644" w:hanging="644"/>
        <w:spacing w:after="0" w:line="258" w:lineRule="auto"/>
        <w:tabs>
          <w:tab w:leader="none" w:pos="4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common stockholders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84"/>
          </w:cols>
          <w:pgMar w:left="976" w:top="1440" w:right="339" w:bottom="1440" w:gutter="0" w:footer="0" w:header="0"/>
        </w:sectPr>
      </w:pPr>
    </w:p>
    <w:bookmarkStart w:id="160" w:name="page161"/>
    <w:bookmarkEnd w:id="160"/>
    <w:p>
      <w:pPr>
        <w:spacing w:after="0" w:line="151" w:lineRule="exact"/>
        <w:rPr>
          <w:sz w:val="20"/>
          <w:szCs w:val="20"/>
          <w:color w:val="auto"/>
        </w:rPr>
      </w:pPr>
    </w:p>
    <w:p>
      <w:pPr>
        <w:ind w:left="644" w:hanging="644"/>
        <w:spacing w:after="0" w:line="257" w:lineRule="auto"/>
        <w:tabs>
          <w:tab w:leader="none" w:pos="38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55"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186" w:lineRule="exact"/>
        <w:rPr>
          <w:rFonts w:ascii="Times New Roman" w:cs="Times New Roman" w:eastAsia="Times New Roman" w:hAnsi="Times New Roman"/>
          <w:sz w:val="18"/>
          <w:szCs w:val="18"/>
          <w:color w:val="auto"/>
        </w:rPr>
      </w:pPr>
    </w:p>
    <w:p>
      <w:pPr>
        <w:ind w:left="1304" w:hanging="656"/>
        <w:spacing w:after="0" w:line="258" w:lineRule="auto"/>
        <w:tabs>
          <w:tab w:leader="none" w:pos="104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as reasonably practicable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142" w:lineRule="exact"/>
        <w:rPr>
          <w:rFonts w:ascii="Times New Roman" w:cs="Times New Roman" w:eastAsia="Times New Roman" w:hAnsi="Times New Roman"/>
          <w:sz w:val="18"/>
          <w:szCs w:val="18"/>
          <w:color w:val="auto"/>
        </w:rPr>
      </w:pPr>
    </w:p>
    <w:p>
      <w:pPr>
        <w:ind w:left="1304" w:hanging="656"/>
        <w:spacing w:after="0" w:line="258" w:lineRule="auto"/>
        <w:tabs>
          <w:tab w:leader="none" w:pos="115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no event less than one Exchange Business Day) written notice of the section or sections of the Indenture and, if applicable, the formula therein, pursuant to which any adjustment will be made to the Convertible Notes in connection with any Potential Adjustment Event, Merger Event or Tender Offer and (B) promptly following any such adjustment, Counterparty shall give Dealer written notice of the details of such adjustment.</w:t>
      </w:r>
    </w:p>
    <w:p>
      <w:pPr>
        <w:spacing w:after="0" w:line="154" w:lineRule="exact"/>
        <w:rPr>
          <w:rFonts w:ascii="Times New Roman" w:cs="Times New Roman" w:eastAsia="Times New Roman" w:hAnsi="Times New Roman"/>
          <w:sz w:val="18"/>
          <w:szCs w:val="18"/>
          <w:color w:val="auto"/>
        </w:rPr>
      </w:pPr>
    </w:p>
    <w:p>
      <w:pPr>
        <w:ind w:left="644" w:hanging="644"/>
        <w:spacing w:after="0" w:line="256" w:lineRule="auto"/>
        <w:tabs>
          <w:tab w:leader="none" w:pos="35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42" w:lineRule="exact"/>
        <w:rPr>
          <w:rFonts w:ascii="Times New Roman" w:cs="Times New Roman" w:eastAsia="Times New Roman" w:hAnsi="Times New Roman"/>
          <w:sz w:val="18"/>
          <w:szCs w:val="18"/>
          <w:color w:val="auto"/>
        </w:rPr>
      </w:pPr>
    </w:p>
    <w:p>
      <w:pPr>
        <w:ind w:left="644" w:hanging="644"/>
        <w:spacing w:after="0" w:line="255" w:lineRule="auto"/>
        <w:tabs>
          <w:tab w:leader="none" w:pos="4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84"/>
          </w:cols>
          <w:pgMar w:left="976" w:top="1440" w:right="339" w:bottom="1440" w:gutter="0" w:footer="0" w:header="0"/>
        </w:sectPr>
      </w:pPr>
    </w:p>
    <w:bookmarkStart w:id="161" w:name="page162"/>
    <w:bookmarkEnd w:id="161"/>
    <w:p>
      <w:pPr>
        <w:spacing w:after="0" w:line="151" w:lineRule="exact"/>
        <w:rPr>
          <w:sz w:val="20"/>
          <w:szCs w:val="20"/>
          <w:color w:val="auto"/>
        </w:rPr>
      </w:pPr>
    </w:p>
    <w:p>
      <w:pPr>
        <w:ind w:left="1300" w:hanging="644"/>
        <w:spacing w:after="0" w:line="246" w:lineRule="auto"/>
        <w:tabs>
          <w:tab w:leader="none" w:pos="106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[“Firm Notes”]</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[“Option Notes”]</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is not consummated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Unwind</w:t>
      </w:r>
      <w:r>
        <w:rPr>
          <w:rFonts w:ascii="Times New Roman" w:cs="Times New Roman" w:eastAsia="Times New Roman" w:hAnsi="Times New Roman"/>
          <w:sz w:val="18"/>
          <w:szCs w:val="18"/>
          <w:color w:val="auto"/>
        </w:rPr>
        <w:t>”), on the Early Unwind Date and (i) the Transaction and all of the respective rights and obligations of Dealer and Counterparty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68" w:lineRule="exact"/>
        <w:rPr>
          <w:rFonts w:ascii="Times New Roman" w:cs="Times New Roman" w:eastAsia="Times New Roman" w:hAnsi="Times New Roman"/>
          <w:sz w:val="18"/>
          <w:szCs w:val="18"/>
          <w:color w:val="auto"/>
        </w:rPr>
      </w:pPr>
    </w:p>
    <w:p>
      <w:pPr>
        <w:ind w:left="1300" w:hanging="644"/>
        <w:spacing w:after="0" w:line="258" w:lineRule="auto"/>
        <w:tabs>
          <w:tab w:leader="none" w:pos="10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142" w:lineRule="exact"/>
        <w:rPr>
          <w:rFonts w:ascii="Times New Roman" w:cs="Times New Roman" w:eastAsia="Times New Roman" w:hAnsi="Times New Roman"/>
          <w:sz w:val="18"/>
          <w:szCs w:val="18"/>
          <w:color w:val="auto"/>
        </w:rPr>
      </w:pPr>
    </w:p>
    <w:p>
      <w:pPr>
        <w:ind w:left="1300" w:hanging="644"/>
        <w:spacing w:after="0" w:line="253" w:lineRule="auto"/>
        <w:tabs>
          <w:tab w:leader="none" w:pos="10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adjusting the Cap Price, the terms “Potential Adjustment Event,” “Merger Event,” and “Tender Offer” shall each have the meanings assigned to such term in the Equity Definitions (as amended by Section 9(j)(i) or, if applicable, by the definition of “Announcement Event”, and provided that for purposes of the foregoing (1) Section 12.1(d) of the Equity Definitions shall be amended by (x) replacing “10%” with “25%” in the third line thereof and (y) replacing the words “voting shares of the Issuer” in the fourth line thereof with the word “Shares” and (2) Section 12.1(e) of the Equity Definitions is hereby amended by replacing the words “voting shares” in the first line thereof with the word “Shares”),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as the Calculation Agent determines appropriate to account for the economic effect on the Transaction of such occurrence or declaration,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Solely for purposes of this Section 9(x) “Extraordinary Dividend” means any cash dividend on the Shares, other than a regular, quarterly cash dividend in an amount equal to the Regular Dividend.</w:t>
      </w:r>
    </w:p>
    <w:p>
      <w:pPr>
        <w:spacing w:after="0" w:line="14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Insert preferred form of U.S. QFC Stay Rule language for each Dealer, if applicable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line="284" w:lineRule="auto"/>
        <w:tabs>
          <w:tab w:leader="none" w:pos="172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Payee Tax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3(f) of the Agreement, the parties make the following representations,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w:t>
      </w:r>
    </w:p>
    <w:p>
      <w:pPr>
        <w:spacing w:after="0" w:line="133"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468"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corporation created or organized under the laws of Delaware. It is “exempt” within the meaning of Treasury Regulation section 1.6049-4(c)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6459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9" w:lineRule="exact"/>
        <w:rPr>
          <w:sz w:val="20"/>
          <w:szCs w:val="20"/>
          <w:color w:val="auto"/>
        </w:rPr>
      </w:pPr>
    </w:p>
    <w:p>
      <w:pPr>
        <w:ind w:left="160" w:hanging="152"/>
        <w:spacing w:after="0"/>
        <w:tabs>
          <w:tab w:leader="none" w:pos="160" w:val="left"/>
        </w:tabs>
        <w:numPr>
          <w:ilvl w:val="0"/>
          <w:numId w:val="2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for Base Call Option Confirmation.</w:t>
      </w:r>
    </w:p>
    <w:p>
      <w:pPr>
        <w:spacing w:after="0" w:line="10"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2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Insert for Additional Call Option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from information reporting on U.S. Internal Revenue Service Form 1099 and backup withholding.</w:t>
      </w:r>
    </w:p>
    <w:p>
      <w:pPr>
        <w:spacing w:after="0" w:line="225" w:lineRule="exact"/>
        <w:rPr>
          <w:sz w:val="20"/>
          <w:szCs w:val="20"/>
          <w:color w:val="auto"/>
        </w:rPr>
      </w:pPr>
    </w:p>
    <w:p>
      <w:pPr>
        <w:ind w:left="2600" w:hanging="648"/>
        <w:spacing w:after="0" w:line="275" w:lineRule="auto"/>
        <w:tabs>
          <w:tab w:leader="none" w:pos="2374"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is a corporation for U.S. federal income tax purposes created or organized in the United States or under the laws of the United States. It is “exempt” within the meaning of Treasury Regulation section 1.6049-4(c) from information reporting on U.S. Internal Revenue Service Form 1099 and backup withholding.]</w:t>
      </w:r>
      <w:r>
        <w:rPr>
          <w:rFonts w:ascii="Times New Roman" w:cs="Times New Roman" w:eastAsia="Times New Roman" w:hAnsi="Times New Roman"/>
          <w:sz w:val="23"/>
          <w:szCs w:val="23"/>
          <w:color w:val="auto"/>
          <w:vertAlign w:val="superscript"/>
        </w:rPr>
        <w:t>25</w:t>
      </w:r>
    </w:p>
    <w:p>
      <w:pPr>
        <w:spacing w:after="0" w:line="8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Forms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purpose of Section 4(a)(i) of the Agreement:</w:t>
      </w:r>
    </w:p>
    <w:p>
      <w:pPr>
        <w:spacing w:after="0" w:line="200" w:lineRule="exact"/>
        <w:rPr>
          <w:rFonts w:ascii="Times New Roman" w:cs="Times New Roman" w:eastAsia="Times New Roman" w:hAnsi="Times New Roman"/>
          <w:sz w:val="18"/>
          <w:szCs w:val="18"/>
          <w:color w:val="auto"/>
        </w:rPr>
      </w:pPr>
    </w:p>
    <w:p>
      <w:pPr>
        <w:ind w:left="2600" w:hanging="648"/>
        <w:spacing w:after="0" w:line="261" w:lineRule="auto"/>
        <w:tabs>
          <w:tab w:leader="none" w:pos="2495"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provide Dealer with a valid and duly executed U.S. Internal Revenue Service Form W-9, or any successor thereto, (i) on or before the date of execution of this Confirmation, (ii) promptly upon reasonable request by Dealer and (iii) promptly upon learning that any such tax form previously provided by Counterparty has become obsolete or incorrect.</w:t>
      </w:r>
    </w:p>
    <w:p>
      <w:pPr>
        <w:spacing w:after="0" w:line="179" w:lineRule="exact"/>
        <w:rPr>
          <w:rFonts w:ascii="Times New Roman" w:cs="Times New Roman" w:eastAsia="Times New Roman" w:hAnsi="Times New Roman"/>
          <w:sz w:val="18"/>
          <w:szCs w:val="18"/>
          <w:color w:val="auto"/>
        </w:rPr>
      </w:pPr>
    </w:p>
    <w:p>
      <w:pPr>
        <w:ind w:left="2600" w:hanging="648"/>
        <w:spacing w:after="0" w:line="263" w:lineRule="auto"/>
        <w:tabs>
          <w:tab w:leader="none" w:pos="2475"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shall provide Counterparty with a valid and duly executed U.S. Internal Revenue Service Form W-9, or any successor thereto, (i) on or before the date of execution of this Confirmation, (ii) promptly upon reasonable request by Counterparty and (iii) promptly upon learning that any such tax form previously provided by Dealer has become obsolete or incorrect.]</w:t>
      </w:r>
      <w:r>
        <w:rPr>
          <w:rFonts w:ascii="Times New Roman" w:cs="Times New Roman" w:eastAsia="Times New Roman" w:hAnsi="Times New Roman"/>
          <w:sz w:val="23"/>
          <w:szCs w:val="23"/>
          <w:color w:val="auto"/>
          <w:vertAlign w:val="superscript"/>
        </w:rPr>
        <w:t>26</w:t>
      </w:r>
    </w:p>
    <w:p>
      <w:pPr>
        <w:spacing w:after="0" w:line="107" w:lineRule="exact"/>
        <w:rPr>
          <w:rFonts w:ascii="Times New Roman" w:cs="Times New Roman" w:eastAsia="Times New Roman" w:hAnsi="Times New Roman"/>
          <w:sz w:val="18"/>
          <w:szCs w:val="18"/>
          <w:color w:val="auto"/>
        </w:rPr>
      </w:pPr>
    </w:p>
    <w:p>
      <w:pPr>
        <w:ind w:left="1960" w:hanging="656"/>
        <w:spacing w:after="0" w:line="256" w:lineRule="auto"/>
        <w:tabs>
          <w:tab w:leader="none" w:pos="1775"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Account Tax Compliance Ac</w:t>
      </w:r>
      <w:r>
        <w:rPr>
          <w:rFonts w:ascii="Times New Roman" w:cs="Times New Roman" w:eastAsia="Times New Roman" w:hAnsi="Times New Roman"/>
          <w:sz w:val="18"/>
          <w:szCs w:val="18"/>
          <w:color w:val="auto"/>
        </w:rPr>
        <w:t>t. “Indemnifiable Tax”, as defined in Section 14 of the Agreement, shall not include any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42"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0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871(m) Protocol</w:t>
      </w:r>
      <w:r>
        <w:rPr>
          <w:rFonts w:ascii="Times New Roman" w:cs="Times New Roman" w:eastAsia="Times New Roman" w:hAnsi="Times New Roman"/>
          <w:sz w:val="18"/>
          <w:szCs w:val="18"/>
          <w:color w:val="auto"/>
        </w:rPr>
        <w:t>. Dealer and Counterparty hereby agree that the Agreement shall be treated as a Covered Master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that term is defined in the 2015 Section 871(m) Protocol published by the International Swaps and Derivatives Association, Inc. on November 2, 2015, as may be amended or modified from time to time (the “</w:t>
      </w:r>
      <w:r>
        <w:rPr>
          <w:rFonts w:ascii="Times New Roman" w:cs="Times New Roman" w:eastAsia="Times New Roman" w:hAnsi="Times New Roman"/>
          <w:sz w:val="18"/>
          <w:szCs w:val="18"/>
          <w:b w:val="1"/>
          <w:bCs w:val="1"/>
          <w:color w:val="auto"/>
        </w:rPr>
        <w:t>2015 Section 871(m)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and the Agreement shall be deemed to have been amended in accordance with the modifications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Attachment to the 2015 Section 871(m) Protocol. If there is any inconsistency between this provision and a provision in any other agreement executed between the parties, this provision shall prevail unless such other agreement expressly overrides the provisions of the 2015 Section 871(m) Protocol.</w:t>
      </w:r>
    </w:p>
    <w:p>
      <w:pPr>
        <w:spacing w:after="0" w:line="142"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any relevant agency provisions, if applicable.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additional Dealer boilerplate, if applicable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16459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hanging="152"/>
        <w:spacing w:after="0"/>
        <w:tabs>
          <w:tab w:leader="none" w:pos="160" w:val="left"/>
        </w:tabs>
        <w:numPr>
          <w:ilvl w:val="0"/>
          <w:numId w:val="2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Update for specific Dealers.</w:t>
      </w:r>
    </w:p>
    <w:p>
      <w:pPr>
        <w:ind w:left="160" w:hanging="152"/>
        <w:spacing w:after="0" w:line="191" w:lineRule="auto"/>
        <w:tabs>
          <w:tab w:leader="none" w:pos="160" w:val="left"/>
        </w:tabs>
        <w:numPr>
          <w:ilvl w:val="0"/>
          <w:numId w:val="2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Update for specific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163" w:name="page164"/>
    <w:bookmarkEnd w:id="163"/>
    <w:p>
      <w:pPr>
        <w:ind w:left="3852" w:hanging="3212"/>
        <w:spacing w:after="0" w:line="383"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Confirmation and returning it to [Dealer].</w:t>
      </w:r>
      <w:r>
        <w:rPr>
          <w:rFonts w:ascii="Times New Roman" w:cs="Times New Roman" w:eastAsia="Times New Roman" w:hAnsi="Times New Roman"/>
          <w:sz w:val="23"/>
          <w:szCs w:val="23"/>
          <w:color w:val="auto"/>
          <w:vertAlign w:val="superscript"/>
        </w:rPr>
        <w:t>27</w:t>
      </w:r>
      <w:r>
        <w:rPr>
          <w:rFonts w:ascii="Times New Roman" w:cs="Times New Roman" w:eastAsia="Times New Roman" w:hAnsi="Times New Roman"/>
          <w:sz w:val="18"/>
          <w:szCs w:val="18"/>
          <w:color w:val="auto"/>
        </w:rPr>
        <w:t xml:space="preserve"> Very truly yours,</w:t>
      </w:r>
    </w:p>
    <w:p>
      <w:pPr>
        <w:spacing w:after="0" w:line="124"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17145</wp:posOffset>
            </wp:positionV>
            <wp:extent cx="28117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6459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7" w:lineRule="exact"/>
        <w:rPr>
          <w:sz w:val="20"/>
          <w:szCs w:val="20"/>
          <w:color w:val="auto"/>
        </w:rPr>
      </w:pPr>
    </w:p>
    <w:p>
      <w:pPr>
        <w:ind w:left="152" w:hanging="152"/>
        <w:spacing w:after="0"/>
        <w:tabs>
          <w:tab w:leader="none" w:pos="152" w:val="left"/>
        </w:tabs>
        <w:numPr>
          <w:ilvl w:val="0"/>
          <w:numId w:val="2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Dealer preferred signature page information,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ectPr>
          <w:pgSz w:w="11900" w:h="16838" w:orient="portrait"/>
          <w:cols w:equalWidth="0" w:num="1">
            <w:col w:w="10852"/>
          </w:cols>
          <w:pgMar w:left="328" w:top="1414" w:right="719" w:bottom="1440" w:gutter="0" w:footer="0" w:header="0"/>
        </w:sectPr>
      </w:pPr>
    </w:p>
    <w:bookmarkStart w:id="164" w:name="page165"/>
    <w:bookmarkEnd w:id="164"/>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200" w:lineRule="exact"/>
        <w:rPr>
          <w:sz w:val="20"/>
          <w:szCs w:val="20"/>
          <w:color w:val="auto"/>
        </w:rPr>
      </w:pP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28117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1)"/>
      <w:numFmt w:val="upperLetter"/>
      <w:start w:val="2"/>
    </w:lvl>
  </w:abstractNum>
  <w:abstractNum w:abstractNumId="2">
    <w:nsid w:val="53584BCB"/>
    <w:multiLevelType w:val="hybridMultilevel"/>
    <w:lvl w:ilvl="0">
      <w:lvlJc w:val="left"/>
      <w:lvlText w:val="(%1)"/>
      <w:numFmt w:val="upperLetter"/>
      <w:start w:val="1"/>
    </w:lvl>
  </w:abstractNum>
  <w:abstractNum w:abstractNumId="3">
    <w:nsid w:val="415E286C"/>
    <w:multiLevelType w:val="hybridMultilevel"/>
    <w:lvl w:ilvl="0">
      <w:lvlJc w:val="left"/>
      <w:lvlText w:val="(%1)"/>
      <w:numFmt w:val="upperLetter"/>
      <w:start w:val="4"/>
    </w:lvl>
  </w:abstractNum>
  <w:abstractNum w:abstractNumId="4">
    <w:nsid w:val="7C58FD05"/>
    <w:multiLevelType w:val="hybridMultilevel"/>
    <w:lvl w:ilvl="0">
      <w:lvlJc w:val="left"/>
      <w:lvlText w:val="(%1)"/>
      <w:numFmt w:val="upperLetter"/>
      <w:start w:val="2"/>
    </w:lvl>
  </w:abstractNum>
  <w:abstractNum w:abstractNumId="5">
    <w:nsid w:val="23D86AAC"/>
    <w:multiLevelType w:val="hybridMultilevel"/>
    <w:lvl w:ilvl="0">
      <w:lvlJc w:val="left"/>
      <w:lvlText w:val="(%1)"/>
      <w:numFmt w:val="upperLetter"/>
      <w:start w:val="1"/>
    </w:lvl>
  </w:abstractNum>
  <w:abstractNum w:abstractNumId="6">
    <w:nsid w:val="45E6D486"/>
    <w:multiLevelType w:val="hybridMultilevel"/>
    <w:lvl w:ilvl="0">
      <w:lvlJc w:val="left"/>
      <w:lvlText w:val="%1"/>
      <w:numFmt w:val="upperLetter"/>
      <w:start w:val="1"/>
    </w:lvl>
    <w:lvl w:ilvl="1">
      <w:lvlJc w:val="left"/>
      <w:lvlText w:val="(%2)"/>
      <w:numFmt w:val="upperLetter"/>
      <w:start w:val="1"/>
    </w:lvl>
  </w:abstractNum>
  <w:abstractNum w:abstractNumId="7">
    <w:nsid w:val="5C10FE21"/>
    <w:multiLevelType w:val="hybridMultilevel"/>
    <w:lvl w:ilvl="0">
      <w:lvlJc w:val="left"/>
      <w:lvlText w:val="(%1)"/>
      <w:numFmt w:val="upperLetter"/>
      <w:start w:val="3"/>
    </w:lvl>
    <w:lvl w:ilvl="1">
      <w:lvlJc w:val="left"/>
      <w:lvlText w:val="%2"/>
      <w:numFmt w:val="upperLetter"/>
      <w:start w:val="1"/>
    </w:lvl>
  </w:abstractNum>
  <w:abstractNum w:abstractNumId="8">
    <w:nsid w:val="E7FFA2B"/>
    <w:multiLevelType w:val="hybridMultilevel"/>
    <w:lvl w:ilvl="0">
      <w:lvlJc w:val="left"/>
      <w:lvlText w:val="(%1)"/>
      <w:numFmt w:val="upperLetter"/>
      <w:start w:val="1"/>
    </w:lvl>
  </w:abstractNum>
  <w:abstractNum w:abstractNumId="9">
    <w:nsid w:val="3C5991AA"/>
    <w:multiLevelType w:val="hybridMultilevel"/>
    <w:lvl w:ilvl="0">
      <w:lvlJc w:val="left"/>
      <w:lvlText w:val="(%1)"/>
      <w:numFmt w:val="upperLetter"/>
      <w:start w:val="1"/>
    </w:lvl>
    <w:lvl w:ilvl="1">
      <w:lvlJc w:val="left"/>
      <w:lvlText w:val="(%2)"/>
      <w:numFmt w:val="lowerRoman"/>
      <w:start w:val="1"/>
    </w:lvl>
  </w:abstractNum>
  <w:abstractNum w:abstractNumId="10">
    <w:nsid w:val="4BD8591A"/>
    <w:multiLevelType w:val="hybridMultilevel"/>
    <w:lvl w:ilvl="0">
      <w:lvlJc w:val="left"/>
      <w:lvlText w:val="(%1)"/>
      <w:numFmt w:val="upperLetter"/>
      <w:start w:val="1"/>
    </w:lvl>
  </w:abstractNum>
  <w:abstractNum w:abstractNumId="11">
    <w:nsid w:val="78DF6A55"/>
    <w:multiLevelType w:val="hybridMultilevel"/>
    <w:lvl w:ilvl="0">
      <w:lvlJc w:val="left"/>
      <w:lvlText w:val="(%1)"/>
      <w:numFmt w:val="upperLetter"/>
      <w:start w:val="1"/>
    </w:lvl>
  </w:abstractNum>
  <w:abstractNum w:abstractNumId="12">
    <w:nsid w:val="39B7AAA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3">
    <w:nsid w:val="2B0D8DBE"/>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4">
    <w:nsid w:val="6C80EC70"/>
    <w:multiLevelType w:val="hybridMultilevel"/>
    <w:lvl w:ilvl="0">
      <w:lvlJc w:val="left"/>
      <w:lvlText w:val="(%1)"/>
      <w:numFmt w:val="lowerRoman"/>
      <w:start w:val="2"/>
    </w:lvl>
  </w:abstractNum>
  <w:abstractNum w:abstractNumId="15">
    <w:nsid w:val="379E21B5"/>
    <w:multiLevelType w:val="hybridMultilevel"/>
    <w:lvl w:ilvl="0">
      <w:lvlJc w:val="left"/>
      <w:lvlText w:val="(%1)"/>
      <w:numFmt w:val="upperLetter"/>
      <w:start w:val="3"/>
    </w:lvl>
  </w:abstractNum>
  <w:abstractNum w:abstractNumId="16">
    <w:nsid w:val="69E373"/>
    <w:multiLevelType w:val="hybridMultilevel"/>
    <w:lvl w:ilvl="0">
      <w:lvlJc w:val="left"/>
      <w:lvlText w:val="(%1)"/>
      <w:numFmt w:val="upperLetter"/>
      <w:start w:val="1"/>
    </w:lvl>
  </w:abstractNum>
  <w:abstractNum w:abstractNumId="17">
    <w:nsid w:val="2C27173B"/>
    <w:multiLevelType w:val="hybridMultilevel"/>
    <w:lvl w:ilvl="0">
      <w:lvlJc w:val="left"/>
      <w:lvlText w:val="(%1)"/>
      <w:numFmt w:val="upperLetter"/>
      <w:start w:val="2"/>
    </w:lvl>
  </w:abstractNum>
  <w:abstractNum w:abstractNumId="18">
    <w:nsid w:val="4C9B0904"/>
    <w:multiLevelType w:val="hybridMultilevel"/>
    <w:lvl w:ilvl="0">
      <w:lvlJc w:val="left"/>
      <w:lvlText w:val="(%1)"/>
      <w:numFmt w:val="upperLetter"/>
      <w:start w:val="1"/>
    </w:lvl>
    <w:lvl w:ilvl="1">
      <w:lvlJc w:val="left"/>
      <w:lvlText w:val="(%2)"/>
      <w:numFmt w:val="lowerRoman"/>
      <w:start w:val="1"/>
    </w:lvl>
  </w:abstractNum>
  <w:abstractNum w:abstractNumId="19">
    <w:nsid w:val="6AA7B75C"/>
    <w:multiLevelType w:val="hybridMultilevel"/>
    <w:lvl w:ilvl="0">
      <w:lvlJc w:val="left"/>
      <w:lvlText w:val="(%1)"/>
      <w:numFmt w:val="lowerRoman"/>
      <w:start w:val="2"/>
    </w:lvl>
  </w:abstractNum>
  <w:abstractNum w:abstractNumId="20">
    <w:nsid w:val="1DF029D3"/>
    <w:multiLevelType w:val="hybridMultilevel"/>
    <w:lvl w:ilvl="0">
      <w:lvlJc w:val="left"/>
      <w:lvlText w:val="(%1)"/>
      <w:numFmt w:val="upperLetter"/>
      <w:start w:val="1"/>
    </w:lvl>
    <w:lvl w:ilvl="1">
      <w:lvlJc w:val="left"/>
      <w:lvlText w:val="(%2)"/>
      <w:numFmt w:val="lowerRoman"/>
      <w:start w:val="1"/>
    </w:lvl>
  </w:abstractNum>
  <w:abstractNum w:abstractNumId="21">
    <w:nsid w:val="5675FF36"/>
    <w:multiLevelType w:val="hybridMultilevel"/>
    <w:lvl w:ilvl="0">
      <w:lvlJc w:val="left"/>
      <w:lvlText w:val="%1"/>
      <w:numFmt w:val="upperLetter"/>
      <w:start w:val="1"/>
    </w:lvl>
    <w:lvl w:ilvl="1">
      <w:lvlJc w:val="left"/>
      <w:lvlText w:val="(%2)"/>
      <w:numFmt w:val="lowerRoman"/>
      <w:start w:val="6"/>
    </w:lvl>
    <w:lvl w:ilvl="2">
      <w:lvlJc w:val="left"/>
      <w:lvlText w:val="%3"/>
      <w:numFmt w:val="decimal"/>
      <w:start w:val="1"/>
    </w:lvl>
  </w:abstractNum>
  <w:abstractNum w:abstractNumId="22">
    <w:nsid w:val="3DD15094"/>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23">
    <w:nsid w:val="3DB012B3"/>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24">
    <w:nsid w:val="2708C9AF"/>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25">
    <w:nsid w:val="5B25ACE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175DFCF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7">
    <w:nsid w:val="4F97E3E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28">
    <w:nsid w:val="53B0A9E"/>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lvl w:ilvl="3">
      <w:lvlJc w:val="left"/>
      <w:lvlText w:val="%4"/>
      <w:numFmt w:val="lowerLetter"/>
      <w:start w:val="1"/>
    </w:lvl>
  </w:abstractNum>
  <w:abstractNum w:abstractNumId="29">
    <w:nsid w:val="34FD6B4F"/>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30">
    <w:nsid w:val="5915FF32"/>
    <w:multiLevelType w:val="hybridMultilevel"/>
    <w:lvl w:ilvl="0">
      <w:lvlJc w:val="left"/>
      <w:lvlText w:val="(%1)"/>
      <w:numFmt w:val="upperLetter"/>
      <w:start w:val="5"/>
    </w:lvl>
  </w:abstractNum>
  <w:abstractNum w:abstractNumId="31">
    <w:nsid w:val="56438D15"/>
    <w:multiLevelType w:val="hybridMultilevel"/>
    <w:lvl w:ilvl="0">
      <w:lvlJc w:val="left"/>
      <w:lvlText w:val="(%1)"/>
      <w:numFmt w:val="upperLetter"/>
      <w:start w:val="1"/>
    </w:lvl>
    <w:lvl w:ilvl="1">
      <w:lvlJc w:val="left"/>
      <w:lvlText w:val="(%2)"/>
      <w:numFmt w:val="lowerRoman"/>
      <w:start w:val="1"/>
    </w:lvl>
  </w:abstractNum>
  <w:abstractNum w:abstractNumId="32">
    <w:nsid w:val="519E3149"/>
    <w:multiLevelType w:val="hybridMultilevel"/>
    <w:lvl w:ilvl="0">
      <w:lvlJc w:val="left"/>
      <w:lvlText w:val="(%1)"/>
      <w:numFmt w:val="lowerRoman"/>
      <w:start w:val="2"/>
    </w:lvl>
  </w:abstractNum>
  <w:abstractNum w:abstractNumId="33">
    <w:nsid w:val="2C6E4AFD"/>
    <w:multiLevelType w:val="hybridMultilevel"/>
    <w:lvl w:ilvl="0">
      <w:lvlJc w:val="left"/>
      <w:lvlText w:val="%1"/>
      <w:numFmt w:val="lowerRoman"/>
      <w:start w:val="1"/>
    </w:lvl>
    <w:lvl w:ilvl="1">
      <w:lvlJc w:val="left"/>
      <w:lvlText w:val="(%2)"/>
      <w:numFmt w:val="upperLetter"/>
      <w:start w:val="1"/>
    </w:lvl>
  </w:abstractNum>
  <w:abstractNum w:abstractNumId="34">
    <w:nsid w:val="17A1B582"/>
    <w:multiLevelType w:val="hybridMultilevel"/>
    <w:lvl w:ilvl="0">
      <w:lvlJc w:val="left"/>
      <w:lvlText w:val="(%1)"/>
      <w:numFmt w:val="lowerRoman"/>
      <w:start w:val="3"/>
    </w:lvl>
    <w:lvl w:ilvl="1">
      <w:lvlJc w:val="left"/>
      <w:lvlText w:val="(%2)"/>
      <w:numFmt w:val="upperLetter"/>
      <w:start w:val="2"/>
    </w:lvl>
  </w:abstractNum>
  <w:abstractNum w:abstractNumId="35">
    <w:nsid w:val="4DF72E4E"/>
    <w:multiLevelType w:val="hybridMultilevel"/>
    <w:lvl w:ilvl="0">
      <w:lvlJc w:val="left"/>
      <w:lvlText w:val="(%1)"/>
      <w:numFmt w:val="lowerRoman"/>
      <w:start w:val="1"/>
    </w:lvl>
    <w:lvl w:ilvl="1">
      <w:lvlJc w:val="left"/>
      <w:lvlText w:val="(%2)"/>
      <w:numFmt w:val="upperLetter"/>
      <w:start w:val="4"/>
    </w:lvl>
  </w:abstractNum>
  <w:abstractNum w:abstractNumId="36">
    <w:nsid w:val="5046B5A9"/>
    <w:multiLevelType w:val="hybridMultilevel"/>
    <w:lvl w:ilvl="0">
      <w:lvlJc w:val="left"/>
      <w:lvlText w:val="(%1)"/>
      <w:numFmt w:val="upperLetter"/>
      <w:start w:val="1"/>
    </w:lvl>
  </w:abstractNum>
  <w:abstractNum w:abstractNumId="37">
    <w:nsid w:val="5D888A08"/>
    <w:multiLevelType w:val="hybridMultilevel"/>
    <w:lvl w:ilvl="0">
      <w:lvlJc w:val="left"/>
      <w:lvlText w:val="(%1)"/>
      <w:numFmt w:val="upperLetter"/>
      <w:start w:val="1"/>
    </w:lvl>
  </w:abstractNum>
  <w:abstractNum w:abstractNumId="38">
    <w:nsid w:val="2A082C70"/>
    <w:multiLevelType w:val="hybridMultilevel"/>
    <w:lvl w:ilvl="0">
      <w:lvlJc w:val="left"/>
      <w:lvlText w:val="(%1)"/>
      <w:numFmt w:val="upperLetter"/>
      <w:start w:val="2"/>
    </w:lvl>
  </w:abstractNum>
  <w:abstractNum w:abstractNumId="39">
    <w:nsid w:val="5EC6AFD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40">
    <w:nsid w:val="19E21BB2"/>
    <w:multiLevelType w:val="hybridMultilevel"/>
    <w:lvl w:ilvl="0">
      <w:lvlJc w:val="left"/>
      <w:lvlText w:val="%1"/>
      <w:numFmt w:val="upperLetter"/>
      <w:start w:val="1"/>
    </w:lvl>
    <w:lvl w:ilvl="1">
      <w:lvlJc w:val="left"/>
      <w:lvlText w:val="(%2)"/>
      <w:numFmt w:val="lowerRoman"/>
      <w:start w:val="2"/>
    </w:lvl>
  </w:abstractNum>
  <w:abstractNum w:abstractNumId="41">
    <w:nsid w:val="75E0858A"/>
    <w:multiLevelType w:val="hybridMultilevel"/>
    <w:lvl w:ilvl="0">
      <w:lvlJc w:val="left"/>
      <w:lvlText w:val="(%1)"/>
      <w:numFmt w:val="upperLetter"/>
      <w:start w:val="2"/>
    </w:lvl>
    <w:lvl w:ilvl="1">
      <w:lvlJc w:val="left"/>
      <w:lvlText w:val="(%2)"/>
      <w:numFmt w:val="lowerRoman"/>
      <w:start w:val="1"/>
    </w:lvl>
  </w:abstractNum>
  <w:abstractNum w:abstractNumId="42">
    <w:nsid w:val="57A61A29"/>
    <w:multiLevelType w:val="hybridMultilevel"/>
    <w:lvl w:ilvl="0">
      <w:lvlJc w:val="left"/>
      <w:lvlText w:val="%1"/>
      <w:numFmt w:val="upperLetter"/>
      <w:start w:val="1"/>
    </w:lvl>
    <w:lvl w:ilvl="1">
      <w:lvlJc w:val="left"/>
      <w:lvlText w:val="(%2)"/>
      <w:numFmt w:val="lowerRoman"/>
      <w:start w:val="3"/>
    </w:lvl>
  </w:abstractNum>
  <w:abstractNum w:abstractNumId="43">
    <w:nsid w:val="5399C654"/>
    <w:multiLevelType w:val="hybridMultilevel"/>
    <w:lvl w:ilvl="0">
      <w:lvlJc w:val="left"/>
      <w:lvlText w:val="(%1)"/>
      <w:numFmt w:val="upperLetter"/>
      <w:start w:val="4"/>
    </w:lvl>
    <w:lvl w:ilvl="1">
      <w:lvlJc w:val="left"/>
      <w:lvlText w:val="%2"/>
      <w:numFmt w:val="lowerRoman"/>
      <w:start w:val="1"/>
    </w:lvl>
  </w:abstractNum>
  <w:abstractNum w:abstractNumId="44">
    <w:nsid w:val="20EE1348"/>
    <w:multiLevelType w:val="hybridMultilevel"/>
    <w:lvl w:ilvl="0">
      <w:lvlJc w:val="left"/>
      <w:lvlText w:val="(%1)"/>
      <w:numFmt w:val="upperLetter"/>
      <w:start w:val="1"/>
    </w:lvl>
  </w:abstractNum>
  <w:abstractNum w:abstractNumId="45">
    <w:nsid w:val="4427069A"/>
    <w:multiLevelType w:val="hybridMultilevel"/>
    <w:lvl w:ilvl="0">
      <w:lvlJc w:val="left"/>
      <w:lvlText w:val="(%1)"/>
      <w:numFmt w:val="upperLetter"/>
      <w:start w:val="2"/>
    </w:lvl>
  </w:abstractNum>
  <w:abstractNum w:abstractNumId="46">
    <w:nsid w:val="B37E80A"/>
    <w:multiLevelType w:val="hybridMultilevel"/>
    <w:lvl w:ilvl="0">
      <w:lvlJc w:val="left"/>
      <w:lvlText w:val="(%1)"/>
      <w:numFmt w:val="upperLetter"/>
      <w:start w:val="1"/>
    </w:lvl>
  </w:abstractNum>
  <w:abstractNum w:abstractNumId="47">
    <w:nsid w:val="2157F6BC"/>
    <w:multiLevelType w:val="hybridMultilevel"/>
    <w:lvl w:ilvl="0">
      <w:lvlJc w:val="left"/>
      <w:lvlText w:val="(%1)"/>
      <w:numFmt w:val="upperLetter"/>
      <w:start w:val="2"/>
    </w:lvl>
  </w:abstractNum>
  <w:abstractNum w:abstractNumId="48">
    <w:nsid w:val="704E1DD5"/>
    <w:multiLevelType w:val="hybridMultilevel"/>
    <w:lvl w:ilvl="0">
      <w:lvlJc w:val="left"/>
      <w:lvlText w:val="(%1)"/>
      <w:numFmt w:val="lowerRoman"/>
      <w:start w:val="1"/>
    </w:lvl>
  </w:abstractNum>
  <w:abstractNum w:abstractNumId="49">
    <w:nsid w:val="57D2F10E"/>
    <w:multiLevelType w:val="hybridMultilevel"/>
    <w:lvl w:ilvl="0">
      <w:lvlJc w:val="left"/>
      <w:lvlText w:val="(%1)"/>
      <w:numFmt w:val="upperLetter"/>
      <w:start w:val="6"/>
    </w:lvl>
  </w:abstractNum>
  <w:abstractNum w:abstractNumId="50">
    <w:nsid w:val="BFFAE18"/>
    <w:multiLevelType w:val="hybridMultilevel"/>
    <w:lvl w:ilvl="0">
      <w:lvlJc w:val="left"/>
      <w:lvlText w:val="(%1)"/>
      <w:numFmt w:val="lowerRoman"/>
      <w:start w:val="1"/>
    </w:lvl>
    <w:lvl w:ilvl="1">
      <w:lvlJc w:val="left"/>
      <w:lvlText w:val="(%2)"/>
      <w:numFmt w:val="decimal"/>
      <w:start w:val="1"/>
    </w:lvl>
  </w:abstractNum>
  <w:abstractNum w:abstractNumId="51">
    <w:nsid w:val="E3E47A8"/>
    <w:multiLevelType w:val="hybridMultilevel"/>
    <w:lvl w:ilvl="0">
      <w:lvlJc w:val="left"/>
      <w:lvlText w:val="(%1)"/>
      <w:numFmt w:val="lowerRoman"/>
      <w:start w:val="2"/>
    </w:lvl>
    <w:lvl w:ilvl="1">
      <w:lvlJc w:val="left"/>
      <w:lvlText w:val="(%2)"/>
      <w:numFmt w:val="decimal"/>
      <w:start w:val="1"/>
    </w:lvl>
  </w:abstractNum>
  <w:abstractNum w:abstractNumId="52">
    <w:nsid w:val="2E48F044"/>
    <w:multiLevelType w:val="hybridMultilevel"/>
    <w:lvl w:ilvl="0">
      <w:lvlJc w:val="left"/>
      <w:lvlText w:val="(%1)"/>
      <w:numFmt w:val="lowerRoman"/>
      <w:start w:val="3"/>
    </w:lvl>
    <w:lvl w:ilvl="1">
      <w:lvlJc w:val="left"/>
      <w:lvlText w:val="(%2)"/>
      <w:numFmt w:val="decimal"/>
      <w:start w:val="1"/>
    </w:lvl>
  </w:abstractNum>
  <w:abstractNum w:abstractNumId="53">
    <w:nsid w:val="49D0FEAC"/>
    <w:multiLevelType w:val="hybridMultilevel"/>
    <w:lvl w:ilvl="0">
      <w:lvlJc w:val="left"/>
      <w:lvlText w:val="(%1)"/>
      <w:numFmt w:val="decimal"/>
      <w:start w:val="3"/>
    </w:lvl>
  </w:abstractNum>
  <w:abstractNum w:abstractNumId="54">
    <w:nsid w:val="4BEE5A5B"/>
    <w:multiLevelType w:val="hybridMultilevel"/>
    <w:lvl w:ilvl="0">
      <w:lvlJc w:val="left"/>
      <w:lvlText w:val="%1"/>
      <w:numFmt w:val="lowerRoman"/>
      <w:start w:val="1"/>
    </w:lvl>
    <w:lvl w:ilvl="1">
      <w:lvlJc w:val="left"/>
      <w:lvlText w:val="(%2)"/>
      <w:numFmt w:val="upperLetter"/>
      <w:start w:val="7"/>
    </w:lvl>
  </w:abstractNum>
  <w:abstractNum w:abstractNumId="55">
    <w:nsid w:val="5551B9F3"/>
    <w:multiLevelType w:val="hybridMultilevel"/>
    <w:lvl w:ilvl="0">
      <w:lvlJc w:val="left"/>
      <w:lvlText w:val="(%1)"/>
      <w:numFmt w:val="lowerRoman"/>
      <w:start w:val="10"/>
    </w:lvl>
    <w:lvl w:ilvl="1">
      <w:lvlJc w:val="left"/>
      <w:lvlText w:val="(%2)"/>
      <w:numFmt w:val="upperLetter"/>
      <w:start w:val="8"/>
    </w:lvl>
  </w:abstractNum>
  <w:abstractNum w:abstractNumId="56">
    <w:nsid w:val="24F6AB8E"/>
    <w:multiLevelType w:val="hybridMultilevel"/>
    <w:lvl w:ilvl="0">
      <w:lvlJc w:val="left"/>
      <w:lvlText w:val="(%1)"/>
      <w:numFmt w:val="upperLetter"/>
      <w:start w:val="10"/>
    </w:lvl>
  </w:abstractNum>
  <w:abstractNum w:abstractNumId="57">
    <w:nsid w:val="634C574C"/>
    <w:multiLevelType w:val="hybridMultilevel"/>
    <w:lvl w:ilvl="0">
      <w:lvlJc w:val="left"/>
      <w:lvlText w:val="(%1)"/>
      <w:numFmt w:val="upperLetter"/>
      <w:start w:val="1"/>
    </w:lvl>
  </w:abstractNum>
  <w:abstractNum w:abstractNumId="58">
    <w:nsid w:val="24E99DD7"/>
    <w:multiLevelType w:val="hybridMultilevel"/>
    <w:lvl w:ilvl="0">
      <w:lvlJc w:val="left"/>
      <w:lvlText w:val="%1"/>
      <w:numFmt w:val="lowerRoman"/>
      <w:start w:val="1"/>
    </w:lvl>
    <w:lvl w:ilvl="1">
      <w:lvlJc w:val="left"/>
      <w:lvlText w:val="(%2)"/>
      <w:numFmt w:val="upperLetter"/>
      <w:start w:val="3"/>
    </w:lvl>
  </w:abstractNum>
  <w:abstractNum w:abstractNumId="59">
    <w:nsid w:val="2A31B62D"/>
    <w:multiLevelType w:val="hybridMultilevel"/>
    <w:lvl w:ilvl="0">
      <w:lvlJc w:val="left"/>
      <w:lvlText w:val="(%1)"/>
      <w:numFmt w:val="lowerRoman"/>
      <w:start w:val="2"/>
    </w:lvl>
    <w:lvl w:ilvl="1">
      <w:lvlJc w:val="left"/>
      <w:lvlText w:val="%2"/>
      <w:numFmt w:val="upperLetter"/>
      <w:start w:val="1"/>
    </w:lvl>
  </w:abstractNum>
  <w:abstractNum w:abstractNumId="60">
    <w:nsid w:val="1849C29B"/>
    <w:multiLevelType w:val="hybridMultilevel"/>
    <w:lvl w:ilvl="0">
      <w:lvlJc w:val="left"/>
      <w:lvlText w:val="(%1)"/>
      <w:numFmt w:val="upperLetter"/>
      <w:start w:val="6"/>
    </w:lvl>
  </w:abstractNum>
  <w:abstractNum w:abstractNumId="61">
    <w:nsid w:val="7DFF9D09"/>
    <w:multiLevelType w:val="hybridMultilevel"/>
    <w:lvl w:ilvl="0">
      <w:lvlJc w:val="left"/>
      <w:lvlText w:val="(%1)"/>
      <w:numFmt w:val="lowerRoman"/>
      <w:start w:val="1"/>
    </w:lvl>
  </w:abstractNum>
  <w:abstractNum w:abstractNumId="62">
    <w:nsid w:val="754342"/>
    <w:multiLevelType w:val="hybridMultilevel"/>
    <w:lvl w:ilvl="0">
      <w:lvlJc w:val="left"/>
      <w:lvlText w:val="(%1)"/>
      <w:numFmt w:val="upperLetter"/>
      <w:start w:val="7"/>
    </w:lvl>
    <w:lvl w:ilvl="1">
      <w:lvlJc w:val="left"/>
      <w:lvlText w:val="(%2)"/>
      <w:numFmt w:val="lowerRoman"/>
      <w:start w:val="1"/>
    </w:lvl>
  </w:abstractNum>
  <w:abstractNum w:abstractNumId="63">
    <w:nsid w:val="69E7F3E5"/>
    <w:multiLevelType w:val="hybridMultilevel"/>
    <w:lvl w:ilvl="0">
      <w:lvlJc w:val="left"/>
      <w:lvlText w:val="(%1)"/>
      <w:numFmt w:val="upperLetter"/>
      <w:start w:val="1"/>
    </w:lvl>
  </w:abstractNum>
  <w:abstractNum w:abstractNumId="64">
    <w:nsid w:val="2A6DE806"/>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65">
    <w:nsid w:val="1816F8C4"/>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9"/>
    </w:lvl>
  </w:abstractNum>
  <w:abstractNum w:abstractNumId="66">
    <w:nsid w:val="37DF2233"/>
    <w:multiLevelType w:val="hybridMultilevel"/>
    <w:lvl w:ilvl="0">
      <w:lvlJc w:val="left"/>
      <w:lvlText w:val="(%1)"/>
      <w:numFmt w:val="upperLetter"/>
      <w:start w:val="35"/>
    </w:lvl>
  </w:abstractNum>
  <w:abstractNum w:abstractNumId="67">
    <w:nsid w:val="7AB49DAF"/>
    <w:multiLevelType w:val="hybridMultilevel"/>
    <w:lvl w:ilvl="0">
      <w:lvlJc w:val="left"/>
      <w:lvlText w:val="(%1)"/>
      <w:numFmt w:val="lowerLetter"/>
      <w:start w:val="25"/>
    </w:lvl>
    <w:lvl w:ilvl="1">
      <w:lvlJc w:val="left"/>
      <w:lvlText w:val="(%2)"/>
      <w:numFmt w:val="lowerLetter"/>
      <w:start w:val="2"/>
    </w:lvl>
  </w:abstractNum>
  <w:abstractNum w:abstractNumId="68">
    <w:nsid w:val="759F82CD"/>
    <w:multiLevelType w:val="hybridMultilevel"/>
    <w:lvl w:ilvl="0">
      <w:lvlJc w:val="left"/>
      <w:lvlText w:val="(%1)"/>
      <w:numFmt w:val="decimal"/>
      <w:start w:val="4"/>
    </w:lvl>
  </w:abstractNum>
  <w:abstractNum w:abstractNumId="69">
    <w:nsid w:val="61E74EA3"/>
    <w:multiLevelType w:val="hybridMultilevel"/>
    <w:lvl w:ilvl="0">
      <w:lvlJc w:val="left"/>
      <w:lvlText w:val="(%1)"/>
      <w:numFmt w:val="decimal"/>
      <w:start w:val="5"/>
    </w:lvl>
  </w:abstractNum>
  <w:abstractNum w:abstractNumId="70">
    <w:nsid w:val="597B4D84"/>
    <w:multiLevelType w:val="hybridMultilevel"/>
    <w:lvl w:ilvl="0">
      <w:lvlJc w:val="left"/>
      <w:lvlText w:val="(%1)"/>
      <w:numFmt w:val="lowerRoman"/>
      <w:start w:val="2"/>
    </w:lvl>
    <w:lvl w:ilvl="1">
      <w:lvlJc w:val="left"/>
      <w:lvlText w:val="(%2)"/>
      <w:numFmt w:val="decimal"/>
      <w:start w:val="1"/>
    </w:lvl>
  </w:abstractNum>
  <w:abstractNum w:abstractNumId="71">
    <w:nsid w:val="F819E7F"/>
    <w:multiLevelType w:val="hybridMultilevel"/>
    <w:lvl w:ilvl="0">
      <w:lvlJc w:val="left"/>
      <w:lvlText w:val="(%1)"/>
      <w:numFmt w:val="upperLetter"/>
      <w:start w:val="1"/>
    </w:lvl>
    <w:lvl w:ilvl="1">
      <w:lvlJc w:val="left"/>
      <w:lvlText w:val="(%2)"/>
      <w:numFmt w:val="lowerRoman"/>
      <w:start w:val="1"/>
    </w:lvl>
  </w:abstractNum>
  <w:abstractNum w:abstractNumId="72">
    <w:nsid w:val="57C7D42D"/>
    <w:multiLevelType w:val="hybridMultilevel"/>
    <w:lvl w:ilvl="0">
      <w:lvlJc w:val="left"/>
      <w:lvlText w:val="%1"/>
      <w:numFmt w:val="upperLetter"/>
      <w:start w:val="1"/>
    </w:lvl>
    <w:lvl w:ilvl="1">
      <w:lvlJc w:val="left"/>
      <w:lvlText w:val="(%2)"/>
      <w:numFmt w:val="lowerRoman"/>
      <w:start w:val="2"/>
    </w:lvl>
  </w:abstractNum>
  <w:abstractNum w:abstractNumId="73">
    <w:nsid w:val="312167AD"/>
    <w:multiLevelType w:val="hybridMultilevel"/>
    <w:lvl w:ilvl="0">
      <w:lvlJc w:val="left"/>
      <w:lvlText w:val="(%1)"/>
      <w:numFmt w:val="upperLetter"/>
      <w:start w:val="2"/>
    </w:lvl>
    <w:lvl w:ilvl="1">
      <w:lvlJc w:val="left"/>
      <w:lvlText w:val="%2"/>
      <w:numFmt w:val="lowerRoman"/>
      <w:start w:val="1"/>
    </w:lvl>
  </w:abstractNum>
  <w:abstractNum w:abstractNumId="74">
    <w:nsid w:val="631B64D4"/>
    <w:multiLevelType w:val="hybridMultilevel"/>
    <w:lvl w:ilvl="0">
      <w:lvlJc w:val="left"/>
      <w:lvlText w:val="(%1)"/>
      <w:numFmt w:val="upperLetter"/>
      <w:start w:val="6"/>
    </w:lvl>
  </w:abstractNum>
  <w:abstractNum w:abstractNumId="75">
    <w:nsid w:val="78B5E776"/>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76">
    <w:nsid w:val="75486E47"/>
    <w:multiLevelType w:val="hybridMultilevel"/>
    <w:lvl w:ilvl="0">
      <w:lvlJc w:val="left"/>
      <w:lvlText w:val="(%1)"/>
      <w:numFmt w:val="decimal"/>
      <w:start w:val="5"/>
    </w:lvl>
  </w:abstractNum>
  <w:abstractNum w:abstractNumId="77">
    <w:nsid w:val="6E534CDE"/>
    <w:multiLevelType w:val="hybridMultilevel"/>
    <w:lvl w:ilvl="0">
      <w:lvlJc w:val="left"/>
      <w:lvlText w:val="(%1)"/>
      <w:numFmt w:val="lowerRoman"/>
      <w:start w:val="2"/>
    </w:lvl>
  </w:abstractNum>
  <w:abstractNum w:abstractNumId="78">
    <w:nsid w:val="1A0DDE32"/>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79">
    <w:nsid w:val="65968C1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80">
    <w:nsid w:val="46263DEC"/>
    <w:multiLevelType w:val="hybridMultilevel"/>
    <w:lvl w:ilvl="0">
      <w:lvlJc w:val="left"/>
      <w:lvlText w:val="%1"/>
      <w:numFmt w:val="upperLetter"/>
      <w:start w:val="1"/>
    </w:lvl>
    <w:lvl w:ilvl="1">
      <w:lvlJc w:val="left"/>
      <w:lvlText w:val="(%2)"/>
      <w:numFmt w:val="lowerRoman"/>
      <w:start w:val="4"/>
    </w:lvl>
  </w:abstractNum>
  <w:abstractNum w:abstractNumId="81">
    <w:nsid w:val="260D8C4A"/>
    <w:multiLevelType w:val="hybridMultilevel"/>
    <w:lvl w:ilvl="0">
      <w:lvlJc w:val="left"/>
      <w:lvlText w:val="(%1)"/>
      <w:numFmt w:val="upperLetter"/>
      <w:start w:val="3"/>
    </w:lvl>
    <w:lvl w:ilvl="1">
      <w:lvlJc w:val="left"/>
      <w:lvlText w:val="%2"/>
      <w:numFmt w:val="lowerRoman"/>
      <w:start w:val="1"/>
    </w:lvl>
  </w:abstractNum>
  <w:abstractNum w:abstractNumId="82">
    <w:nsid w:val="73D4D3C4"/>
    <w:multiLevelType w:val="hybridMultilevel"/>
    <w:lvl w:ilvl="0">
      <w:lvlJc w:val="left"/>
      <w:lvlText w:val="(%1)"/>
      <w:numFmt w:val="upperLetter"/>
      <w:start w:val="1"/>
    </w:lvl>
  </w:abstractNum>
  <w:abstractNum w:abstractNumId="83">
    <w:nsid w:val="746F2E30"/>
    <w:multiLevelType w:val="hybridMultilevel"/>
    <w:lvl w:ilvl="0">
      <w:lvlJc w:val="left"/>
      <w:lvlText w:val="(%1)"/>
      <w:numFmt w:val="upperLetter"/>
      <w:start w:val="1"/>
    </w:lvl>
    <w:lvl w:ilvl="1">
      <w:lvlJc w:val="left"/>
      <w:lvlText w:val="(%2)"/>
      <w:numFmt w:val="lowerRoman"/>
      <w:start w:val="1"/>
    </w:lvl>
  </w:abstractNum>
  <w:abstractNum w:abstractNumId="84">
    <w:nsid w:val="6FDE8AF6"/>
    <w:multiLevelType w:val="hybridMultilevel"/>
    <w:lvl w:ilvl="0">
      <w:lvlJc w:val="left"/>
      <w:lvlText w:val="(%1)"/>
      <w:numFmt w:val="lowerRoman"/>
      <w:start w:val="2"/>
    </w:lvl>
  </w:abstractNum>
  <w:abstractNum w:abstractNumId="85">
    <w:nsid w:val="3FC32E20"/>
    <w:multiLevelType w:val="hybridMultilevel"/>
    <w:lvl w:ilvl="0">
      <w:lvlJc w:val="left"/>
      <w:lvlText w:val="X"/>
      <w:numFmt w:val="bullet"/>
      <w:start w:val="1"/>
    </w:lvl>
  </w:abstractNum>
  <w:abstractNum w:abstractNumId="86">
    <w:nsid w:val="49C0E823"/>
    <w:multiLevelType w:val="hybridMultilevel"/>
    <w:lvl w:ilvl="0">
      <w:lvlJc w:val="left"/>
      <w:lvlText w:val="Y"/>
      <w:numFmt w:val="bullet"/>
      <w:start w:val="1"/>
    </w:lvl>
  </w:abstractNum>
  <w:abstractNum w:abstractNumId="87">
    <w:nsid w:val="14D5368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1"/>
    </w:lvl>
  </w:abstractNum>
  <w:abstractNum w:abstractNumId="88">
    <w:nsid w:val="230F856C"/>
    <w:multiLevelType w:val="hybridMultilevel"/>
    <w:lvl w:ilvl="0">
      <w:lvlJc w:val="left"/>
      <w:lvlText w:val="(%1)"/>
      <w:numFmt w:val="lowerLetter"/>
      <w:start w:val="26"/>
    </w:lvl>
  </w:abstractNum>
  <w:abstractNum w:abstractNumId="89">
    <w:nsid w:val="6EAA85FB"/>
    <w:multiLevelType w:val="hybridMultilevel"/>
    <w:lvl w:ilvl="0">
      <w:lvlJc w:val="left"/>
      <w:lvlText w:val="(%1)"/>
      <w:numFmt w:val="decimal"/>
      <w:start w:val="2"/>
    </w:lvl>
  </w:abstractNum>
  <w:abstractNum w:abstractNumId="90">
    <w:nsid w:val="3F06ECB2"/>
    <w:multiLevelType w:val="hybridMultilevel"/>
    <w:lvl w:ilvl="0">
      <w:lvlJc w:val="left"/>
      <w:lvlText w:val="(%1)"/>
      <w:numFmt w:val="lowerRoman"/>
      <w:start w:val="4"/>
    </w:lvl>
  </w:abstractNum>
  <w:abstractNum w:abstractNumId="91">
    <w:nsid w:val="3B594807"/>
    <w:multiLevelType w:val="hybridMultilevel"/>
    <w:lvl w:ilvl="0">
      <w:lvlJc w:val="left"/>
      <w:lvlText w:val="T"/>
      <w:numFmt w:val="bullet"/>
      <w:start w:val="1"/>
    </w:lvl>
  </w:abstractNum>
  <w:abstractNum w:abstractNumId="92">
    <w:nsid w:val="6CAA2304"/>
    <w:multiLevelType w:val="hybridMultilevel"/>
    <w:lvl w:ilvl="0">
      <w:lvlJc w:val="left"/>
      <w:lvlText w:val="D"/>
      <w:numFmt w:val="bullet"/>
      <w:start w:val="1"/>
    </w:lvl>
  </w:abstractNum>
  <w:abstractNum w:abstractNumId="93">
    <w:nsid w:val="3F7C2FF4"/>
    <w:multiLevelType w:val="hybridMultilevel"/>
    <w:lvl w:ilvl="0">
      <w:lvlJc w:val="left"/>
      <w:lvlText w:val="(%1)"/>
      <w:numFmt w:val="lowerRoman"/>
      <w:start w:val="5"/>
    </w:lvl>
  </w:abstractNum>
  <w:abstractNum w:abstractNumId="94">
    <w:nsid w:val="25413BE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95">
    <w:nsid w:val="17180B0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96">
    <w:nsid w:val="579328B9"/>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97">
    <w:nsid w:val="5D205E20"/>
    <w:multiLevelType w:val="hybridMultilevel"/>
    <w:lvl w:ilvl="0">
      <w:lvlJc w:val="left"/>
      <w:lvlText w:val="(%1)"/>
      <w:numFmt w:val="upperLetter"/>
      <w:start w:val="5"/>
    </w:lvl>
    <w:lvl w:ilvl="1">
      <w:lvlJc w:val="left"/>
      <w:lvlText w:val="(%2)"/>
      <w:numFmt w:val="lowerRoman"/>
      <w:start w:val="1"/>
    </w:lvl>
  </w:abstractNum>
  <w:abstractNum w:abstractNumId="98">
    <w:nsid w:val="11CCA8BA"/>
    <w:multiLevelType w:val="hybridMultilevel"/>
    <w:lvl w:ilvl="0">
      <w:lvlJc w:val="left"/>
      <w:lvlText w:val="(%1)"/>
      <w:numFmt w:val="upperLetter"/>
      <w:start w:val="6"/>
    </w:lvl>
  </w:abstractNum>
  <w:abstractNum w:abstractNumId="99">
    <w:nsid w:val="4D32AB86"/>
    <w:multiLevelType w:val="hybridMultilevel"/>
    <w:lvl w:ilvl="0">
      <w:lvlJc w:val="left"/>
      <w:lvlText w:val="(%1)"/>
      <w:numFmt w:val="upperLetter"/>
      <w:start w:val="8"/>
    </w:lvl>
  </w:abstractNum>
  <w:abstractNum w:abstractNumId="100">
    <w:nsid w:val="3F07ACC3"/>
    <w:multiLevelType w:val="hybridMultilevel"/>
    <w:lvl w:ilvl="0">
      <w:lvlJc w:val="left"/>
      <w:lvlText w:val="(%1)"/>
      <w:numFmt w:val="upperLetter"/>
      <w:start w:val="1"/>
    </w:lvl>
  </w:abstractNum>
  <w:abstractNum w:abstractNumId="101">
    <w:nsid w:val="6B47F63E"/>
    <w:multiLevelType w:val="hybridMultilevel"/>
    <w:lvl w:ilvl="0">
      <w:lvlJc w:val="left"/>
      <w:lvlText w:val="(%1)"/>
      <w:numFmt w:val="upperLetter"/>
      <w:start w:val="1"/>
    </w:lvl>
  </w:abstractNum>
  <w:abstractNum w:abstractNumId="102">
    <w:nsid w:val="5CB44A05"/>
    <w:multiLevelType w:val="hybridMultilevel"/>
    <w:lvl w:ilvl="0">
      <w:lvlJc w:val="left"/>
      <w:lvlText w:val="(%1)"/>
      <w:numFmt w:val="lowerRoman"/>
      <w:start w:val="1"/>
    </w:lvl>
  </w:abstractNum>
  <w:abstractNum w:abstractNumId="103">
    <w:nsid w:val="16CF80F1"/>
    <w:multiLevelType w:val="hybridMultilevel"/>
    <w:lvl w:ilvl="0">
      <w:lvlJc w:val="left"/>
      <w:lvlText w:val="(%1)"/>
      <w:numFmt w:val="upperLetter"/>
      <w:start w:val="2"/>
    </w:lvl>
  </w:abstractNum>
  <w:abstractNum w:abstractNumId="104">
    <w:nsid w:val="1C695DEC"/>
    <w:multiLevelType w:val="hybridMultilevel"/>
    <w:lvl w:ilvl="0">
      <w:lvlJc w:val="left"/>
      <w:lvlText w:val="(%1)"/>
      <w:numFmt w:val="upperLetter"/>
      <w:start w:val="1"/>
    </w:lvl>
  </w:abstractNum>
  <w:abstractNum w:abstractNumId="105">
    <w:nsid w:val="3FCFAED9"/>
    <w:multiLevelType w:val="hybridMultilevel"/>
    <w:lvl w:ilvl="0">
      <w:lvlJc w:val="left"/>
      <w:lvlText w:val="(%1)"/>
      <w:numFmt w:val="upperLetter"/>
      <w:start w:val="1"/>
    </w:lvl>
    <w:lvl w:ilvl="1">
      <w:lvlJc w:val="left"/>
      <w:lvlText w:val="(%2)"/>
      <w:numFmt w:val="lowerRoman"/>
      <w:start w:val="1"/>
    </w:lvl>
  </w:abstractNum>
  <w:abstractNum w:abstractNumId="106">
    <w:nsid w:val="F856867"/>
    <w:multiLevelType w:val="hybridMultilevel"/>
    <w:lvl w:ilvl="0">
      <w:lvlJc w:val="left"/>
      <w:lvlText w:val="(%1)"/>
      <w:numFmt w:val="decimal"/>
      <w:start w:val="1"/>
    </w:lvl>
  </w:abstractNum>
  <w:abstractNum w:abstractNumId="107">
    <w:nsid w:val="11B1CC33"/>
    <w:multiLevelType w:val="hybridMultilevel"/>
    <w:lvl w:ilvl="0">
      <w:lvlJc w:val="left"/>
      <w:lvlText w:val="(%1)"/>
      <w:numFmt w:val="decimal"/>
      <w:start w:val="3"/>
    </w:lvl>
  </w:abstractNum>
  <w:abstractNum w:abstractNumId="108">
    <w:nsid w:val="2E22FBB7"/>
    <w:multiLevelType w:val="hybridMultilevel"/>
    <w:lvl w:ilvl="0">
      <w:lvlJc w:val="left"/>
      <w:lvlText w:val="(%1)"/>
      <w:numFmt w:val="upperLetter"/>
      <w:start w:val="2"/>
    </w:lvl>
  </w:abstractNum>
  <w:abstractNum w:abstractNumId="109">
    <w:nsid w:val="29934699"/>
    <w:multiLevelType w:val="hybridMultilevel"/>
    <w:lvl w:ilvl="0">
      <w:lvlJc w:val="left"/>
      <w:lvlText w:val="(%1)"/>
      <w:numFmt w:val="upperLetter"/>
      <w:start w:val="1"/>
    </w:lvl>
    <w:lvl w:ilvl="1">
      <w:lvlJc w:val="left"/>
      <w:lvlText w:val="(%2)"/>
      <w:numFmt w:val="lowerRoman"/>
      <w:start w:val="1"/>
    </w:lvl>
  </w:abstractNum>
  <w:abstractNum w:abstractNumId="110">
    <w:nsid w:val="77485850"/>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11">
    <w:nsid w:val="744939A3"/>
    <w:multiLevelType w:val="hybridMultilevel"/>
    <w:lvl w:ilvl="0">
      <w:lvlJc w:val="left"/>
      <w:lvlText w:val="(%1)"/>
      <w:numFmt w:val="decimal"/>
      <w:start w:val="2"/>
    </w:lvl>
  </w:abstractNum>
  <w:abstractNum w:abstractNumId="112">
    <w:nsid w:val="4FA0D2E3"/>
    <w:multiLevelType w:val="hybridMultilevel"/>
    <w:lvl w:ilvl="0">
      <w:lvlJc w:val="left"/>
      <w:lvlText w:val="(%1)"/>
      <w:numFmt w:val="lowerRoman"/>
      <w:start w:val="8"/>
    </w:lvl>
    <w:lvl w:ilvl="1">
      <w:lvlJc w:val="left"/>
      <w:lvlText w:val="(%2)"/>
      <w:numFmt w:val="decimal"/>
      <w:start w:val="1"/>
    </w:lvl>
  </w:abstractNum>
  <w:abstractNum w:abstractNumId="113">
    <w:nsid w:val="6B1D2C14"/>
    <w:multiLevelType w:val="hybridMultilevel"/>
    <w:lvl w:ilvl="0">
      <w:lvlJc w:val="left"/>
      <w:lvlText w:val="(%1)"/>
      <w:numFmt w:val="decimal"/>
      <w:start w:val="2"/>
    </w:lvl>
  </w:abstractNum>
  <w:abstractNum w:abstractNumId="114">
    <w:nsid w:val="68B867D3"/>
    <w:multiLevelType w:val="hybridMultilevel"/>
    <w:lvl w:ilvl="0">
      <w:lvlJc w:val="left"/>
      <w:lvlText w:val="(%1)"/>
      <w:numFmt w:val="upperLetter"/>
      <w:start w:val="2"/>
    </w:lvl>
  </w:abstractNum>
  <w:abstractNum w:abstractNumId="115">
    <w:nsid w:val="3F7F5DD9"/>
    <w:multiLevelType w:val="hybridMultilevel"/>
    <w:lvl w:ilvl="0">
      <w:lvlJc w:val="left"/>
      <w:lvlText w:val="%1"/>
      <w:numFmt w:val="lowerRoman"/>
      <w:start w:val="1"/>
    </w:lvl>
    <w:lvl w:ilvl="1">
      <w:lvlJc w:val="left"/>
      <w:lvlText w:val="(%2)"/>
      <w:numFmt w:val="upperLetter"/>
      <w:start w:val="1"/>
    </w:lvl>
  </w:abstractNum>
  <w:abstractNum w:abstractNumId="116">
    <w:nsid w:val="2AE05A34"/>
    <w:multiLevelType w:val="hybridMultilevel"/>
    <w:lvl w:ilvl="0">
      <w:lvlJc w:val="left"/>
      <w:lvlText w:val="(%1)"/>
      <w:numFmt w:val="lowerRoman"/>
      <w:start w:val="11"/>
    </w:lvl>
    <w:lvl w:ilvl="1">
      <w:lvlJc w:val="left"/>
      <w:lvlText w:val="(%2)"/>
      <w:numFmt w:val="upperLetter"/>
      <w:start w:val="2"/>
    </w:lvl>
  </w:abstractNum>
  <w:abstractNum w:abstractNumId="117">
    <w:nsid w:val="32794FF7"/>
    <w:multiLevelType w:val="hybridMultilevel"/>
    <w:lvl w:ilvl="0">
      <w:lvlJc w:val="left"/>
      <w:lvlText w:val="(%1)"/>
      <w:numFmt w:val="upperLetter"/>
      <w:start w:val="1"/>
    </w:lvl>
  </w:abstractNum>
  <w:abstractNum w:abstractNumId="118">
    <w:nsid w:val="5454945E"/>
    <w:multiLevelType w:val="hybridMultilevel"/>
    <w:lvl w:ilvl="0">
      <w:lvlJc w:val="left"/>
      <w:lvlText w:val="(%1)"/>
      <w:numFmt w:val="upperLetter"/>
      <w:start w:val="5"/>
    </w:lvl>
  </w:abstractNum>
  <w:abstractNum w:abstractNumId="119">
    <w:nsid w:val="4DEFDFA0"/>
    <w:multiLevelType w:val="hybridMultilevel"/>
    <w:lvl w:ilvl="0">
      <w:lvlJc w:val="left"/>
      <w:lvlText w:val="(%1)"/>
      <w:numFmt w:val="upperLetter"/>
      <w:start w:val="1"/>
    </w:lvl>
  </w:abstractNum>
  <w:abstractNum w:abstractNumId="120">
    <w:nsid w:val="2123D5F2"/>
    <w:multiLevelType w:val="hybridMultilevel"/>
    <w:lvl w:ilvl="0">
      <w:lvlJc w:val="left"/>
      <w:lvlText w:val="(%1)"/>
      <w:numFmt w:val="upperLetter"/>
      <w:start w:val="1"/>
    </w:lvl>
  </w:abstractNum>
  <w:abstractNum w:abstractNumId="121">
    <w:nsid w:val="135B8110"/>
    <w:multiLevelType w:val="hybridMultilevel"/>
    <w:lvl w:ilvl="0">
      <w:lvlJc w:val="left"/>
      <w:lvlText w:val="(%1)"/>
      <w:numFmt w:val="upperLetter"/>
      <w:start w:val="1"/>
    </w:lvl>
  </w:abstractNum>
  <w:abstractNum w:abstractNumId="122">
    <w:nsid w:val="94927A8"/>
    <w:multiLevelType w:val="hybridMultilevel"/>
    <w:lvl w:ilvl="0">
      <w:lvlJc w:val="left"/>
      <w:lvlText w:val="(%1)"/>
      <w:numFmt w:val="upperLetter"/>
      <w:start w:val="12"/>
    </w:lvl>
  </w:abstractNum>
  <w:abstractNum w:abstractNumId="123">
    <w:nsid w:val="DCDF8F6"/>
    <w:multiLevelType w:val="hybridMultilevel"/>
    <w:lvl w:ilvl="0">
      <w:lvlJc w:val="left"/>
      <w:lvlText w:val="(%1)"/>
      <w:numFmt w:val="upperLetter"/>
      <w:start w:val="1"/>
    </w:lvl>
    <w:lvl w:ilvl="1">
      <w:lvlJc w:val="left"/>
      <w:lvlText w:val="(%2)"/>
      <w:numFmt w:val="lowerRoman"/>
      <w:start w:val="1"/>
    </w:lvl>
  </w:abstractNum>
  <w:abstractNum w:abstractNumId="124">
    <w:nsid w:val="52D7B105"/>
    <w:multiLevelType w:val="hybridMultilevel"/>
    <w:lvl w:ilvl="0">
      <w:lvlJc w:val="left"/>
      <w:lvlText w:val="%1"/>
      <w:numFmt w:val="upperLetter"/>
      <w:start w:val="1"/>
    </w:lvl>
    <w:lvl w:ilvl="1">
      <w:lvlJc w:val="left"/>
      <w:lvlText w:val="(%2)"/>
      <w:numFmt w:val="lowerRoman"/>
      <w:start w:val="10"/>
    </w:lvl>
  </w:abstractNum>
  <w:abstractNum w:abstractNumId="125">
    <w:nsid w:val="2E8A6394"/>
    <w:multiLevelType w:val="hybridMultilevel"/>
    <w:lvl w:ilvl="0">
      <w:lvlJc w:val="left"/>
      <w:lvlText w:val="(%1)"/>
      <w:numFmt w:val="upperLetter"/>
      <w:start w:val="2"/>
    </w:lvl>
    <w:lvl w:ilvl="1">
      <w:lvlJc w:val="left"/>
      <w:lvlText w:val="%2"/>
      <w:numFmt w:val="lowerRoman"/>
      <w:start w:val="1"/>
    </w:lvl>
  </w:abstractNum>
  <w:abstractNum w:abstractNumId="126">
    <w:nsid w:val="24E60401"/>
    <w:multiLevelType w:val="hybridMultilevel"/>
    <w:lvl w:ilvl="0">
      <w:lvlJc w:val="left"/>
      <w:lvlText w:val="(%1)"/>
      <w:numFmt w:val="upperLetter"/>
      <w:start w:val="1"/>
    </w:lvl>
  </w:abstractNum>
  <w:abstractNum w:abstractNumId="127">
    <w:nsid w:val="2A6AD9BE"/>
    <w:multiLevelType w:val="hybridMultilevel"/>
    <w:lvl w:ilvl="0">
      <w:lvlJc w:val="left"/>
      <w:lvlText w:val="(%1)"/>
      <w:numFmt w:val="upperLetter"/>
      <w:start w:val="1"/>
    </w:lvl>
    <w:lvl w:ilvl="1">
      <w:lvlJc w:val="left"/>
      <w:lvlText w:val="(%2)"/>
      <w:numFmt w:val="lowerRoman"/>
      <w:start w:val="1"/>
    </w:lvl>
  </w:abstractNum>
  <w:abstractNum w:abstractNumId="128">
    <w:nsid w:val="BAAC1B4"/>
    <w:multiLevelType w:val="hybridMultilevel"/>
    <w:lvl w:ilvl="0">
      <w:lvlJc w:val="left"/>
      <w:lvlText w:val="(%1)"/>
      <w:numFmt w:val="lowerRoman"/>
      <w:start w:val="2"/>
    </w:lvl>
  </w:abstractNum>
  <w:abstractNum w:abstractNumId="129">
    <w:nsid w:val="36B2ACBC"/>
    <w:multiLevelType w:val="hybridMultilevel"/>
    <w:lvl w:ilvl="0">
      <w:lvlJc w:val="left"/>
      <w:lvlText w:val="(%1)"/>
      <w:numFmt w:val="upperLetter"/>
      <w:start w:val="2"/>
    </w:lvl>
  </w:abstractNum>
  <w:abstractNum w:abstractNumId="130">
    <w:nsid w:val="779D8544"/>
    <w:multiLevelType w:val="hybridMultilevel"/>
    <w:lvl w:ilvl="0">
      <w:lvlJc w:val="left"/>
      <w:lvlText w:val="(%1)"/>
      <w:numFmt w:val="upperLetter"/>
      <w:start w:val="1"/>
    </w:lvl>
    <w:lvl w:ilvl="1">
      <w:lvlJc w:val="left"/>
      <w:lvlText w:val="(%2)"/>
      <w:numFmt w:val="lowerRoman"/>
      <w:start w:val="1"/>
    </w:lvl>
  </w:abstractNum>
  <w:abstractNum w:abstractNumId="131">
    <w:nsid w:val="4AB26E78"/>
    <w:multiLevelType w:val="hybridMultilevel"/>
    <w:lvl w:ilvl="0">
      <w:lvlJc w:val="left"/>
      <w:lvlText w:val="(%1)"/>
      <w:numFmt w:val="lowerRoman"/>
      <w:start w:val="2"/>
    </w:lvl>
  </w:abstractNum>
  <w:abstractNum w:abstractNumId="132">
    <w:nsid w:val="21FAA2FA"/>
    <w:multiLevelType w:val="hybridMultilevel"/>
    <w:lvl w:ilvl="0">
      <w:lvlJc w:val="left"/>
      <w:lvlText w:val="(%1)"/>
      <w:numFmt w:val="upperLetter"/>
      <w:start w:val="2"/>
    </w:lvl>
  </w:abstractNum>
  <w:abstractNum w:abstractNumId="133">
    <w:nsid w:val="5451CF49"/>
    <w:multiLevelType w:val="hybridMultilevel"/>
    <w:lvl w:ilvl="0">
      <w:lvlJc w:val="left"/>
      <w:lvlText w:val="(%1)"/>
      <w:numFmt w:val="upperLetter"/>
      <w:start w:val="1"/>
    </w:lvl>
  </w:abstractNum>
  <w:abstractNum w:abstractNumId="134">
    <w:nsid w:val="6181EF69"/>
    <w:multiLevelType w:val="hybridMultilevel"/>
    <w:lvl w:ilvl="0">
      <w:lvlJc w:val="left"/>
      <w:lvlText w:val="(%1)"/>
      <w:numFmt w:val="upperLetter"/>
      <w:start w:val="3"/>
    </w:lvl>
  </w:abstractNum>
  <w:abstractNum w:abstractNumId="135">
    <w:nsid w:val="3E6400E6"/>
    <w:multiLevelType w:val="hybridMultilevel"/>
    <w:lvl w:ilvl="0">
      <w:lvlJc w:val="left"/>
      <w:lvlText w:val="(%1)"/>
      <w:numFmt w:val="upperLetter"/>
      <w:start w:val="1"/>
    </w:lvl>
  </w:abstractNum>
  <w:abstractNum w:abstractNumId="136">
    <w:nsid w:val="14217E23"/>
    <w:multiLevelType w:val="hybridMultilevel"/>
    <w:lvl w:ilvl="0">
      <w:lvlJc w:val="left"/>
      <w:lvlText w:val="(%1)"/>
      <w:numFmt w:val="upperLetter"/>
      <w:start w:val="1"/>
    </w:lvl>
  </w:abstractNum>
  <w:abstractNum w:abstractNumId="137">
    <w:nsid w:val="710757D0"/>
    <w:multiLevelType w:val="hybridMultilevel"/>
    <w:lvl w:ilvl="0">
      <w:lvlJc w:val="left"/>
      <w:lvlText w:val="(%1)"/>
      <w:numFmt w:val="upperLetter"/>
      <w:start w:val="3"/>
    </w:lvl>
  </w:abstractNum>
  <w:abstractNum w:abstractNumId="138">
    <w:nsid w:val="5015CD1A"/>
    <w:multiLevelType w:val="hybridMultilevel"/>
    <w:lvl w:ilvl="0">
      <w:lvlJc w:val="left"/>
      <w:lvlText w:val="(%1)"/>
      <w:numFmt w:val="upperLetter"/>
      <w:start w:val="1"/>
    </w:lvl>
    <w:lvl w:ilvl="1">
      <w:lvlJc w:val="left"/>
      <w:lvlText w:val="(%2)"/>
      <w:numFmt w:val="lowerRoman"/>
      <w:start w:val="1"/>
    </w:lvl>
  </w:abstractNum>
  <w:abstractNum w:abstractNumId="139">
    <w:nsid w:val="424479DA"/>
    <w:multiLevelType w:val="hybridMultilevel"/>
    <w:lvl w:ilvl="0">
      <w:lvlJc w:val="left"/>
      <w:lvlText w:val="(%1)"/>
      <w:numFmt w:val="upperLetter"/>
      <w:start w:val="7"/>
    </w:lvl>
  </w:abstractNum>
  <w:abstractNum w:abstractNumId="140">
    <w:nsid w:val="1A9A9E69"/>
    <w:multiLevelType w:val="hybridMultilevel"/>
    <w:lvl w:ilvl="0">
      <w:lvlJc w:val="left"/>
      <w:lvlText w:val="(%1)"/>
      <w:numFmt w:val="upperLetter"/>
      <w:start w:val="1"/>
    </w:lvl>
  </w:abstractNum>
  <w:abstractNum w:abstractNumId="141">
    <w:nsid w:val="475E256A"/>
    <w:multiLevelType w:val="hybridMultilevel"/>
    <w:lvl w:ilvl="0">
      <w:lvlJc w:val="left"/>
      <w:lvlText w:val="(%1)"/>
      <w:numFmt w:val="upperLetter"/>
      <w:start w:val="11"/>
    </w:lvl>
  </w:abstractNum>
  <w:abstractNum w:abstractNumId="142">
    <w:nsid w:val="368DB37E"/>
    <w:multiLevelType w:val="hybridMultilevel"/>
    <w:lvl w:ilvl="0">
      <w:lvlJc w:val="left"/>
      <w:lvlText w:val="(%1)"/>
      <w:numFmt w:val="upperLetter"/>
      <w:start w:val="1"/>
    </w:lvl>
  </w:abstractNum>
  <w:abstractNum w:abstractNumId="143">
    <w:nsid w:val="6A3B714C"/>
    <w:multiLevelType w:val="hybridMultilevel"/>
    <w:lvl w:ilvl="0">
      <w:lvlJc w:val="left"/>
      <w:lvlText w:val="(%1)"/>
      <w:numFmt w:val="upperLetter"/>
      <w:start w:val="1"/>
    </w:lvl>
    <w:lvl w:ilvl="1">
      <w:lvlJc w:val="left"/>
      <w:lvlText w:val="(%2)"/>
      <w:numFmt w:val="lowerRoman"/>
      <w:start w:val="1"/>
    </w:lvl>
  </w:abstractNum>
  <w:abstractNum w:abstractNumId="144">
    <w:nsid w:val="327B517E"/>
    <w:multiLevelType w:val="hybridMultilevel"/>
    <w:lvl w:ilvl="0">
      <w:lvlJc w:val="left"/>
      <w:lvlText w:val="(%1)"/>
      <w:numFmt w:val="upperLetter"/>
      <w:start w:val="1"/>
    </w:lvl>
  </w:abstractNum>
  <w:abstractNum w:abstractNumId="145">
    <w:nsid w:val="1F461B51"/>
    <w:multiLevelType w:val="hybridMultilevel"/>
    <w:lvl w:ilvl="0">
      <w:lvlJc w:val="left"/>
      <w:lvlText w:val="(%1)"/>
      <w:numFmt w:val="upperLetter"/>
      <w:start w:val="1"/>
    </w:lvl>
  </w:abstractNum>
  <w:abstractNum w:abstractNumId="146">
    <w:nsid w:val="29BACF25"/>
    <w:multiLevelType w:val="hybridMultilevel"/>
    <w:lvl w:ilvl="0">
      <w:lvlJc w:val="left"/>
      <w:lvlText w:val="(%1)"/>
      <w:numFmt w:val="upperLetter"/>
      <w:start w:val="3"/>
    </w:lvl>
  </w:abstractNum>
  <w:abstractNum w:abstractNumId="147">
    <w:nsid w:val="5D5BABB3"/>
    <w:multiLevelType w:val="hybridMultilevel"/>
    <w:lvl w:ilvl="0">
      <w:lvlJc w:val="left"/>
      <w:lvlText w:val="*"/>
      <w:numFmt w:val="bullet"/>
      <w:start w:val="1"/>
    </w:lvl>
  </w:abstractNum>
  <w:abstractNum w:abstractNumId="148">
    <w:nsid w:val="51BF6B48"/>
    <w:multiLevelType w:val="hybridMultilevel"/>
    <w:lvl w:ilvl="0">
      <w:lvlJc w:val="left"/>
      <w:lvlText w:val="†"/>
      <w:numFmt w:val="bullet"/>
      <w:start w:val="1"/>
    </w:lvl>
  </w:abstractNum>
  <w:abstractNum w:abstractNumId="149">
    <w:nsid w:val="7E0F6384"/>
    <w:multiLevelType w:val="hybridMultilevel"/>
    <w:lvl w:ilvl="0">
      <w:lvlJc w:val="left"/>
      <w:lvlText w:val="%1."/>
      <w:numFmt w:val="decimal"/>
      <w:start w:val="1"/>
    </w:lvl>
  </w:abstractNum>
  <w:abstractNum w:abstractNumId="150">
    <w:nsid w:val="2B4B8B53"/>
    <w:multiLevelType w:val="hybridMultilevel"/>
    <w:lvl w:ilvl="0">
      <w:lvlJc w:val="left"/>
      <w:lvlText w:val="%1."/>
      <w:numFmt w:val="decimal"/>
      <w:start w:val="8"/>
    </w:lvl>
    <w:lvl w:ilvl="1">
      <w:lvlJc w:val="left"/>
      <w:lvlText w:val="*"/>
      <w:numFmt w:val="bullet"/>
      <w:start w:val="1"/>
    </w:lvl>
  </w:abstractNum>
  <w:abstractNum w:abstractNumId="151">
    <w:nsid w:val="72E3413A"/>
    <w:multiLevelType w:val="hybridMultilevel"/>
    <w:lvl w:ilvl="0">
      <w:lvlJc w:val="left"/>
      <w:lvlText w:val="*"/>
      <w:numFmt w:val="bullet"/>
      <w:start w:val="1"/>
    </w:lvl>
  </w:abstractNum>
  <w:abstractNum w:abstractNumId="152">
    <w:nsid w:val="116AE494"/>
    <w:multiLevelType w:val="hybridMultilevel"/>
    <w:lvl w:ilvl="0">
      <w:lvlJc w:val="left"/>
      <w:lvlText w:val="$"/>
      <w:numFmt w:val="bullet"/>
      <w:start w:val="1"/>
    </w:lvl>
  </w:abstractNum>
  <w:abstractNum w:abstractNumId="153">
    <w:nsid w:val="3494B2FB"/>
    <w:multiLevelType w:val="hybridMultilevel"/>
    <w:lvl w:ilvl="0">
      <w:lvlJc w:val="left"/>
      <w:lvlText w:val="*"/>
      <w:numFmt w:val="bullet"/>
      <w:start w:val="1"/>
    </w:lvl>
  </w:abstractNum>
  <w:abstractNum w:abstractNumId="154">
    <w:nsid w:val="B13A31"/>
    <w:multiLevelType w:val="hybridMultilevel"/>
    <w:lvl w:ilvl="0">
      <w:lvlJc w:val="left"/>
      <w:lvlText w:val="$"/>
      <w:numFmt w:val="bullet"/>
      <w:start w:val="1"/>
    </w:lvl>
  </w:abstractNum>
  <w:abstractNum w:abstractNumId="155">
    <w:nsid w:val="64429599"/>
    <w:multiLevelType w:val="hybridMultilevel"/>
    <w:lvl w:ilvl="0">
      <w:lvlJc w:val="left"/>
      <w:lvlText w:val="*"/>
      <w:numFmt w:val="bullet"/>
      <w:start w:val="1"/>
    </w:lvl>
  </w:abstractNum>
  <w:abstractNum w:abstractNumId="156">
    <w:nsid w:val="631F1690"/>
    <w:multiLevelType w:val="hybridMultilevel"/>
    <w:lvl w:ilvl="0">
      <w:lvlJc w:val="left"/>
      <w:lvlText w:val="$"/>
      <w:numFmt w:val="bullet"/>
      <w:start w:val="1"/>
    </w:lvl>
  </w:abstractNum>
  <w:abstractNum w:abstractNumId="157">
    <w:nsid w:val="25973E32"/>
    <w:multiLevelType w:val="hybridMultilevel"/>
    <w:lvl w:ilvl="0">
      <w:lvlJc w:val="left"/>
      <w:lvlText w:val="*"/>
      <w:numFmt w:val="bullet"/>
      <w:start w:val="1"/>
    </w:lvl>
  </w:abstractNum>
  <w:abstractNum w:abstractNumId="158">
    <w:nsid w:val="EAD6F57"/>
    <w:multiLevelType w:val="hybridMultilevel"/>
    <w:lvl w:ilvl="0">
      <w:lvlJc w:val="left"/>
      <w:lvlText w:val="%1."/>
      <w:numFmt w:val="decimal"/>
      <w:start w:val="1"/>
    </w:lvl>
  </w:abstractNum>
  <w:abstractNum w:abstractNumId="159">
    <w:nsid w:val="6EC9D844"/>
    <w:multiLevelType w:val="hybridMultilevel"/>
    <w:lvl w:ilvl="0">
      <w:lvlJc w:val="left"/>
      <w:lvlText w:val="(%1)"/>
      <w:numFmt w:val="decimal"/>
      <w:start w:val="1"/>
    </w:lvl>
    <w:lvl w:ilvl="1">
      <w:lvlJc w:val="left"/>
      <w:lvlText w:val="(%2)"/>
      <w:numFmt w:val="upperLetter"/>
      <w:start w:val="1"/>
    </w:lvl>
  </w:abstractNum>
  <w:abstractNum w:abstractNumId="160">
    <w:nsid w:val="5C49EAEE"/>
    <w:multiLevelType w:val="hybridMultilevel"/>
    <w:lvl w:ilvl="0">
      <w:lvlJc w:val="left"/>
      <w:lvlText w:val="*"/>
      <w:numFmt w:val="bullet"/>
      <w:start w:val="1"/>
    </w:lvl>
  </w:abstractNum>
  <w:abstractNum w:abstractNumId="161">
    <w:nsid w:val="64AF49B"/>
    <w:multiLevelType w:val="hybridMultilevel"/>
    <w:lvl w:ilvl="0">
      <w:lvlJc w:val="left"/>
      <w:lvlText w:val="1"/>
      <w:numFmt w:val="bullet"/>
      <w:start w:val="1"/>
    </w:lvl>
  </w:abstractNum>
  <w:abstractNum w:abstractNumId="162">
    <w:nsid w:val="397C46BC"/>
    <w:multiLevelType w:val="hybridMultilevel"/>
    <w:lvl w:ilvl="0">
      <w:lvlJc w:val="left"/>
      <w:lvlText w:val="%1."/>
      <w:numFmt w:val="decimal"/>
      <w:start w:val="1"/>
    </w:lvl>
  </w:abstractNum>
  <w:abstractNum w:abstractNumId="163">
    <w:nsid w:val="7E448DE9"/>
    <w:multiLevelType w:val="hybridMultilevel"/>
    <w:lvl w:ilvl="0">
      <w:lvlJc w:val="left"/>
      <w:lvlText w:val="7"/>
      <w:numFmt w:val="bullet"/>
      <w:start w:val="1"/>
    </w:lvl>
  </w:abstractNum>
  <w:abstractNum w:abstractNumId="164">
    <w:nsid w:val="5A9CC3E5"/>
    <w:multiLevelType w:val="hybridMultilevel"/>
    <w:lvl w:ilvl="0">
      <w:lvlJc w:val="left"/>
      <w:lvlText w:val="8"/>
      <w:numFmt w:val="bullet"/>
      <w:start w:val="1"/>
    </w:lvl>
  </w:abstractNum>
  <w:abstractNum w:abstractNumId="165">
    <w:nsid w:val="1AFE3625"/>
    <w:multiLevelType w:val="hybridMultilevel"/>
    <w:lvl w:ilvl="0">
      <w:lvlJc w:val="left"/>
      <w:lvlText w:val="9"/>
      <w:numFmt w:val="bullet"/>
      <w:start w:val="1"/>
    </w:lvl>
  </w:abstractNum>
  <w:abstractNum w:abstractNumId="166">
    <w:nsid w:val="3CA88ECF"/>
    <w:multiLevelType w:val="hybridMultilevel"/>
    <w:lvl w:ilvl="0">
      <w:lvlJc w:val="left"/>
      <w:lvlText w:val="%1"/>
      <w:numFmt w:val="decimal"/>
      <w:start w:val="10"/>
    </w:lvl>
  </w:abstractNum>
  <w:abstractNum w:abstractNumId="167">
    <w:nsid w:val="6EBE4208"/>
    <w:multiLevelType w:val="hybridMultilevel"/>
    <w:lvl w:ilvl="0">
      <w:lvlJc w:val="left"/>
      <w:lvlText w:val="%1"/>
      <w:numFmt w:val="decimal"/>
      <w:start w:val="12"/>
    </w:lvl>
  </w:abstractNum>
  <w:abstractNum w:abstractNumId="168">
    <w:nsid w:val="C058DF5"/>
    <w:multiLevelType w:val="hybridMultilevel"/>
    <w:lvl w:ilvl="0">
      <w:lvlJc w:val="left"/>
      <w:lvlText w:val="(%1)"/>
      <w:numFmt w:val="lowerRoman"/>
      <w:start w:val="1"/>
    </w:lvl>
  </w:abstractNum>
  <w:abstractNum w:abstractNumId="169">
    <w:nsid w:val="CBE5BE9"/>
    <w:multiLevelType w:val="hybridMultilevel"/>
    <w:lvl w:ilvl="0">
      <w:lvlJc w:val="left"/>
      <w:lvlText w:val="(%1)"/>
      <w:numFmt w:val="lowerRoman"/>
      <w:start w:val="3"/>
    </w:lvl>
  </w:abstractNum>
  <w:abstractNum w:abstractNumId="170">
    <w:nsid w:val="3102BBE2"/>
    <w:multiLevelType w:val="hybridMultilevel"/>
    <w:lvl w:ilvl="0">
      <w:lvlJc w:val="left"/>
      <w:lvlText w:val="(%1)"/>
      <w:numFmt w:val="lowerRoman"/>
      <w:start w:val="1"/>
    </w:lvl>
  </w:abstractNum>
  <w:abstractNum w:abstractNumId="171">
    <w:nsid w:val="26A02C5E"/>
    <w:multiLevelType w:val="hybridMultilevel"/>
    <w:lvl w:ilvl="0">
      <w:lvlJc w:val="left"/>
      <w:lvlText w:val="(%1)"/>
      <w:numFmt w:val="lowerRoman"/>
      <w:start w:val="3"/>
    </w:lvl>
  </w:abstractNum>
  <w:abstractNum w:abstractNumId="172">
    <w:nsid w:val="541C8153"/>
    <w:multiLevelType w:val="hybridMultilevel"/>
    <w:lvl w:ilvl="0">
      <w:lvlJc w:val="left"/>
      <w:lvlText w:val="%1."/>
      <w:numFmt w:val="decimal"/>
      <w:start w:val="3"/>
    </w:lvl>
  </w:abstractNum>
  <w:abstractNum w:abstractNumId="173">
    <w:nsid w:val="67906F60"/>
    <w:multiLevelType w:val="hybridMultilevel"/>
    <w:lvl w:ilvl="0">
      <w:lvlJc w:val="left"/>
      <w:lvlText w:val="(%1)"/>
      <w:numFmt w:val="lowerRoman"/>
      <w:start w:val="1"/>
    </w:lvl>
  </w:abstractNum>
  <w:abstractNum w:abstractNumId="174">
    <w:nsid w:val="10DB9DAA"/>
    <w:multiLevelType w:val="hybridMultilevel"/>
    <w:lvl w:ilvl="0">
      <w:lvlJc w:val="left"/>
      <w:lvlText w:val="(%1)"/>
      <w:numFmt w:val="lowerRoman"/>
      <w:start w:val="2"/>
    </w:lvl>
  </w:abstractNum>
  <w:abstractNum w:abstractNumId="175">
    <w:nsid w:val="697D2D2"/>
    <w:multiLevelType w:val="hybridMultilevel"/>
    <w:lvl w:ilvl="0">
      <w:lvlJc w:val="left"/>
      <w:lvlText w:val="(%1)"/>
      <w:numFmt w:val="lowerRoman"/>
      <w:start w:val="3"/>
    </w:lvl>
  </w:abstractNum>
  <w:abstractNum w:abstractNumId="176">
    <w:nsid w:val="6D68AB2"/>
    <w:multiLevelType w:val="hybridMultilevel"/>
    <w:lvl w:ilvl="0">
      <w:lvlJc w:val="left"/>
      <w:lvlText w:val="(%1)"/>
      <w:numFmt w:val="lowerRoman"/>
      <w:start w:val="1"/>
    </w:lvl>
  </w:abstractNum>
  <w:abstractNum w:abstractNumId="177">
    <w:nsid w:val="3A966CD0"/>
    <w:multiLevelType w:val="hybridMultilevel"/>
    <w:lvl w:ilvl="0">
      <w:lvlJc w:val="left"/>
      <w:lvlText w:val="(%1)"/>
      <w:numFmt w:val="lowerRoman"/>
      <w:start w:val="2"/>
    </w:lvl>
  </w:abstractNum>
  <w:abstractNum w:abstractNumId="178">
    <w:nsid w:val="63F37E85"/>
    <w:multiLevelType w:val="hybridMultilevel"/>
    <w:lvl w:ilvl="0">
      <w:lvlJc w:val="left"/>
      <w:lvlText w:val="%1."/>
      <w:numFmt w:val="decimal"/>
      <w:start w:val="4"/>
    </w:lvl>
  </w:abstractNum>
  <w:abstractNum w:abstractNumId="179">
    <w:nsid w:val="5895F5FA"/>
    <w:multiLevelType w:val="hybridMultilevel"/>
    <w:lvl w:ilvl="0">
      <w:lvlJc w:val="left"/>
      <w:lvlText w:val="%1."/>
      <w:numFmt w:val="decimal"/>
      <w:start w:val="5"/>
    </w:lvl>
    <w:lvl w:ilvl="1">
      <w:lvlJc w:val="left"/>
      <w:lvlText w:val="(%2)"/>
      <w:numFmt w:val="lowerLetter"/>
      <w:start w:val="1"/>
    </w:lvl>
  </w:abstractNum>
  <w:abstractNum w:abstractNumId="180">
    <w:nsid w:val="38A5D054"/>
    <w:multiLevelType w:val="hybridMultilevel"/>
    <w:lvl w:ilvl="0">
      <w:lvlJc w:val="left"/>
      <w:lvlText w:val="%1."/>
      <w:numFmt w:val="decimal"/>
      <w:start w:val="6"/>
    </w:lvl>
    <w:lvl w:ilvl="1">
      <w:lvlJc w:val="left"/>
      <w:lvlText w:val="(%2)"/>
      <w:numFmt w:val="lowerLetter"/>
      <w:start w:val="1"/>
    </w:lvl>
  </w:abstractNum>
  <w:abstractNum w:abstractNumId="181">
    <w:nsid w:val="F3F09D8"/>
    <w:multiLevelType w:val="hybridMultilevel"/>
    <w:lvl w:ilvl="0">
      <w:lvlJc w:val="left"/>
      <w:lvlText w:val="%1"/>
      <w:numFmt w:val="decimal"/>
      <w:start w:val="13"/>
    </w:lvl>
  </w:abstractNum>
  <w:abstractNum w:abstractNumId="182">
    <w:nsid w:val="4B793735"/>
    <w:multiLevelType w:val="hybridMultilevel"/>
    <w:lvl w:ilvl="0">
      <w:lvlJc w:val="left"/>
      <w:lvlText w:val="%1."/>
      <w:numFmt w:val="decimal"/>
      <w:start w:val="7"/>
    </w:lvl>
    <w:lvl w:ilvl="1">
      <w:lvlJc w:val="left"/>
      <w:lvlText w:val="(%2)"/>
      <w:numFmt w:val="lowerLetter"/>
      <w:start w:val="1"/>
    </w:lvl>
  </w:abstractNum>
  <w:abstractNum w:abstractNumId="183">
    <w:nsid w:val="4A10B4E8"/>
    <w:multiLevelType w:val="hybridMultilevel"/>
    <w:lvl w:ilvl="0">
      <w:lvlJc w:val="left"/>
      <w:lvlText w:val="(%1)"/>
      <w:numFmt w:val="lowerLetter"/>
      <w:start w:val="2"/>
    </w:lvl>
  </w:abstractNum>
  <w:abstractNum w:abstractNumId="184">
    <w:nsid w:val="43D3BCD4"/>
    <w:multiLevelType w:val="hybridMultilevel"/>
    <w:lvl w:ilvl="0">
      <w:lvlJc w:val="left"/>
      <w:lvlText w:val="%1."/>
      <w:numFmt w:val="decimal"/>
      <w:start w:val="8"/>
    </w:lvl>
  </w:abstractNum>
  <w:abstractNum w:abstractNumId="185">
    <w:nsid w:val="4C2A7166"/>
    <w:multiLevelType w:val="hybridMultilevel"/>
    <w:lvl w:ilvl="0">
      <w:lvlJc w:val="left"/>
      <w:lvlText w:val="(%1)"/>
      <w:numFmt w:val="lowerLetter"/>
      <w:start w:val="1"/>
    </w:lvl>
  </w:abstractNum>
  <w:abstractNum w:abstractNumId="186">
    <w:nsid w:val="2E534A82"/>
    <w:multiLevelType w:val="hybridMultilevel"/>
    <w:lvl w:ilvl="0">
      <w:lvlJc w:val="left"/>
      <w:lvlText w:val="%1"/>
      <w:numFmt w:val="decimal"/>
      <w:start w:val="15"/>
    </w:lvl>
  </w:abstractNum>
  <w:abstractNum w:abstractNumId="187">
    <w:nsid w:val="26F2D364"/>
    <w:multiLevelType w:val="hybridMultilevel"/>
    <w:lvl w:ilvl="0">
      <w:lvlJc w:val="left"/>
      <w:lvlText w:val="(%1)"/>
      <w:numFmt w:val="lowerLetter"/>
      <w:start w:val="3"/>
    </w:lvl>
  </w:abstractNum>
  <w:abstractNum w:abstractNumId="188">
    <w:nsid w:val="71C1AF98"/>
    <w:multiLevelType w:val="hybridMultilevel"/>
    <w:lvl w:ilvl="0">
      <w:lvlJc w:val="left"/>
      <w:lvlText w:val="%1"/>
      <w:numFmt w:val="decimal"/>
      <w:start w:val="1"/>
    </w:lvl>
    <w:lvl w:ilvl="1">
      <w:lvlJc w:val="left"/>
      <w:lvlText w:val="(%2)"/>
      <w:numFmt w:val="lowerLetter"/>
      <w:start w:val="11"/>
    </w:lvl>
  </w:abstractNum>
  <w:abstractNum w:abstractNumId="189">
    <w:nsid w:val="3D00B9D9"/>
    <w:multiLevelType w:val="hybridMultilevel"/>
    <w:lvl w:ilvl="0">
      <w:lvlJc w:val="left"/>
      <w:lvlText w:val="%1."/>
      <w:numFmt w:val="decimal"/>
      <w:start w:val="9"/>
    </w:lvl>
    <w:lvl w:ilvl="1">
      <w:lvlJc w:val="left"/>
      <w:lvlText w:val="(%2)"/>
      <w:numFmt w:val="lowerLetter"/>
      <w:start w:val="1"/>
    </w:lvl>
  </w:abstractNum>
  <w:abstractNum w:abstractNumId="190">
    <w:nsid w:val="15BCABA8"/>
    <w:multiLevelType w:val="hybridMultilevel"/>
    <w:lvl w:ilvl="0">
      <w:lvlJc w:val="left"/>
      <w:lvlText w:val="%1"/>
      <w:numFmt w:val="decimal"/>
      <w:start w:val="16"/>
    </w:lvl>
  </w:abstractNum>
  <w:abstractNum w:abstractNumId="191">
    <w:nsid w:val="4E0B9A87"/>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192">
    <w:nsid w:val="434BAE75"/>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193">
    <w:nsid w:val="4F38F265"/>
    <w:multiLevelType w:val="hybridMultilevel"/>
    <w:lvl w:ilvl="0">
      <w:lvlJc w:val="left"/>
      <w:lvlText w:val="%1"/>
      <w:numFmt w:val="lowerRoman"/>
      <w:start w:val="1"/>
    </w:lvl>
    <w:lvl w:ilvl="1">
      <w:lvlJc w:val="left"/>
      <w:lvlText w:val="(%2)"/>
      <w:numFmt w:val="upperLetter"/>
      <w:start w:val="4"/>
    </w:lvl>
  </w:abstractNum>
  <w:abstractNum w:abstractNumId="194">
    <w:nsid w:val="4C502870"/>
    <w:multiLevelType w:val="hybridMultilevel"/>
    <w:lvl w:ilvl="0">
      <w:lvlJc w:val="left"/>
      <w:lvlText w:val="(%1)"/>
      <w:numFmt w:val="lowerRoman"/>
      <w:start w:val="2"/>
    </w:lvl>
    <w:lvl w:ilvl="1">
      <w:lvlJc w:val="left"/>
      <w:lvlText w:val="(%2)"/>
      <w:numFmt w:val="upperLetter"/>
      <w:start w:val="2"/>
    </w:lvl>
  </w:abstractNum>
  <w:abstractNum w:abstractNumId="195">
    <w:nsid w:val="1DE8725A"/>
    <w:multiLevelType w:val="hybridMultilevel"/>
    <w:lvl w:ilvl="0">
      <w:lvlJc w:val="left"/>
      <w:lvlText w:val="%1"/>
      <w:numFmt w:val="lowerRoman"/>
      <w:start w:val="1"/>
    </w:lvl>
    <w:lvl w:ilvl="1">
      <w:lvlJc w:val="left"/>
      <w:lvlText w:val="(%2)"/>
      <w:numFmt w:val="upperLetter"/>
      <w:start w:val="1"/>
    </w:lvl>
  </w:abstractNum>
  <w:abstractNum w:abstractNumId="196">
    <w:nsid w:val="6A37288A"/>
    <w:multiLevelType w:val="hybridMultilevel"/>
    <w:lvl w:ilvl="0">
      <w:lvlJc w:val="left"/>
      <w:lvlText w:val="%1"/>
      <w:numFmt w:val="lowerLetter"/>
      <w:start w:val="1"/>
    </w:lvl>
    <w:lvl w:ilvl="1">
      <w:lvlJc w:val="left"/>
      <w:lvlText w:val="(%2)"/>
      <w:numFmt w:val="lowerLetter"/>
      <w:start w:val="61"/>
    </w:lvl>
  </w:abstractNum>
  <w:abstractNum w:abstractNumId="197">
    <w:nsid w:val="8F8B73F"/>
    <w:multiLevelType w:val="hybridMultilevel"/>
    <w:lvl w:ilvl="0">
      <w:lvlJc w:val="left"/>
      <w:lvlText w:val="(%1)"/>
      <w:numFmt w:val="lowerLetter"/>
      <w:start w:val="6"/>
    </w:lvl>
    <w:lvl w:ilvl="1">
      <w:lvlJc w:val="left"/>
      <w:lvlText w:val="(%2)"/>
      <w:numFmt w:val="lowerLetter"/>
      <w:start w:val="9"/>
    </w:lvl>
  </w:abstractNum>
  <w:abstractNum w:abstractNumId="198">
    <w:nsid w:val="CA6B462"/>
    <w:multiLevelType w:val="hybridMultilevel"/>
    <w:lvl w:ilvl="0">
      <w:lvlJc w:val="left"/>
      <w:lvlText w:val="%1"/>
      <w:numFmt w:val="lowerLetter"/>
      <w:start w:val="1"/>
    </w:lvl>
    <w:lvl w:ilvl="1">
      <w:lvlJc w:val="left"/>
      <w:lvlText w:val="(%2)"/>
      <w:numFmt w:val="lowerRoman"/>
      <w:start w:val="2"/>
    </w:lvl>
  </w:abstractNum>
  <w:abstractNum w:abstractNumId="199">
    <w:nsid w:val="763CB680"/>
    <w:multiLevelType w:val="hybridMultilevel"/>
    <w:lvl w:ilvl="0">
      <w:lvlJc w:val="left"/>
      <w:lvlText w:val="(%1)"/>
      <w:numFmt w:val="lowerLetter"/>
      <w:start w:val="7"/>
    </w:lvl>
    <w:lvl w:ilvl="1">
      <w:lvlJc w:val="left"/>
      <w:lvlText w:val="%2"/>
      <w:numFmt w:val="lowerRoman"/>
      <w:start w:val="1"/>
    </w:lvl>
  </w:abstractNum>
  <w:abstractNum w:abstractNumId="200">
    <w:nsid w:val="15B71329"/>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lvl w:ilvl="3">
      <w:lvlJc w:val="left"/>
      <w:lvlText w:val="(%4)"/>
      <w:numFmt w:val="lowerLetter"/>
      <w:start w:val="24"/>
    </w:lvl>
  </w:abstractNum>
  <w:abstractNum w:abstractNumId="201">
    <w:nsid w:val="3DA97044"/>
    <w:multiLevelType w:val="hybridMultilevel"/>
    <w:lvl w:ilvl="0">
      <w:lvlJc w:val="left"/>
      <w:lvlText w:val="%1"/>
      <w:numFmt w:val="decimal"/>
      <w:start w:val="17"/>
    </w:lvl>
  </w:abstractNum>
  <w:abstractNum w:abstractNumId="202">
    <w:nsid w:val="1CDCE2DE"/>
    <w:multiLevelType w:val="hybridMultilevel"/>
    <w:lvl w:ilvl="0">
      <w:lvlJc w:val="left"/>
      <w:lvlText w:val="%1"/>
      <w:numFmt w:val="decimal"/>
      <w:start w:val="20"/>
    </w:lvl>
  </w:abstractNum>
  <w:abstractNum w:abstractNumId="203">
    <w:nsid w:val="69D3947C"/>
    <w:multiLevelType w:val="hybridMultilevel"/>
    <w:lvl w:ilvl="0">
      <w:lvlJc w:val="left"/>
      <w:lvlText w:val="%1"/>
      <w:numFmt w:val="lowerLetter"/>
      <w:start w:val="1"/>
    </w:lvl>
    <w:lvl w:ilvl="1">
      <w:lvlJc w:val="left"/>
      <w:lvlText w:val="(%2)"/>
      <w:numFmt w:val="upperLetter"/>
      <w:start w:val="4"/>
    </w:lvl>
  </w:abstractNum>
  <w:abstractNum w:abstractNumId="204">
    <w:nsid w:val="2539DFA5"/>
    <w:multiLevelType w:val="hybridMultilevel"/>
    <w:lvl w:ilvl="0">
      <w:lvlJc w:val="left"/>
      <w:lvlText w:val="(%1)"/>
      <w:numFmt w:val="lowerLetter"/>
      <w:start w:val="35"/>
    </w:lvl>
    <w:lvl w:ilvl="1">
      <w:lvlJc w:val="left"/>
      <w:lvlText w:val="%2"/>
      <w:numFmt w:val="upperLetter"/>
      <w:start w:val="1"/>
    </w:lvl>
  </w:abstractNum>
  <w:abstractNum w:abstractNumId="205">
    <w:nsid w:val="2DB88089"/>
    <w:multiLevelType w:val="hybridMultilevel"/>
    <w:lvl w:ilvl="0">
      <w:lvlJc w:val="left"/>
      <w:lvlText w:val="%1"/>
      <w:numFmt w:val="decimal"/>
      <w:start w:val="21"/>
    </w:lvl>
  </w:abstractNum>
  <w:abstractNum w:abstractNumId="206">
    <w:nsid w:val="706B674E"/>
    <w:multiLevelType w:val="hybridMultilevel"/>
    <w:lvl w:ilvl="0">
      <w:lvlJc w:val="left"/>
      <w:lvlText w:val="(%1)"/>
      <w:numFmt w:val="lowerLetter"/>
      <w:start w:val="10"/>
    </w:lvl>
    <w:lvl w:ilvl="1">
      <w:lvlJc w:val="left"/>
      <w:lvlText w:val="(%2)"/>
      <w:numFmt w:val="lowerRoman"/>
      <w:start w:val="1"/>
    </w:lvl>
  </w:abstractNum>
  <w:abstractNum w:abstractNumId="207">
    <w:nsid w:val="2C106A57"/>
    <w:multiLevelType w:val="hybridMultilevel"/>
    <w:lvl w:ilvl="0">
      <w:lvlJc w:val="left"/>
      <w:lvlText w:val="%1"/>
      <w:numFmt w:val="lowerLetter"/>
      <w:start w:val="1"/>
    </w:lvl>
    <w:lvl w:ilvl="1">
      <w:lvlJc w:val="left"/>
      <w:lvlText w:val="(%2)"/>
      <w:numFmt w:val="lowerRoman"/>
      <w:start w:val="3"/>
    </w:lvl>
  </w:abstractNum>
  <w:abstractNum w:abstractNumId="208">
    <w:nsid w:val="684EED59"/>
    <w:multiLevelType w:val="hybridMultilevel"/>
    <w:lvl w:ilvl="0">
      <w:lvlJc w:val="left"/>
      <w:lvlText w:val="(%1)"/>
      <w:numFmt w:val="lowerLetter"/>
      <w:start w:val="11"/>
    </w:lvl>
    <w:lvl w:ilvl="1">
      <w:lvlJc w:val="left"/>
      <w:lvlText w:val="%2"/>
      <w:numFmt w:val="lowerRoman"/>
      <w:start w:val="1"/>
    </w:lvl>
  </w:abstractNum>
  <w:abstractNum w:abstractNumId="209">
    <w:nsid w:val="545EE5D3"/>
    <w:multiLevelType w:val="hybridMultilevel"/>
    <w:lvl w:ilvl="0">
      <w:lvlJc w:val="left"/>
      <w:lvlText w:val="(%1)"/>
      <w:numFmt w:val="lowerLetter"/>
      <w:start w:val="13"/>
    </w:lvl>
  </w:abstractNum>
  <w:abstractNum w:abstractNumId="210">
    <w:nsid w:val="4A66051"/>
    <w:multiLevelType w:val="hybridMultilevel"/>
    <w:lvl w:ilvl="0">
      <w:lvlJc w:val="left"/>
      <w:lvlText w:val="(%1)"/>
      <w:numFmt w:val="lowerLetter"/>
      <w:start w:val="14"/>
    </w:lvl>
  </w:abstractNum>
  <w:abstractNum w:abstractNumId="211">
    <w:nsid w:val="20F4BDAD"/>
    <w:multiLevelType w:val="hybridMultilevel"/>
    <w:lvl w:ilvl="0">
      <w:lvlJc w:val="left"/>
      <w:lvlText w:val="(%1)"/>
      <w:numFmt w:val="lowerLetter"/>
      <w:start w:val="18"/>
    </w:lvl>
    <w:lvl w:ilvl="1">
      <w:lvlJc w:val="left"/>
      <w:lvlText w:val="(%2)"/>
      <w:numFmt w:val="lowerRoman"/>
      <w:start w:val="1"/>
    </w:lvl>
  </w:abstractNum>
  <w:abstractNum w:abstractNumId="212">
    <w:nsid w:val="639DEFAC"/>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213">
    <w:nsid w:val="501F9786"/>
    <w:multiLevelType w:val="hybridMultilevel"/>
    <w:lvl w:ilvl="0">
      <w:lvlJc w:val="left"/>
      <w:lvlText w:val="%1"/>
      <w:numFmt w:val="decimal"/>
      <w:start w:val="23"/>
    </w:lvl>
  </w:abstractNum>
  <w:abstractNum w:abstractNumId="214">
    <w:nsid w:val="6B0572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15">
    <w:nsid w:val="2771AC8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16">
    <w:nsid w:val="1C4A08EC"/>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217">
    <w:nsid w:val="1958BD17"/>
    <w:multiLevelType w:val="hybridMultilevel"/>
    <w:lvl w:ilvl="0">
      <w:lvlJc w:val="left"/>
      <w:lvlText w:val="%1"/>
      <w:numFmt w:val="decimal"/>
      <w:start w:val="25"/>
    </w:lvl>
  </w:abstractNum>
  <w:abstractNum w:abstractNumId="218">
    <w:nsid w:val="4E647FE4"/>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2026-05-05T15:35:35Z</dcterms:created>
  <dcterms:modified xsi:type="dcterms:W3CDTF">2026-05-05T15:35:35Z</dcterms:modified>
</cp:coreProperties>
</file>