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right"/>
        <w:ind w:right="55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83" w:lineRule="exact"/>
        <w:rPr>
          <w:sz w:val="24"/>
          <w:szCs w:val="24"/>
          <w:color w:val="auto"/>
        </w:rPr>
      </w:pPr>
    </w:p>
    <w:p>
      <w:pPr>
        <w:jc w:val="right"/>
        <w:ind w:righ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59" w:lineRule="exact"/>
        <w:rPr>
          <w:sz w:val="24"/>
          <w:szCs w:val="24"/>
          <w:color w:val="auto"/>
        </w:rPr>
      </w:pPr>
    </w:p>
    <w:p>
      <w:pPr>
        <w:sectPr>
          <w:pgSz w:w="11900" w:h="16838" w:orient="portrait"/>
          <w:cols w:equalWidth="0" w:num="2">
            <w:col w:w="4240" w:space="460"/>
            <w:col w:w="65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526"/>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AMKOR TECHNOLOGY, INC.</w:t>
            </w: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3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spacing w:after="0"/>
              <w:rPr>
                <w:sz w:val="24"/>
                <w:szCs w:val="24"/>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46"/>
        </w:trPr>
        <w:tc>
          <w:tcPr>
            <w:tcW w:w="3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i w:val="1"/>
                <w:iCs w:val="1"/>
                <w:color w:val="auto"/>
              </w:rPr>
              <w:t>(State of incorporation)</w:t>
            </w:r>
          </w:p>
        </w:tc>
        <w:tc>
          <w:tcPr>
            <w:tcW w:w="3280" w:type="dxa"/>
            <w:vAlign w:val="bottom"/>
          </w:tcPr>
          <w:p>
            <w:pPr>
              <w:spacing w:after="0"/>
              <w:rPr>
                <w:sz w:val="12"/>
                <w:szCs w:val="12"/>
                <w:color w:val="auto"/>
              </w:rPr>
            </w:pPr>
          </w:p>
        </w:tc>
        <w:tc>
          <w:tcPr>
            <w:tcW w:w="4460" w:type="dxa"/>
            <w:vAlign w:val="bottom"/>
          </w:tcPr>
          <w:p>
            <w:pPr>
              <w:jc w:val="center"/>
              <w:ind w:left="777"/>
              <w:spacing w:after="0" w:line="146"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4"/>
                <w:szCs w:val="14"/>
                <w:i w:val="1"/>
                <w:iCs w:val="1"/>
                <w:color w:val="auto"/>
              </w:rPr>
              <w:t>Identification Number)</w:t>
            </w:r>
          </w:p>
        </w:tc>
      </w:tr>
      <w:tr>
        <w:trPr>
          <w:trHeight w:val="287"/>
        </w:trPr>
        <w:tc>
          <w:tcPr>
            <w:tcW w:w="3500" w:type="dxa"/>
            <w:vAlign w:val="bottom"/>
          </w:tcPr>
          <w:p>
            <w:pPr>
              <w:spacing w:after="0"/>
              <w:rPr>
                <w:sz w:val="24"/>
                <w:szCs w:val="24"/>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3500" w:type="dxa"/>
            <w:vAlign w:val="bottom"/>
          </w:tcPr>
          <w:p>
            <w:pPr>
              <w:spacing w:after="0"/>
              <w:rPr>
                <w:sz w:val="18"/>
                <w:szCs w:val="18"/>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34"/>
        </w:trPr>
        <w:tc>
          <w:tcPr>
            <w:tcW w:w="3500" w:type="dxa"/>
            <w:vAlign w:val="bottom"/>
          </w:tcPr>
          <w:p>
            <w:pPr>
              <w:spacing w:after="0"/>
              <w:rPr>
                <w:sz w:val="24"/>
                <w:szCs w:val="24"/>
                <w:color w:val="auto"/>
              </w:rPr>
            </w:pPr>
          </w:p>
        </w:tc>
        <w:tc>
          <w:tcPr>
            <w:tcW w:w="3280" w:type="dxa"/>
            <w:vAlign w:val="bottom"/>
          </w:tcPr>
          <w:p>
            <w:pPr>
              <w:jc w:val="center"/>
              <w:ind w:left="878"/>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3500" w:type="dxa"/>
            <w:vAlign w:val="bottom"/>
          </w:tcPr>
          <w:p>
            <w:pPr>
              <w:spacing w:after="0"/>
              <w:rPr>
                <w:sz w:val="19"/>
                <w:szCs w:val="19"/>
                <w:color w:val="auto"/>
              </w:rPr>
            </w:pPr>
          </w:p>
        </w:tc>
        <w:tc>
          <w:tcPr>
            <w:tcW w:w="7740" w:type="dxa"/>
            <w:vAlign w:val="bottom"/>
            <w:gridSpan w:val="2"/>
          </w:tcPr>
          <w:p>
            <w:pPr>
              <w:jc w:val="center"/>
              <w:ind w:right="3397"/>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30"/>
        </w:trPr>
        <w:tc>
          <w:tcPr>
            <w:tcW w:w="3500" w:type="dxa"/>
            <w:vAlign w:val="bottom"/>
          </w:tcPr>
          <w:p>
            <w:pPr>
              <w:spacing w:after="0"/>
              <w:rPr>
                <w:sz w:val="19"/>
                <w:szCs w:val="19"/>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350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2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00" w:type="dxa"/>
            <w:vAlign w:val="bottom"/>
          </w:tcPr>
          <w:p>
            <w:pPr>
              <w:jc w:val="center"/>
              <w:ind w:left="248"/>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280" w:type="dxa"/>
            <w:vAlign w:val="bottom"/>
          </w:tcPr>
          <w:p>
            <w:pPr>
              <w:jc w:val="center"/>
              <w:ind w:right="298"/>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7"/>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440" w:right="339" w:bottom="1440" w:gutter="0" w:footer="0" w:header="0"/>
          <w:type w:val="continuous"/>
        </w:sectPr>
      </w:pPr>
    </w:p>
    <w:p>
      <w:pPr>
        <w:spacing w:after="0" w:line="53"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2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103"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right="19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April 27, 2023 was 245,640,706.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2023</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74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Three Months Ended March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 Three Months Ended March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March 31, 2023 and December 31,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 Three Months Ended March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 - Three Months Ended March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federal securities laws, including, but not limited to, statements regarding (1) the amount, timing and focus of our expected capital investments in 2023, (2) our ability to fund our operating activities and financial requirements for the next twelve months, (3) the effect of changes in revenue levels and capacity utilization on our gross margin, (4) the impact of the Covid-19 pandemic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schedule for and benefits from our new manufacturing facility under construction in Bac Ninh, Vietnam (the “Vietnam Facility”) and (22)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2023</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2022 (the “2022 Form 10-K”) and from time to time in our other reports filed with or furnished to the Securities and Exchange Commission (“SEC”). You should carefully consider the trends, risks and uncertainties described in this Form 10-Q, the 2022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84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684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84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684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1"/>
        </w:trPr>
        <w:tc>
          <w:tcPr>
            <w:tcW w:w="8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8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8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1,471,539</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1,596,816</w:t>
            </w:r>
          </w:p>
        </w:tc>
      </w:tr>
      <w:tr>
        <w:trPr>
          <w:trHeight w:val="230"/>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1,277,118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1,271,486</w:t>
            </w:r>
          </w:p>
        </w:tc>
      </w:tr>
      <w:tr>
        <w:trPr>
          <w:trHeight w:val="223"/>
        </w:trPr>
        <w:tc>
          <w:tcPr>
            <w:tcW w:w="7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325,330</w:t>
            </w:r>
          </w:p>
        </w:tc>
      </w:tr>
      <w:tr>
        <w:trPr>
          <w:trHeight w:val="22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76,959</w:t>
            </w: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w:t>
            </w:r>
          </w:p>
        </w:tc>
      </w:tr>
      <w:tr>
        <w:trPr>
          <w:trHeight w:val="223"/>
        </w:trPr>
        <w:tc>
          <w:tcPr>
            <w:tcW w:w="77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115,322</w:t>
            </w:r>
          </w:p>
        </w:tc>
      </w:tr>
      <w:tr>
        <w:trPr>
          <w:trHeight w:val="223"/>
        </w:trPr>
        <w:tc>
          <w:tcPr>
            <w:tcW w:w="7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210,008</w:t>
            </w: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w:t>
            </w: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23"/>
        </w:trPr>
        <w:tc>
          <w:tcPr>
            <w:tcW w:w="77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w:t>
            </w:r>
          </w:p>
        </w:tc>
      </w:tr>
      <w:tr>
        <w:trPr>
          <w:trHeight w:val="223"/>
        </w:trPr>
        <w:tc>
          <w:tcPr>
            <w:tcW w:w="7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200,956</w:t>
            </w:r>
          </w:p>
        </w:tc>
      </w:tr>
      <w:tr>
        <w:trPr>
          <w:trHeight w:val="230"/>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29,728</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r>
      <w:tr>
        <w:trPr>
          <w:trHeight w:val="230"/>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170,663</w:t>
            </w:r>
          </w:p>
        </w:tc>
      </w:tr>
      <w:tr>
        <w:trPr>
          <w:trHeight w:val="20"/>
        </w:trPr>
        <w:tc>
          <w:tcPr>
            <w:tcW w:w="77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68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6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77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6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245,330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244,403</w:t>
            </w:r>
          </w:p>
        </w:tc>
      </w:tr>
      <w:tr>
        <w:trPr>
          <w:trHeight w:val="229"/>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6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460" w:type="dxa"/>
            <w:vAlign w:val="bottom"/>
            <w:gridSpan w:val="5"/>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r>
      <w:tr>
        <w:trPr>
          <w:trHeight w:val="24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net unrealized gains (losses) on available-for-sale debt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2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23"/>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w:t>
            </w:r>
          </w:p>
        </w:tc>
      </w:tr>
      <w:tr>
        <w:trPr>
          <w:trHeight w:val="22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161,746</w:t>
            </w:r>
          </w:p>
        </w:tc>
      </w:tr>
      <w:tr>
        <w:trPr>
          <w:trHeight w:val="229"/>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8"/>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161,181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8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56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959,072</w:t>
            </w: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$342,872 and $283,641 in 2023 and 2022, respectively)</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281,964</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1,165,240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1,365,504</w:t>
            </w: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629,576</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3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65,123</w:t>
            </w:r>
          </w:p>
        </w:tc>
        <w:tc>
          <w:tcPr>
            <w:tcW w:w="0" w:type="dxa"/>
            <w:vAlign w:val="bottom"/>
          </w:tcPr>
          <w:p>
            <w:pPr>
              <w:spacing w:after="0"/>
              <w:rPr>
                <w:sz w:val="1"/>
                <w:szCs w:val="1"/>
                <w:color w:val="auto"/>
              </w:rPr>
            </w:pPr>
          </w:p>
        </w:tc>
      </w:tr>
      <w:tr>
        <w:trPr>
          <w:trHeight w:val="219"/>
        </w:trPr>
        <w:tc>
          <w:tcPr>
            <w:tcW w:w="7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3,033,603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3,301,239</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3,185,278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3,135,614</w:t>
            </w: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171,163</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21,517</w:t>
            </w: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188,890</w:t>
            </w:r>
          </w:p>
        </w:tc>
        <w:tc>
          <w:tcPr>
            <w:tcW w:w="0" w:type="dxa"/>
            <w:vAlign w:val="bottom"/>
          </w:tcPr>
          <w:p>
            <w:pPr>
              <w:spacing w:after="0"/>
              <w:rPr>
                <w:sz w:val="1"/>
                <w:szCs w:val="1"/>
                <w:color w:val="auto"/>
              </w:rPr>
            </w:pPr>
          </w:p>
        </w:tc>
      </w:tr>
      <w:tr>
        <w:trPr>
          <w:trHeight w:val="227"/>
        </w:trPr>
        <w:tc>
          <w:tcPr>
            <w:tcW w:w="7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6,581,791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6,821,757</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shd w:val="clear" w:color="auto" w:fill="CCEEFF"/>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143,813</w:t>
            </w: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666,615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899,164</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146,602</w:t>
            </w: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liability</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70,991</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361,174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401,841</w:t>
            </w:r>
          </w:p>
        </w:tc>
        <w:tc>
          <w:tcPr>
            <w:tcW w:w="0" w:type="dxa"/>
            <w:vAlign w:val="bottom"/>
          </w:tcPr>
          <w:p>
            <w:pPr>
              <w:spacing w:after="0"/>
              <w:rPr>
                <w:sz w:val="1"/>
                <w:szCs w:val="1"/>
                <w:color w:val="auto"/>
              </w:rPr>
            </w:pPr>
          </w:p>
        </w:tc>
      </w:tr>
      <w:tr>
        <w:trPr>
          <w:trHeight w:val="219"/>
        </w:trPr>
        <w:tc>
          <w:tcPr>
            <w:tcW w:w="7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1,457,549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1,662,411</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1,059,997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1,088,521</w:t>
            </w: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93,540</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75,745</w:t>
            </w:r>
          </w:p>
        </w:tc>
        <w:tc>
          <w:tcPr>
            <w:tcW w:w="0" w:type="dxa"/>
            <w:vAlign w:val="bottom"/>
          </w:tcPr>
          <w:p>
            <w:pPr>
              <w:spacing w:after="0"/>
              <w:rPr>
                <w:sz w:val="1"/>
                <w:szCs w:val="1"/>
                <w:color w:val="auto"/>
              </w:rPr>
            </w:pPr>
          </w:p>
        </w:tc>
      </w:tr>
      <w:tr>
        <w:trPr>
          <w:trHeight w:val="22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201,839</w:t>
            </w: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2,854,628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3,122,056</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3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756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Common stock, $0.001 par value, 500,000 shares authorized; 291,814 and 291,249 shares issued; and</w:t>
            </w:r>
          </w:p>
        </w:tc>
        <w:tc>
          <w:tcPr>
            <w:tcW w:w="3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245,545 and 245,091 shares outstanding in 2023 and 2022, respectively</w:t>
            </w:r>
          </w:p>
        </w:tc>
        <w:tc>
          <w:tcPr>
            <w:tcW w:w="30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1,996,344</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1,901,569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1,874,644</w:t>
            </w:r>
          </w:p>
        </w:tc>
        <w:tc>
          <w:tcPr>
            <w:tcW w:w="0" w:type="dxa"/>
            <w:vAlign w:val="bottom"/>
          </w:tcPr>
          <w:p>
            <w:pPr>
              <w:spacing w:after="0"/>
              <w:rPr>
                <w:sz w:val="1"/>
                <w:szCs w:val="1"/>
                <w:color w:val="auto"/>
              </w:rPr>
            </w:pPr>
          </w:p>
        </w:tc>
      </w:tr>
      <w:tr>
        <w:trPr>
          <w:trHeight w:val="226"/>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16,699</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46,269 and 46,158 shares in 2023 and 2022, respectively</w:t>
            </w:r>
          </w:p>
        </w:tc>
        <w:tc>
          <w:tcPr>
            <w:tcW w:w="3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(222,049)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(219,226)</w:t>
            </w:r>
          </w:p>
        </w:tc>
        <w:tc>
          <w:tcPr>
            <w:tcW w:w="0" w:type="dxa"/>
            <w:vAlign w:val="bottom"/>
          </w:tcPr>
          <w:p>
            <w:pPr>
              <w:spacing w:after="0"/>
              <w:rPr>
                <w:sz w:val="1"/>
                <w:szCs w:val="1"/>
                <w:color w:val="auto"/>
              </w:rPr>
            </w:pPr>
          </w:p>
        </w:tc>
      </w:tr>
      <w:tr>
        <w:trPr>
          <w:trHeight w:val="219"/>
        </w:trPr>
        <w:tc>
          <w:tcPr>
            <w:tcW w:w="75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3,696,477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3,668,752</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3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30,686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30,949</w:t>
            </w: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3,727,163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3,699,701</w:t>
            </w:r>
          </w:p>
        </w:tc>
        <w:tc>
          <w:tcPr>
            <w:tcW w:w="0" w:type="dxa"/>
            <w:vAlign w:val="bottom"/>
          </w:tcPr>
          <w:p>
            <w:pPr>
              <w:spacing w:after="0"/>
              <w:rPr>
                <w:sz w:val="1"/>
                <w:szCs w:val="1"/>
                <w:color w:val="auto"/>
              </w:rPr>
            </w:pPr>
          </w:p>
        </w:tc>
      </w:tr>
      <w:tr>
        <w:trPr>
          <w:trHeight w:val="252"/>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6,581,791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6,821,757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5"/>
          </w:tcPr>
          <w:p>
            <w:pPr>
              <w:jc w:val="right"/>
              <w:ind w:right="22"/>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60" w:type="dxa"/>
            <w:vAlign w:val="bottom"/>
            <w:gridSpan w:val="6"/>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5"/>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line="20" w:lineRule="exact"/>
              <w:rPr>
                <w:sz w:val="1"/>
                <w:szCs w:val="1"/>
                <w:color w:val="auto"/>
              </w:rPr>
            </w:pPr>
          </w:p>
        </w:tc>
        <w:tc>
          <w:tcPr>
            <w:tcW w:w="780" w:type="dxa"/>
            <w:vAlign w:val="bottom"/>
            <w:gridSpan w:val="4"/>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5"/>
            <w:vMerge w:val="continue"/>
          </w:tcPr>
          <w:p>
            <w:pPr>
              <w:spacing w:after="0" w:line="20" w:lineRule="exact"/>
              <w:rPr>
                <w:sz w:val="1"/>
                <w:szCs w:val="1"/>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80" w:type="dxa"/>
            <w:vAlign w:val="bottom"/>
            <w:tcBorders>
              <w:bottom w:val="single" w:sz="8" w:color="auto"/>
            </w:tcBorders>
            <w:gridSpan w:val="5"/>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291,249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1,996,344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1,874,644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(219,226)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3,668,752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3,699,701</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45,351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45,224</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3,708</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7"/>
              </w:rPr>
              <w:t>($0.075 per common share)</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(18,426)</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2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200"/>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291,814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2,001,575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1,901,569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(222,049)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3,696,477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30,686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3,727,163</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290,466</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290</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1,977,134</w:t>
            </w:r>
          </w:p>
        </w:tc>
        <w:tc>
          <w:tcPr>
            <w:tcW w:w="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1,163,939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19,978</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(219,065)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2,942,276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30,270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2,972,546</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170,663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170,663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171,228</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(9,482)</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2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1,482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($0.05 per common share)</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(12,232)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(12,232)</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2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200"/>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290,687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1,982,113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1,322,370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(219,147)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3,096,123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30,699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3,126,822</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148,192</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(164,303)</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175,746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166,178</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foreign exchange forward contracts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foreign exchange forward contracts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(125,693)</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(155,704)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(240,009)</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revolving credit facilities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(35,973)</w:t>
            </w: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dividends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109,236</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27,610</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962,406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831,521</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859,131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268,146</w:t>
            </w:r>
          </w:p>
        </w:tc>
        <w:tc>
          <w:tcPr>
            <w:tcW w:w="0" w:type="dxa"/>
            <w:vAlign w:val="bottom"/>
          </w:tcPr>
          <w:p>
            <w:pPr>
              <w:spacing w:after="0"/>
              <w:rPr>
                <w:sz w:val="1"/>
                <w:szCs w:val="1"/>
                <w:color w:val="auto"/>
              </w:rPr>
            </w:pPr>
          </w:p>
        </w:tc>
      </w:tr>
      <w:tr>
        <w:trPr>
          <w:trHeight w:val="230"/>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finance lease liabilities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operating lease liabilities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March 31, 2023, and for the three months ended March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2022, contained in this Form 10-Q (the “Consolidated Financial Statements”) are unaudited, pursuant to the rules and regulations of the SEC. The December 31, 2022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2022 Form 10-K. The results of operations for the three months ended March 31, 2023 are not necessarily indicative of the results to be expected for the full year ending December 31, 2023.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the Consolidated Balance Sheets contained in this Form 10-Q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March 31, 2023 and December 31, 2022 were $248.9 million and $301.7 million, respectively.</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Contract liabilities were $157.1 million and $170.6 million as of March 31, 2023 and December 31, 2022, respectively. As of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and December 31, 2022, the short-term portions of the liabilities were $80.6 million and $81.5 million, respectively. The remainder of the March 31, 2023 contract liability balance is expected to be recognized in revenue over the next 1-5 years. Revenue recognized during the three months ended March 31, 2023 and 2022 that was included in the contract liabilities balance at the beginning of the period was $21.5 million and $28.9 million, respectively.</w:t>
      </w:r>
    </w:p>
    <w:p>
      <w:pPr>
        <w:spacing w:after="0" w:line="3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Net Sales by Product Group and End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sales by product group.</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1,067,377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1,156,508</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404,162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440,308</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1,471,539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1,596,816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4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 (smartphones, tablets)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Other Income and Expense</w:t>
            </w: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4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(10,433)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retirement</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$10.9 million for the three months ended March 31, 2023 reflects income taxes, foreign withholding taxes and minimum taxes.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increased from $33.3 million as of December 31, 2022 to $33.9 million as of March 31, 2023.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2012-2022.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4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37"/>
        </w:trPr>
        <w:tc>
          <w:tcPr>
            <w:tcW w:w="7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4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1"/>
                <w:szCs w:val="11"/>
                <w:color w:val="auto"/>
              </w:rPr>
            </w:pPr>
          </w:p>
        </w:tc>
      </w:tr>
      <w:tr>
        <w:trPr>
          <w:trHeight w:val="195"/>
        </w:trPr>
        <w:tc>
          <w:tcPr>
            <w:tcW w:w="7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1020" w:type="dxa"/>
            <w:vAlign w:val="bottom"/>
          </w:tcPr>
          <w:p>
            <w:pPr>
              <w:spacing w:after="0"/>
              <w:rPr>
                <w:sz w:val="16"/>
                <w:szCs w:val="16"/>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245,330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247,087</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anti-dilutive shares for the three months ended March 31, 2023 and 2022.</w:t>
      </w:r>
    </w:p>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 w:hanging="242"/>
        <w:spacing w:after="0" w:line="237" w:lineRule="auto"/>
        <w:rPr>
          <w:sz w:val="20"/>
          <w:szCs w:val="20"/>
          <w:color w:val="auto"/>
        </w:rPr>
      </w:pPr>
      <w:r>
        <w:rPr>
          <w:rFonts w:ascii="Times New Roman" w:cs="Times New Roman" w:eastAsia="Times New Roman" w:hAnsi="Times New Roman"/>
          <w:sz w:val="18"/>
          <w:szCs w:val="18"/>
          <w:color w:val="auto"/>
        </w:rPr>
        <w:t>Accumulated other comprehensive income (loss) at December 31, 2022</w:t>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7" w:lineRule="exact"/>
        <w:rPr>
          <w:sz w:val="20"/>
          <w:szCs w:val="20"/>
          <w:color w:val="auto"/>
        </w:rPr>
      </w:pPr>
    </w:p>
    <w:p>
      <w:pPr>
        <w:ind w:left="480" w:right="120" w:hanging="242"/>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7" w:lineRule="exact"/>
        <w:rPr>
          <w:sz w:val="20"/>
          <w:szCs w:val="20"/>
          <w:color w:val="auto"/>
        </w:rPr>
      </w:pPr>
    </w:p>
    <w:p>
      <w:pPr>
        <w:ind w:left="260" w:right="260" w:hanging="242"/>
        <w:spacing w:after="0" w:line="234" w:lineRule="auto"/>
        <w:rPr>
          <w:sz w:val="20"/>
          <w:szCs w:val="20"/>
          <w:color w:val="auto"/>
        </w:rPr>
      </w:pPr>
      <w:r>
        <w:rPr>
          <w:rFonts w:ascii="Times New Roman" w:cs="Times New Roman" w:eastAsia="Times New Roman" w:hAnsi="Times New Roman"/>
          <w:sz w:val="18"/>
          <w:szCs w:val="18"/>
          <w:color w:val="auto"/>
        </w:rPr>
        <w:t>Accumulated other comprehensive income (loss) at March 31, 2023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840"/>
        <w:spacing w:after="0"/>
        <w:rPr>
          <w:sz w:val="20"/>
          <w:szCs w:val="20"/>
          <w:color w:val="auto"/>
        </w:rPr>
      </w:pPr>
      <w:r>
        <w:rPr>
          <w:rFonts w:ascii="Times New Roman" w:cs="Times New Roman" w:eastAsia="Times New Roman" w:hAnsi="Times New Roman"/>
          <w:sz w:val="14"/>
          <w:szCs w:val="14"/>
          <w:b w:val="1"/>
          <w:bCs w:val="1"/>
          <w:color w:val="auto"/>
        </w:rPr>
        <w:t>Unrealized Gains</w:t>
      </w:r>
    </w:p>
    <w:p>
      <w:pPr>
        <w:jc w:val="center"/>
        <w:ind w:right="4840"/>
        <w:spacing w:after="0" w:line="221" w:lineRule="auto"/>
        <w:rPr>
          <w:sz w:val="20"/>
          <w:szCs w:val="20"/>
          <w:color w:val="auto"/>
        </w:rPr>
      </w:pPr>
      <w:r>
        <w:rPr>
          <w:rFonts w:ascii="Times New Roman" w:cs="Times New Roman" w:eastAsia="Times New Roman" w:hAnsi="Times New Roman"/>
          <w:sz w:val="14"/>
          <w:szCs w:val="14"/>
          <w:b w:val="1"/>
          <w:bCs w:val="1"/>
          <w:color w:val="auto"/>
        </w:rPr>
        <w:t>(Losses) on Available-</w:t>
      </w:r>
    </w:p>
    <w:tbl>
      <w:tblPr>
        <w:tblLayout w:type="fixed"/>
        <w:tblInd w:w="0" w:type="dxa"/>
        <w:tblCellMar>
          <w:top w:w="0" w:type="dxa"/>
          <w:left w:w="0" w:type="dxa"/>
          <w:bottom w:w="0" w:type="dxa"/>
          <w:right w:w="0" w:type="dxa"/>
        </w:tblCellMar>
      </w:tblPr>
      <w:tr>
        <w:trPr>
          <w:trHeight w:val="142"/>
        </w:trPr>
        <w:tc>
          <w:tcPr>
            <w:tcW w:w="200" w:type="dxa"/>
            <w:vAlign w:val="bottom"/>
          </w:tcPr>
          <w:p>
            <w:pPr>
              <w:spacing w:after="0"/>
              <w:rPr>
                <w:sz w:val="12"/>
                <w:szCs w:val="12"/>
                <w:color w:val="auto"/>
              </w:rPr>
            </w:pPr>
          </w:p>
        </w:tc>
        <w:tc>
          <w:tcPr>
            <w:tcW w:w="14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418"/>
        </w:trPr>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371"/>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-1113790</wp:posOffset>
            </wp:positionV>
            <wp:extent cx="713232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-702310</wp:posOffset>
            </wp:positionV>
            <wp:extent cx="713232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-281940</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100"/>
            <w:col w:w="636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6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18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jc w:val="right"/>
              <w:ind w:right="421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30"/>
        </w:trPr>
        <w:tc>
          <w:tcPr>
            <w:tcW w:w="4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jc w:val="right"/>
              <w:ind w:right="337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jc w:val="right"/>
              <w:ind w:right="181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0" w:type="dxa"/>
            <w:vAlign w:val="bottom"/>
          </w:tcPr>
          <w:p>
            <w:pPr>
              <w:spacing w:after="0"/>
              <w:rPr>
                <w:sz w:val="1"/>
                <w:szCs w:val="1"/>
                <w:color w:val="auto"/>
              </w:rPr>
            </w:pPr>
          </w:p>
        </w:tc>
      </w:tr>
      <w:tr>
        <w:trPr>
          <w:trHeight w:val="156"/>
        </w:trPr>
        <w:tc>
          <w:tcPr>
            <w:tcW w:w="4920" w:type="dxa"/>
            <w:vAlign w:val="bottom"/>
            <w:shd w:val="clear" w:color="auto" w:fill="CCEEFF"/>
          </w:tcPr>
          <w:p>
            <w:pPr>
              <w:jc w:val="right"/>
              <w:ind w:right="31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income (loss) at March 31,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jc w:val="right"/>
              <w:ind w:right="42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available-for-sale debt investments as of March 31, 2023 are available to fund current operations and are recorded at fair value (Note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225,115</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295,536</w:t>
            </w:r>
          </w:p>
        </w:tc>
        <w:tc>
          <w:tcPr>
            <w:tcW w:w="0" w:type="dxa"/>
            <w:vAlign w:val="bottom"/>
          </w:tcPr>
          <w:p>
            <w:pPr>
              <w:spacing w:after="0"/>
              <w:rPr>
                <w:sz w:val="1"/>
                <w:szCs w:val="1"/>
                <w:color w:val="auto"/>
              </w:rPr>
            </w:pPr>
          </w:p>
        </w:tc>
      </w:tr>
      <w:tr>
        <w:trPr>
          <w:trHeight w:val="223"/>
        </w:trPr>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339,208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195,530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197,346</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253,544</w:t>
            </w:r>
          </w:p>
        </w:tc>
        <w:tc>
          <w:tcPr>
            <w:tcW w:w="0" w:type="dxa"/>
            <w:vAlign w:val="bottom"/>
          </w:tcPr>
          <w:p>
            <w:pPr>
              <w:spacing w:after="0"/>
              <w:rPr>
                <w:sz w:val="1"/>
                <w:szCs w:val="1"/>
                <w:color w:val="auto"/>
              </w:rPr>
            </w:pPr>
          </w:p>
        </w:tc>
      </w:tr>
      <w:tr>
        <w:trPr>
          <w:trHeight w:val="223"/>
        </w:trPr>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474,794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340,656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three months ended March 31, 2023 and 2022, we sold cash equivalent investments for proceeds of $13.0 million and $0.9 million, respectively, and realized no gain or loss on such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March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6"/>
                <w:szCs w:val="16"/>
                <w:color w:val="auto"/>
              </w:rPr>
            </w:pPr>
          </w:p>
        </w:tc>
        <w:tc>
          <w:tcPr>
            <w:tcW w:w="12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350,678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349,880</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109,734</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10 years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461,346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the issuers may have the right to call or prepay obligations without call or prepayment penalties.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2023, the amortized cost and the fair market value of our held-to-maturity government bond (Level 1) maturing within a year was $4.5 million. As of December 31, 2022, the amortized cost and the fair market value of our held-to-maturity government bond (Level 1) maturing within a year was $4.4 million and $4.3 million, respectively.</w:t>
      </w:r>
    </w:p>
    <w:p>
      <w:pPr>
        <w:spacing w:after="0" w:line="3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Factoring of Accounts Receivable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months ended March 31, 2023 and 2022, we sold receivables totaling $78.0 million and $92.2 million, respectively, net of discounts and fees of $0.2 million for each period.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214,763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6,757,652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(6,359,372)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(6,235,717)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3,185,278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3,135,614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gridSpan w:val="4"/>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156,614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we had $134.8 million and $79.6 million of costs, including capitalized interest of $1.7 million and $0.7 million, respectively, in construction in progress for the Vietnam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81,459</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56,570</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 plan obligations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57,382</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361,174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401,841</w:t>
            </w: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short-term borrowings and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1.85%, due April 2024 (1)</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2.12%, due December 2028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term loans, variable rate (2)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1.30%, due July 2023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1.35%, due December 2024</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86,943</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49,878</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79,927</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1.59%, due December 2027</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119,738</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75"/>
        </w:trPr>
        <w:tc>
          <w:tcPr>
            <w:tcW w:w="764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Term loans, LIBOR plus 1.10%, weighted average of 6.25% as of March 31, 2023, due March</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loans, LIBOR plus 0.80%, weighted average of 5.74% as of March 31, 2023, due June 2025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LIBOR plus 0.75%, weighted average of 5.81% as of March 31, 2023, due 2025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facility, TAIFX plus the applicable bank rate, due December 2024 (Taiwan) (3)</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6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$600.0 million senior secured revolving credit facility, applicable bank rate plus 1.75%, due March</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2027 (Singapore) (4)</w:t>
            </w:r>
          </w:p>
        </w:tc>
        <w:tc>
          <w:tcPr>
            <w:tcW w:w="2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1,204,217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1,239,772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(143,813)</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1,088,521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60" w:hanging="328"/>
        <w:spacing w:after="0" w:line="281"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 billion term loan agreement with the option to borrow and re-borrow the funds up to six times per year through April 2024. Principal is payable at maturity, and interest is payable monthly, at a fixed rate of 1.85%. As of March 31, 2023,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$61 million, was available to be drawn.</w:t>
      </w:r>
    </w:p>
    <w:p>
      <w:pPr>
        <w:spacing w:after="0" w:line="10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Interest as of March 31, 2023 is at an annual base rate equal to the Tokyo Interbank Offered Rate plus 0.18% to 0.27% (weighted average of 0.26% as of March 31, 2023). As of March 31, 2023, $5.8 million was available to be drawn.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660" w:right="2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Amkor Technology Taiwan Ltd. (“ATT”) amended an existing revolving credit facility to reduce availability from $36.0 million to $15.0 million. As of March 31, 2023, $15.0 million was available for future borrowings under such credit facility.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Amkor Technology Singapore Holdings Pte. Ltd. (“ATSH”) entered into a $600.0 million senior revolving credit facility (the “2022 Singapore Revolver”), which is guaranteed by Amkor Technology, Inc., ATT and Amkor Advanced Technology, Inc. (“AATT”). The maximum borrowing capacity under the 2022 Singapore Revolver is limited to a base amount equal to the lesser of: (1) $600.0 million; and (2) $250.0 million plus a variable amount equal to 37.5% of our consolidated accounts receivable balance. As of March 31, 2023, $600.0 million was available for future borrowings under the 2022 Singapore Revolver.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As of March 31, 2023, the collateralized debt balance was $650.4 million, of which $365.2 million of assets were pledged as collateral.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March 31,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460" w:type="dxa"/>
            <w:vAlign w:val="bottom"/>
            <w:gridSpan w:val="5"/>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7"/>
                <w:szCs w:val="17"/>
                <w:color w:val="auto"/>
              </w:rPr>
            </w:pPr>
          </w:p>
        </w:tc>
      </w:tr>
      <w:tr>
        <w:trPr>
          <w:trHeight w:val="23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43"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33655</wp:posOffset>
            </wp:positionV>
            <wp:extent cx="2143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5" w:lineRule="exact"/>
        <w:rPr>
          <w:sz w:val="20"/>
          <w:szCs w:val="20"/>
          <w:color w:val="auto"/>
        </w:rPr>
      </w:pPr>
    </w:p>
    <w:p>
      <w:pPr>
        <w:ind w:left="8500"/>
        <w:spacing w:after="0"/>
        <w:tabs>
          <w:tab w:leader="none" w:pos="102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33655</wp:posOffset>
            </wp:positionV>
            <wp:extent cx="2143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60"/>
        <w:spacing w:after="0"/>
        <w:tabs>
          <w:tab w:leader="none" w:pos="7820" w:val="left"/>
          <w:tab w:leader="none" w:pos="8960" w:val="left"/>
          <w:tab w:leader="none" w:pos="9560" w:val="left"/>
          <w:tab w:leader="none" w:pos="10700" w:val="left"/>
        </w:tabs>
        <w:rPr>
          <w:sz w:val="20"/>
          <w:szCs w:val="20"/>
          <w:color w:val="auto"/>
        </w:rPr>
      </w:pPr>
      <w:r>
        <w:rPr>
          <w:rFonts w:ascii="Times New Roman" w:cs="Times New Roman" w:eastAsia="Times New Roman" w:hAnsi="Times New Roman"/>
          <w:sz w:val="18"/>
          <w:szCs w:val="18"/>
          <w:color w:val="auto"/>
        </w:rPr>
        <w:t>Defined contribution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8,796</w:t>
        <w:tab/>
        <w:t>$</w:t>
      </w:r>
      <w:r>
        <w:rPr>
          <w:sz w:val="20"/>
          <w:szCs w:val="20"/>
          <w:color w:val="auto"/>
        </w:rPr>
        <w:tab/>
      </w:r>
      <w:r>
        <w:rPr>
          <w:rFonts w:ascii="Times New Roman" w:cs="Times New Roman" w:eastAsia="Times New Roman" w:hAnsi="Times New Roman"/>
          <w:sz w:val="17"/>
          <w:szCs w:val="17"/>
          <w:color w:val="auto"/>
        </w:rPr>
        <w:t>7,948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-127635</wp:posOffset>
            </wp:positionV>
            <wp:extent cx="70808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and December 31, 2022, our foreign exchange forward contracts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740" w:type="dxa"/>
            <w:vAlign w:val="bottom"/>
            <w:gridSpan w:val="2"/>
          </w:tcPr>
          <w:p>
            <w:pPr>
              <w:jc w:val="center"/>
              <w:ind w:right="30"/>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w:t>
            </w:r>
          </w:p>
        </w:tc>
        <w:tc>
          <w:tcPr>
            <w:tcW w:w="17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8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Accrued expenses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7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7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 dollar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74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forward contracts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423,892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and 2022, the derivatives resulted in a net loss of $12.0 million and $22.3 million, respectively, which were offset by the foreign currency gains associated with the underlying net liabilities.</w:t>
      </w:r>
    </w:p>
    <w:p>
      <w:pPr>
        <w:spacing w:after="0" w:line="3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our debt: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20" w:type="dxa"/>
            <w:vAlign w:val="bottom"/>
          </w:tcPr>
          <w:p>
            <w:pPr>
              <w:spacing w:after="0"/>
              <w:rPr>
                <w:sz w:val="16"/>
                <w:szCs w:val="16"/>
                <w:color w:val="auto"/>
              </w:rPr>
            </w:pPr>
          </w:p>
        </w:tc>
        <w:tc>
          <w:tcPr>
            <w:tcW w:w="272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96"/>
        </w:trPr>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521,290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521,114</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711,220</w:t>
            </w:r>
          </w:p>
        </w:tc>
      </w:tr>
      <w:tr>
        <w:trPr>
          <w:trHeight w:val="248"/>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1,232,334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determine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we have entered into additional lease agreements that have not yet commenced of approximately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providing our customers with a geographically diverse manufacturing footprint, growing within the industry secular growth markets of 5G, automotive, Internet-of-Things (“IoT”) and high-performance computing (“HPC”), optimizing utilization of existing assets, and selectively growing our scale and scope through strategic investments.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which we believe provide substantial value to our customers. Advanced packages, which account for a significant portion of mobile phone semiconductor value, are the preferred choice in the high-end smartphone market. The use of advanced packages in automotive applications is also growing, largely due to new, data-intensive applications which require increased pin count and performance. In consumer devices, further miniaturization and the integration of new functionality within IoT devices also require advanced packaging. With the continuing trend towards cloud-based computing, innovative advanced packaging solutions are needed to achieve the increased speed, performance and power consumption requirements for this market. We believe that demand for advanced packaging services will continue to grow as our customers and leading electronics OEMs strive for smaller device geometries, higher levels of integration and performance and lower power consumption. We intend to continue to leverage our investments in advanced technology to meet the demand for these services in high growth markets.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broad geographic footprint, including our manufacturing presence in Portugal and our headquarters in the United States, are key differentiators for us and position us to continue to support global supply chains and to participate in initiatives to regionalize supply chains. We are making preparations to deliver advanced system-in-package (“SiP”) modules and other packaging solutions from the Vietnam Facility. We believe that the Vietnam Facility, which is expected to begin production in the fourth quarter of 2023, will provide customers with a cost-competitive high-volume manufacturing location that offers additional supply chain diversification.</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key factor in our success is the optimization of asset utilization. We build and utilize manufacturing lines which support multiple customers, and we increase factory utilization through sophisticated planning processes and intensive efficiency improvement activities.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identify attractive opportunities to strengthen our leadership position and market share through expansion of our operations, joint ventures, acquisitions and other strategic investments. We believe that selective growth through these strategic actions can further strengthen customer relationships, help to maintain and enhance our technological leadership, diversify our revenue streams and improve our profits.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We believe that the general semiconductor market is currently going through a cyclical correction.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National, regional and local governments have implemented, and may implement in the future,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For additional information regarding the potential impact of macroeconomic factors, the Covid-19 pandemic and other risks on our business, results of operations and financial condition, please refer to the “Risk Factors” section in Part II, Item 1A.</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March 31, 2023, we had cash and cash equivalents and short-term investments of $909.8 million and $341.8 million, respectively.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 We expect macroeconomic conditions to be challenging in 2023. To prepare for future growth, we will continue to make prudent investments, including investments in the Vietnam Facility, and we will closely manage other capacity expansion and control costs in response to changes in market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decreased $125.3 million, or 7.8%, to $1,471.5 million for the three months ended March 31, 2023, compared to $1,596.8 million for the three months ended March 31, 2022. The decrease was primarily due to lower sales in our consumer and computing end markets, partially offset by continued strength in the automotive and industrial end market.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March 31, 2023 decreased to 13.2%, compared to 20.4% for the three months ended March 31, 2022. The decrease in gross margin was primarily due to an increase in the mix of products sold with higher material content, the decrease in net sales and lower factory utilization, partially offset by net favorable foreign currency exchange rate movements.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margin decreased 850 basis points to 4.7% for the three months ended March 31, 2023 from 13.2% for the three months ended March 31, 2022. The decrease in our operating income margin was primarily due to the decrease in our gross margin discussed above along with an increase in research and development expenses due to additional equipment and overhead costs to support development projects in advanced packaging technologies, partially offset by projects that moved into production.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$98.2 million for the three months ended March 31, 2023, compared to $158.2 million for the three months ended March 31, 2022. Our spending was primarily focused on investments in advanced packaging and test equipment and the Vietnam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$175.7 million for the three months ended March 31, 2023, compared to $166.2 million for the three months ended March 31, 2022. This increase was primarily due to changes in working capital, deposits and advanced payments to our vendors, offset by lower net sales and operating profits.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Materials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46.7 %</w:t>
            </w:r>
          </w:p>
        </w:tc>
      </w:tr>
      <w:tr>
        <w:trPr>
          <w:trHeight w:val="21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1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r>
      <w:tr>
        <w:trPr>
          <w:trHeight w:val="21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r>
      <w:tr>
        <w:trPr>
          <w:trHeight w:val="21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1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40" w:type="dxa"/>
            <w:vAlign w:val="bottom"/>
            <w:gridSpan w:val="4"/>
          </w:tcPr>
          <w:p>
            <w:pPr>
              <w:jc w:val="center"/>
              <w:ind w:right="32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3"/>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00" w:type="dxa"/>
            <w:vAlign w:val="bottom"/>
          </w:tcPr>
          <w:p>
            <w:pPr>
              <w:spacing w:after="0"/>
              <w:rPr>
                <w:sz w:val="17"/>
                <w:szCs w:val="17"/>
                <w:color w:val="auto"/>
              </w:rPr>
            </w:pPr>
          </w:p>
        </w:tc>
      </w:tr>
      <w:tr>
        <w:trPr>
          <w:trHeight w:val="22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1,471,539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1,596,816</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6"/>
                <w:szCs w:val="16"/>
                <w:color w:val="auto"/>
              </w:rPr>
              <w:t>(125,277)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net sales for the three months ended March 31, 2023 compared to the three months ended March 31, 2022 was primarily due to lower sales in our consumer and computing end markets, partially offset by continued strength in the automotive and industrial end market. Our consumer and computing end markets decreased 43% and 17% compared to 2022, respectively, mainly due to a cyclical correction in the semiconductor market. These decreases were partially offset by 14% growth in our automotive and industrial end market compared to 2022, driven by increases in advanced packaging and in silicon content in vehicles. In addition, communications, our largest end market, increased by 2% compared to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60" w:type="dxa"/>
            <w:vAlign w:val="bottom"/>
            <w:gridSpan w:val="5"/>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4"/>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Pr>
          <w:p>
            <w:pPr>
              <w:spacing w:after="0"/>
              <w:rPr>
                <w:sz w:val="17"/>
                <w:szCs w:val="17"/>
                <w:color w:val="auto"/>
              </w:rPr>
            </w:pPr>
          </w:p>
        </w:tc>
      </w:tr>
      <w:tr>
        <w:trPr>
          <w:trHeight w:val="22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194,421</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325,330</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(130,909)</w:t>
            </w:r>
          </w:p>
        </w:tc>
      </w:tr>
      <w:tr>
        <w:trPr>
          <w:trHeight w:val="210"/>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13.2 %</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bl>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packages which tend to have higher material costs than our other products. As we continue to increase production of these higher material cost products, there could be an impact on our profitability, depending on overall utilization.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and gross margin decreased for the three months ended March 31, 2023 compared to the three months ended March 31, 2022, primarily due to an increase in the mix of products sold with higher material content, the decrease in net sales and lower factory utilization, partially offset by net favorable foreign currency exchange rate movements.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920" w:type="dxa"/>
            <w:vAlign w:val="bottom"/>
            <w:gridSpan w:val="4"/>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6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gridSpan w:val="4"/>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60" w:type="dxa"/>
            <w:vAlign w:val="bottom"/>
          </w:tcPr>
          <w:p>
            <w:pPr>
              <w:spacing w:after="0"/>
              <w:rPr>
                <w:sz w:val="17"/>
                <w:szCs w:val="17"/>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78,671</w:t>
            </w:r>
          </w:p>
        </w:tc>
        <w:tc>
          <w:tcPr>
            <w:tcW w:w="3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76,959</w:t>
            </w: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rPr>
              <w:t>1,712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months ended March 31, 2023 compared to the three months ended March 31, 2022, primarily due to an increase in software maintenance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80" w:type="dxa"/>
            <w:vAlign w:val="bottom"/>
            <w:gridSpan w:val="4"/>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0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gridSpan w:val="4"/>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00" w:type="dxa"/>
            <w:vAlign w:val="bottom"/>
          </w:tcPr>
          <w:p>
            <w:pPr>
              <w:spacing w:after="0"/>
              <w:rPr>
                <w:sz w:val="17"/>
                <w:szCs w:val="17"/>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47,047</w:t>
            </w:r>
          </w:p>
        </w:tc>
        <w:tc>
          <w:tcPr>
            <w:tcW w:w="3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38,363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rPr>
              <w:t>8,684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2023 increased compared to the three months ended March 31, 2022 due to additional equipment and overhead costs to support development projects in advanced packaging technologies, partially offset by projects that moved into production.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6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6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r>
      <w:tr>
        <w:trPr>
          <w:trHeight w:val="196"/>
        </w:trPr>
        <w:tc>
          <w:tcPr>
            <w:tcW w:w="6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60" w:type="dxa"/>
            <w:vAlign w:val="bottom"/>
          </w:tcPr>
          <w:p>
            <w:pPr>
              <w:spacing w:after="0"/>
              <w:rPr>
                <w:sz w:val="17"/>
                <w:szCs w:val="17"/>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16,167</w:t>
            </w:r>
          </w:p>
        </w:tc>
        <w:tc>
          <w:tcPr>
            <w:tcW w:w="3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(gain), 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debt retirement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39.4 %</w:t>
            </w:r>
          </w:p>
        </w:tc>
      </w:tr>
      <w:tr>
        <w:trPr>
          <w:trHeight w:val="21"/>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for the three months ended March 31, 2023 compared to the three months ended March 31, 2022, primarily due to additional borrowings in China during 2022.</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for the three months ended March 31, 2023 compared to the three months ended March 31, 2022, primarily due to higher interest rates on our cash and cash equivalents and available-for-sale debt investment balances.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changes in foreign currency (gain) loss, net for the three months ended March 31, 2023 compared to the three months ended March 31, 2022 were primarily due to the strengthening of the U.S. dollar in the prior year compared to the foreign currencies of our subsidiaries, mainly the Japanese yen, and the associated impact on our net monetary exposure. In addition, the current year loss includes higher costs associated with our derivative instruments, which are used to reduce our exposure to foreign currency gains and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5"/>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10,864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29,728</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(18,864)</w:t>
            </w: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decreased for the three months ended March 31, 2023 compared to the three months ended March 31, 2022, primarily due to the decrease of income before tax.</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and 2022, our subsidiaries in Korea and Singapore operated under various conditional reduced tax rates. As these conditional reduced tax rates expire, income earned in these jurisdictions will be subject to higher statutory income tax rates, which may cause our effective tax rate to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Form 10-Q.</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2023, we had cash and cash equivalents and short-term investments of $1,251.6 million. Included in our cash and short-term investments balances as of March 31, 2023 is $1,116.2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2023, our net liability associated with unrecognized tax benefits is $30.5 million. Due to the uncertainty regarding the amount and timing of any future cash outflows associated with our unrecognized tax benefits, we are unable to reasonably estimate the amount and period of ultimate settlement, if any, with the various taxing authorities.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three months ended March 31, 2023 and 2022, we sold accounts receivable totaling $78.0 million and $92.2 million, net of discounts and fees of $0.2 million for each period.</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borrowing capacity under the 2022 Singapore Revolver is limited to a base amount equal to the lesser of: (1) $600.0 million; or (2) $250 million plus a variable amount equal to 37.5% of our consolidated accounts receivable balance. As of March 31, 2023, we had availability of $600.0 million. As of March 31, 2023, our foreign subsidiaries had $615.0 million available for future borrowings under revolving credit facilities, including the 2022 Singapore Revolver, and $67.3 million available to be borrowed under term loan credit facilities for working capital purposes and capital expenditures. For additional information regarding the 2022 Singapore Revolver, please refer to Note 11 to our Consolidated Financial Statements in Part 1, Item 1 of this Form 10-Q.</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2023, we had debt of $1,197.5 million, with $137.5 million payable within 12 months. As of March 31, 2023, the interest payment obligations, based on stated coupon rates for fixed rate debt and interest rates applicable at March 31, 2023 for variable rate debt, were $200.0 million during the remaining term of the debt. Interest payment obligations payable within 12 months is $51.4 million. We were in compliance with all debt covenants as of March 31, 2023, and we expect to remain in compliance with these covenants for at least the next twelve months. For additional information regarding our debt arrangements, please refer to Note 11 to our Consolidated Financial Statements in Part 1, Item 1 of this Form 10-Q.</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cumulative net income and do not currently have a material impact on our ability to make dividend payments or stock repurchases.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Amkor Technology Inc., ATT, AATT and ATSH guarantee certain debt of our subsidiaries.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who were employed prior to August 1, 2015. As of March 31, 2023, the severance liability was $53.1 million, with $7.1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March 31, 2023, we had foreign pension plan obligations of $45.3 million, for which the timing and actual amount of impact on our future cash flow is uncertain. For additional information regarding our pension and severance plans, please refer to Note 12 to our Consolidated Financial Statements in Part 1, Item 1 of this Form 10-Q and in Note 12 to the 2022 Form 10-K.</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March 31, 2023, our total remaining operating lease obligations and finance lease obligations were $139.7 million and $122.2 million, respectively, with $68.4 million and $64.8 million payable within 12 months, respectively. The lease obligations represent our future minimum lease payments including interest payments.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March 31, 2023, the purchase obligations were $410.8 million, with $400.4 million payable within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we paid total quarterly cash dividends of $18.4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previously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Stock Repurchase Program since 2012. At March 31, 2023, approximately $91.6 million was available to repurchase common stock pursuant to the Stock Repurchase Program.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and the Vietnam Facility. During the three months ended March 31, 2023, our capital expenditures totaled $98.2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our 2023 capital expenditures will be approximately $800 million. Ultimately, the amount of our 2023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three months ended March 31, 2023 and 2022,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r>
      <w:tr>
        <w:trPr>
          <w:trHeight w:val="23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175,746</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166,178</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(155,704)</w:t>
            </w:r>
          </w:p>
        </w:tc>
        <w:tc>
          <w:tcPr>
            <w:tcW w:w="640" w:type="dxa"/>
            <w:vAlign w:val="bottom"/>
          </w:tcPr>
          <w:p>
            <w:pPr>
              <w:spacing w:after="0"/>
              <w:rPr>
                <w:sz w:val="19"/>
                <w:szCs w:val="19"/>
                <w:color w:val="auto"/>
              </w:rPr>
            </w:pPr>
          </w:p>
        </w:tc>
        <w:tc>
          <w:tcPr>
            <w:tcW w:w="12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(240,009)</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(66,206)</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109,236</w:t>
            </w:r>
          </w:p>
        </w:tc>
      </w:tr>
    </w:tbl>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three months ended March 31, 2023 increased by $9.6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2022, primarily due to changes in working capital, deposits and advanced payments to our vendors, offset by lower net sales and operating profits.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three months ended March 31, 2023 decreased by $84.3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2022, primarily due to decreased payments related to property, plant and equipment and decreased net payments for foreign exchange forward contracts. Payments for property, plant and equipment can fluctuate based on the timing of purchase, receipt and acceptance of equipment.</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used in financing activities for the three months ended March 31, 2023 was primarily due to net debt repayments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Japan, the payment of our quarterly dividends and finance lease obligations. The net cash provided by financing activities for the three months ended March 31, 2022 was primarily due to a borrowing in Korea, offset by net debt repayments in Japan and the payment of our quarterly dividends.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760" w:type="dxa"/>
            <w:vAlign w:val="bottom"/>
            <w:gridSpan w:val="5"/>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4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r>
      <w:tr>
        <w:trPr>
          <w:trHeight w:val="23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175,746</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166,178</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(158,154)</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Free cash flow</w:t>
            </w:r>
          </w:p>
        </w:tc>
        <w:tc>
          <w:tcPr>
            <w:tcW w:w="1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78,174</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w:t>
            </w:r>
          </w:p>
        </w:tc>
      </w:tr>
      <w:tr>
        <w:trPr>
          <w:trHeight w:val="21"/>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March 31, 2023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three months ended March 31, 2023 would have been approximately $9 million lower, due to the remeasurement of monetary assets and liabilities.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three months ended March 31, 2023, approximately 85% of our net sales were denominated in U.S. dollars. Our remaining net sales were principally denominated in Japanese yen. For the three months ended March 31, 2023, approximately 55%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March 31, 2023 to assess the potential impact of fluctuations in exchange rates for all foreign denominated sales and operating expenses. Assuming that all foreign currencies appreciated 10% against the U.S. dollar, our operating income for the three months ended March 31, 2023 would have been approximately $35 million lower.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The effect of foreign exchange rate translation for these entities was a loss of $2.1 million and $8.4 million for the three months ended March 31, 2023 and 2022, respectively, and was recognized as an adjustment to equity through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March 31,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2023 -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w w:val="99"/>
              </w:rPr>
              <w:t>2027</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96,568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102,664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109,762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93,354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598,634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1,050,982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1,032,422</w:t>
            </w: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14,735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90,500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153,235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152,400</w:t>
            </w:r>
          </w:p>
        </w:tc>
      </w:tr>
      <w:tr>
        <w:trPr>
          <w:trHeight w:val="19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111,303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150,664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200,262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93,354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598,634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1,204,217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1,184,822</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14 to our Consolidated Financial Statements in Part I, Item 1 of this Form 10-Q.</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March 31, 2023 and concluded those disclosure controls and procedures were effective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March 31, 2023. There have been no changes in our internal control over financial reporting that occurred during the three months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15 to our Consolidated Financial Statements in Part I, Item 1 of this Form 10-Q and in Note 17 to the 2022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75"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trade restrictions and regional conflict;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(“IDMs”), and new competitors, including foundries;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0"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w:t>
      </w:r>
    </w:p>
    <w:p>
      <w:pPr>
        <w:spacing w:after="0" w:line="108"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possibility that we may decrease or suspend our quarterly dividend;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severance plan obligations associated with our manufacturing operations in Korea; and</w:t>
      </w:r>
    </w:p>
    <w:p>
      <w:pPr>
        <w:spacing w:after="0" w:line="14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conditions or pandemics, such as the Covid-19 pandemic, impacting labor availability and operating capacity, capital availability, the supply chain and consumer demand for our customers’ products and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health and safety liabilities and expenditures;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We believe that the general semiconductor market is currently going through a cyclical correction.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declines in global economic and financial conditions have harmed our business in the past, and future global downturns could materially and adversely affect our business. New variants or the potential re-emergence of the Covid-19 pandemic or the occurrence of other epidemics or pandemics, and the imposition of related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measures and travel and business restrictions, may materially and adversely impact our business, financial condition, operating results and cash flows. For example, as part of a broad effort to mitigate a rising number of Covid-19 cases in Shanghai, the Chinese government mandated a lockdown of our Shanghai factory from March 2022 to June 2022. Other national, regional, and local governments have implemented, and may implement in the future, public health measures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difficult to predict the timing, strength or duration of any economic disruption caused by the Covid-19 pandemic or which end markets will experience a slowdown or subsequent economic recovery which, in turn, makes it more challenging for us to forecast our operating results, make business decisions and identify risks that may materially affect our business, sources and uses of cash, financial condition and results of operations. Additionally, if industry conditions deteriorate, we could suffer significant losses, as we have in the past, that could materially and adversely impact our business, liquidity,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To the extent the impact of such disruptive events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impacted the supply of specialty chemicals, substrates, silicon wafers, equipment and other supplies to the electronics industry.</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 in Ukraine,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may cause lead times to extend beyond those normally required by equipment vendors, and the Covid-19 pandemic and resulting supply chain disruptions and economic turbulence created extended lead times for some equipment.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pricing, currency risk and potential shortages in equipment in a strong market, any of which could have a material adverse effect on our results of operations.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current rising interest rate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(such as the ongoing conflict in Ukraine) and government shutdowns, civil disturbances and international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above factors, restrictive trade barriers adopted by U.S. and foreign governments applicable to the semiconductor supply chain, including the export rules and regulations adopted by the U.S. government in October 2022 regarding the sale of certain semiconductor chip and chipmaking equipment products to customers in China,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and Taiwan and are preparing to offer packaging and test services from the Vietnam Facility. Substantially all of our property, plant and equipment is located outside of the United States, and many of our customers and the vendors in our supply chain are also located outside the U.S.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such as Covid-19,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 (such as the ongoing conflict in Ukraine);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U.S. and in other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U.S. Bureau of Industry and Security announced new export control regulations applicable to U.S. semiconductor technology sold in China. The new regulations place limitations on the ability of companies to export certain advanced computing semiconductor chips, as well as chipmaking equipment, by requiring companies to obtain licenses to export such products and equipment into China. Certain of the Company’s competitors may be exempt from the new regulations by virtue of being non-U.S. manufacturers. To the extent required, Amkor would pursue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new restrictions, particularly if our competitors have, or are not required to have, required licenses or authorizations that we have not obtained. It is also possible that government agencies in China or in other countries may adopt retaliatory export control rules in response to the new U.S. regulations, which could further impact our business, liquidity, results of operations, financial condition and cash flows.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impacted, and may impact in the future, our operations and the operations of our customers and suppliers as a result of illness, quarantines, facility closures and travel and logistics restrictions in connection with the outbreak. National, regional, and local governments have implemented, and may implement in the future, public health measures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financial condition. We also remain subject to industry-wide supply constraints and inflationary price pressures, which have resulted in long lead times, rising prices and supply chain disruptions.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2022, we began construction for the first phase of the Vietnam Facility, which will have approximately 1.9 million square feet of space. We expect to complete the first phase and begin high-volume manufacturing in the fourth quarter of 2023. There can be no assurance, however, that the construction will be completed, or that high-volume manufacturing will begin, on that schedule or that the actual scope, costs or benefits of the project will be consistent with our current expectations.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while we generally purchase materials based on Amkor’s commitments to customer forecasts, and our customers are generally responsible for any unused materials we purchase based on such commitments, due to the Covid-19 pandemic and the resulting supply chain constraints and extended lead times, we have been placing an increasing number of our orders for materials in advance of customer forecasts. If we are unable to timely fulfill our customers’ orders, or if we are required to bear the cost of a substantial amount of unused materials, our margins, operating results, financial condition and cash flows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reducing our manufacturing costs, our business, liquidity, results of operations, financial condition and cash flows could be materially and adversely affected.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2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and may be challenged, invalidated or circumvented. As a result, such patents may not offer us meaningful protection or provide the commercial advantage for which they were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paid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under which we have an accrued liability of $53.1 million as of March 31, 2023.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a defined contribution plan. Some employees have accepted previous offers, and future offers to make similar conversions could impact the timing of future payments, reducing our cash flow and materially and adversely affecting our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J. Kim and members of his family can effectively determine or substantially influence the outcome of all matters requiring stockholder approval.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2023, James J. Kim, the Executive Chairman of our Board of Directors, Susan Y. Kim, the Executive Vice Chairman of our Board of Directors, and members of the Kim family and affiliates owned approximately 142.0 million shares, or approximately 58%, of our outstanding common stock. The Kim family also has options to acquire approximately 0.6 million shares. If the options are exercised, the Kim family’s total ownership would be an aggregate of approximately 142.6 million shares, or approximately 58%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65% of our net sales for the year ended December 31, 2022.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impacted, and may impact in the future, the supply chain and consumer demand for our customers’ products and services, and such impact on the supply chain and consumer demand may ultimately have a material and adverse effect on our business, results of operations and financial condition.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impacts of the Covid-19 pandemic have varied, and may continue to vary, by location, by industry and by end market. We, our suppliers and our customers have been disrupted by worker illness and absenteeism, quarantines and restrictions on employees’ ability to work, office and factory closures, disruptions to ports and other shipping infrastructure and border closures or other travel or health-related restrictions. Restrictions on our workforce or access to our manufacturing facilities, or similar limitations for our suppliers, or restrictions or disruptions of transportation could limit our capacity to meet customer demand and have a material adverse effect on our business, results of operations and financial condition. Such restrictions and efforts to contain the spread of Covid-19 have caused, and may cause in the future, disruptions to our supply chain in connection with the sourcing of equipment, supplies and other materials. The resumption of normal business operations after any such restrictions are lifted may be delayed or constrained by lingering effects of the Covid-19 pandemic on our suppliers or customers or both, and additional restrictions may be implemented in response to the emergence of new variants or re-emergence of Covid-19. Additionally, other national, regional and local governments have implemented, and may implement in the future, restrictions to mitigate the spread of Covid-19, the emergence of new variants, or the re-emergence of Covid-19 in jurisdictions in which we, our customers and our suppliers operate (such as the government-mandated lockdown of our Shanghai factory during the second quarter of 2022), and such restrictions may materially and adversely impact our operations and the operations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customers and suppliers. We also remain subject to industry-wide supply constraints and inflationary price pressures, which have resulted in long lead times, rising prices and supply chain disruptions.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spread of Covid-19 caused us to modify our business practices (including corporate hygiene protocols at factories, restricting employee travel and employee work locations and cancelling physical participation in meetings, events and conferences) and, while the long-term impact of the Covid-19 pandemic remains uncertain, we have retained many of those enhanced measures as part of our commitment to protect the health and safety of our employees. We may also take further actions in the future as may be required by government authorities or that we determine to be in the best interests of our employees, customers and suppliers. There is no certainty that such measures will be sufficient to mitigate the future impact of the Covid-19 pandemic, and our ability to perform critical functions could be harmed.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this time, we are unable to predict the nature or duration of future actions that may be taken by governmental authorities and other businesses in response to the Covid-19 pandemic (including any emergence of new variants).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March 31, 2023, our total debt balance was $1,197.5 million, of which $137.5 million was classified as a current liability and $650.4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recognize in earnings the decline in the fair value of our investments below their cost basis when the decline is judged to be an impairment, including an allowance for credit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2023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(including as a result of rising interest rates, economic downturns or other developments), they may refuse or be unable to fund borrowings under their credit commitments to us. The U.S. Federal Reserve raised interest rates several times during 2022 and has signaled further rate increases in the near term.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properly training sufficient numbers of qualified personnel and in effectively managing our growth. Our inability to attract, retain, motivate and train qualified new personnel could have a material adverse effect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our Japan operations’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3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have already started to implement laws based on the Pillar Two Model Rules. Changes in U.S. or foreign tax laws,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or modified guidance with respect to existing tax laws, could have a material adverse impact on our liquidity, results of operations, financial condition and cash flows.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and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and Taiwan, and the Vietnam Facility is a new factory under construction in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the ongoing conflict in Ukraine); terrorist incidents and other hostilities in regions where we have facilities; and industrial accidents and other events, that could disrupt or even shutdown our operations. While our global manufacturing footprint allows us to shift production to other factories without substantial cost or production delays, certain of our services are currently performed using equipment located in one or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March 31, 2023.</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9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7"/>
        </w:trPr>
        <w:tc>
          <w:tcPr>
            <w:tcW w:w="198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4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Programs ($) (b)</w:t>
            </w:r>
          </w:p>
        </w:tc>
      </w:tr>
    </w:tbl>
    <w:p>
      <w:pPr>
        <w:spacing w:after="0" w:line="33" w:lineRule="exact"/>
        <w:rPr>
          <w:sz w:val="20"/>
          <w:szCs w:val="20"/>
          <w:color w:val="auto"/>
        </w:rPr>
      </w:pPr>
    </w:p>
    <w:p>
      <w:pPr>
        <w:sectPr>
          <w:pgSz w:w="11900" w:h="16838" w:orient="portrait"/>
          <w:cols w:equalWidth="0" w:num="2">
            <w:col w:w="6700" w:space="540"/>
            <w:col w:w="40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26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110,626</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shares issued to employees in connection with share-based compensation.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2011, we announced that our Board of Directors had authorized the repurchase of up to $150.0 million of our common stock, exclusive of any fees, commissions or other expenses, under the Stock Repurchase Program. On February 1, 2012, we announced that our Board of Directors had authorized an additional $150.0 million for the repurchase of our common stock under the Stock Repurchase Program, resulting in a total repurchase authorization under the Stock Repurchase Program of $300.0 million. Pursuant to the Stock Repurchase Program, we made no common stock purchases for the three months ended March 31, 2023, and at March 31, 2023, approximately $91.6 million was available for repurchase. Repurchases of our common stock under the Stock Repurchase Program are funded with available cash, and the Stock Repurchase Program may be suspended or discontinued at any time.</w:t>
      </w:r>
    </w:p>
    <w:p>
      <w:pPr>
        <w:spacing w:after="0" w:line="37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720" w:type="dxa"/>
            <w:vAlign w:val="bottom"/>
            <w:gridSpan w:val="15"/>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60" w:type="dxa"/>
            <w:vAlign w:val="bottom"/>
          </w:tcPr>
          <w:p>
            <w:pPr>
              <w:jc w:val="center"/>
              <w:ind w:left="1013"/>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5"/>
        </w:trPr>
        <w:tc>
          <w:tcPr>
            <w:tcW w:w="11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60" w:type="dxa"/>
            <w:vAlign w:val="bottom"/>
            <w:tcBorders>
              <w:bottom w:val="single" w:sz="8" w:color="auto"/>
            </w:tcBorders>
          </w:tcPr>
          <w:p>
            <w:pPr>
              <w:jc w:val="center"/>
              <w:ind w:left="1013"/>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3540" w:type="dxa"/>
            <w:vAlign w:val="bottom"/>
            <w:gridSpan w:val="1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60" w:type="dxa"/>
            <w:vAlign w:val="bottom"/>
            <w:vMerge w:val="restart"/>
          </w:tcPr>
          <w:p>
            <w:pPr>
              <w:jc w:val="center"/>
              <w:ind w:right="1093"/>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3"/>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5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5160" w:type="dxa"/>
            <w:vAlign w:val="bottom"/>
            <w:gridSpan w:val="14"/>
          </w:tcPr>
          <w:p>
            <w:pPr>
              <w:spacing w:after="0" w:line="188"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Second   Amended   and   Restated   Non-Employee   Director</w:t>
              </w:r>
            </w:hyperlink>
          </w:p>
        </w:tc>
        <w:tc>
          <w:tcPr>
            <w:tcW w:w="70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12/31/22</w:t>
            </w:r>
          </w:p>
        </w:tc>
        <w:tc>
          <w:tcPr>
            <w:tcW w:w="960" w:type="dxa"/>
            <w:vAlign w:val="bottom"/>
          </w:tcPr>
          <w:p>
            <w:pPr>
              <w:jc w:val="center"/>
              <w:ind w:right="115"/>
              <w:spacing w:after="0" w:line="188" w:lineRule="exact"/>
              <w:rPr>
                <w:sz w:val="20"/>
                <w:szCs w:val="20"/>
                <w:color w:val="auto"/>
              </w:rPr>
            </w:pPr>
            <w:r>
              <w:rPr>
                <w:rFonts w:ascii="Times New Roman" w:cs="Times New Roman" w:eastAsia="Times New Roman" w:hAnsi="Times New Roman"/>
                <w:sz w:val="18"/>
                <w:szCs w:val="18"/>
                <w:color w:val="auto"/>
                <w:w w:val="98"/>
              </w:rPr>
              <w:t>10.25</w:t>
            </w:r>
          </w:p>
        </w:tc>
        <w:tc>
          <w:tcPr>
            <w:tcW w:w="2060" w:type="dxa"/>
            <w:vAlign w:val="bottom"/>
          </w:tcPr>
          <w:p>
            <w:pPr>
              <w:jc w:val="center"/>
              <w:ind w:right="1093"/>
              <w:spacing w:after="0" w:line="188" w:lineRule="exact"/>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Compensation Policy*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5160" w:type="dxa"/>
            <w:vAlign w:val="bottom"/>
            <w:gridSpan w:val="14"/>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Executive Severance Agreement, dated February 13, 2023, between</w:t>
              </w:r>
            </w:hyperlink>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8"/>
                <w:szCs w:val="18"/>
                <w:color w:val="auto"/>
                <w:w w:val="98"/>
              </w:rPr>
              <w:t>10.34</w:t>
            </w:r>
          </w:p>
        </w:tc>
        <w:tc>
          <w:tcPr>
            <w:tcW w:w="2060" w:type="dxa"/>
            <w:vAlign w:val="bottom"/>
          </w:tcPr>
          <w:p>
            <w:pPr>
              <w:jc w:val="center"/>
              <w:ind w:right="10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68">
              <w:r>
                <w:rPr>
                  <w:rFonts w:ascii="Times New Roman" w:cs="Times New Roman" w:eastAsia="Times New Roman" w:hAnsi="Times New Roman"/>
                  <w:sz w:val="18"/>
                  <w:szCs w:val="18"/>
                  <w:color w:val="0000FF"/>
                  <w:w w:val="98"/>
                </w:rPr>
                <w:t>Amkor Technology, Inc. and Kevin Engel*</w:t>
              </w:r>
            </w:hyperlink>
          </w:p>
        </w:tc>
        <w:tc>
          <w:tcPr>
            <w:tcW w:w="20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5160" w:type="dxa"/>
            <w:vAlign w:val="bottom"/>
            <w:gridSpan w:val="14"/>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Executive  Employment  Agreement,  effective  January  1,  2023,</w:t>
              </w:r>
            </w:hyperlink>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8"/>
                <w:szCs w:val="18"/>
                <w:color w:val="auto"/>
                <w:w w:val="98"/>
              </w:rPr>
              <w:t>10.35</w:t>
            </w:r>
          </w:p>
        </w:tc>
        <w:tc>
          <w:tcPr>
            <w:tcW w:w="2060" w:type="dxa"/>
            <w:vAlign w:val="bottom"/>
          </w:tcPr>
          <w:p>
            <w:pPr>
              <w:jc w:val="center"/>
              <w:ind w:right="10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between Amkor Technology Korea, Inc. and Steve Shin*†</w:t>
              </w:r>
            </w:hyperlink>
          </w:p>
        </w:tc>
        <w:tc>
          <w:tcPr>
            <w:tcW w:w="8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w:t>
            </w:r>
          </w:p>
        </w:tc>
        <w:tc>
          <w:tcPr>
            <w:tcW w:w="5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Guillaume Marie Jean  Rutten,  Chief  Executive</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60" w:type="dxa"/>
            <w:vAlign w:val="bottom"/>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Officer of Amkor Technology, Inc., pursuant to Rule 13a-14(a) under</w:t>
            </w: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the Securities Exchange Act of 1934, as amended</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4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2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0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6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101.CAL</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101.LAB</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101.PRE</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101.DEF</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6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16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tcPr>
          <w:p>
            <w:pPr>
              <w:jc w:val="center"/>
              <w:ind w:left="1013"/>
              <w:spacing w:after="0" w:line="18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compensatory plan, contract or arrangement.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Exhibit includes confidential information that has been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70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17" w:right="339" w:bottom="1440" w:gutter="0" w:footer="0" w:header="0"/>
        </w:sectPr>
      </w:pPr>
    </w:p>
    <w:bookmarkStart w:id="51" w:name="page52"/>
    <w:bookmarkEnd w:id="51"/>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2023</w:t>
      </w:r>
    </w:p>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March 31, 2023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3, 2023</w:t>
            </w:r>
          </w:p>
        </w:tc>
      </w:tr>
      <w:tr>
        <w:trPr>
          <w:trHeight w:val="547"/>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2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3, 2023</w:t>
            </w:r>
          </w:p>
        </w:tc>
      </w:tr>
    </w:tbl>
    <w:p>
      <w:pPr>
        <w:spacing w:after="0" w:line="1" w:lineRule="exact"/>
        <w:rPr>
          <w:sz w:val="20"/>
          <w:szCs w:val="20"/>
          <w:color w:val="auto"/>
        </w:rPr>
      </w:pP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7" Type="http://schemas.openxmlformats.org/officeDocument/2006/relationships/hyperlink" Target="https://www.sec.gov/Archives/edgar/data/1047127/000104712723000009/amkr123122ex1025.htm" TargetMode="External"/><Relationship Id="rId68" Type="http://schemas.openxmlformats.org/officeDocument/2006/relationships/hyperlink" Target="https://www.sec.gov/Archives/edgar/data/1047127/000104712723000009/amkr123122ex1034.htm" TargetMode="External"/><Relationship Id="rId69" Type="http://schemas.openxmlformats.org/officeDocument/2006/relationships/hyperlink" Target="https://www.sec.gov/Archives/edgar/data/1047127/000104712723000009/amkr123122ex10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2023-05-03T14:40:25Z</dcterms:created>
  <dcterms:modified xsi:type="dcterms:W3CDTF">2023-05-03T14:40:25Z</dcterms:modified>
</cp:coreProperties>
</file>