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903605</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8, 2021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0"/>
                <w:szCs w:val="20"/>
                <w:color w:val="auto"/>
              </w:rPr>
            </w:pPr>
          </w:p>
        </w:tc>
        <w:tc>
          <w:tcPr>
            <w:tcW w:w="328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23-1722724</w:t>
            </w:r>
          </w:p>
        </w:tc>
      </w:tr>
      <w:tr>
        <w:trPr>
          <w:trHeight w:val="237"/>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40" w:type="dxa"/>
            <w:vAlign w:val="bottom"/>
          </w:tcPr>
          <w:p>
            <w:pPr>
              <w:spacing w:after="0"/>
              <w:rPr>
                <w:sz w:val="20"/>
                <w:szCs w:val="20"/>
                <w:color w:val="auto"/>
              </w:rPr>
            </w:pPr>
          </w:p>
        </w:tc>
        <w:tc>
          <w:tcPr>
            <w:tcW w:w="41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righ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8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34"/>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TEMPE, AZ 85284</w:t>
            </w:r>
          </w:p>
        </w:tc>
        <w:tc>
          <w:tcPr>
            <w:tcW w:w="302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2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spacing w:after="0"/>
              <w:rPr>
                <w:sz w:val="20"/>
                <w:szCs w:val="20"/>
                <w:color w:val="auto"/>
              </w:rPr>
            </w:pPr>
          </w:p>
        </w:tc>
      </w:tr>
    </w:tbl>
    <w:p>
      <w:pPr>
        <w:spacing w:after="0" w:line="28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390"/>
        </w:trPr>
        <w:tc>
          <w:tcPr>
            <w:tcW w:w="35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tcBorders>
              <w:bottom w:val="single" w:sz="8" w:color="auto"/>
            </w:tcBorders>
          </w:tcPr>
          <w:p>
            <w:pPr>
              <w:jc w:val="center"/>
              <w:ind w:left="236"/>
              <w:spacing w:after="0"/>
              <w:rPr>
                <w:sz w:val="20"/>
                <w:szCs w:val="20"/>
                <w:color w:val="auto"/>
              </w:rPr>
            </w:pPr>
            <w:r>
              <w:rPr>
                <w:rFonts w:ascii="Arial" w:cs="Arial" w:eastAsia="Arial" w:hAnsi="Arial"/>
                <w:sz w:val="18"/>
                <w:szCs w:val="18"/>
                <w:b w:val="1"/>
                <w:bCs w:val="1"/>
                <w:color w:val="auto"/>
                <w:w w:val="91"/>
              </w:rPr>
              <w:t>Trading Symbol</w:t>
            </w:r>
          </w:p>
        </w:tc>
        <w:tc>
          <w:tcPr>
            <w:tcW w:w="4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20" w:type="dxa"/>
            <w:vAlign w:val="bottom"/>
          </w:tcPr>
          <w:p>
            <w:pPr>
              <w:jc w:val="center"/>
              <w:ind w:left="370"/>
              <w:spacing w:after="0"/>
              <w:rPr>
                <w:sz w:val="20"/>
                <w:szCs w:val="20"/>
                <w:color w:val="auto"/>
              </w:rPr>
            </w:pPr>
            <w:r>
              <w:rPr>
                <w:rFonts w:ascii="Arial" w:cs="Arial" w:eastAsia="Arial" w:hAnsi="Arial"/>
                <w:sz w:val="18"/>
                <w:szCs w:val="18"/>
                <w:color w:val="auto"/>
                <w:w w:val="90"/>
              </w:rPr>
              <w:t>Common Stock, $0.001 par value</w:t>
            </w:r>
          </w:p>
        </w:tc>
        <w:tc>
          <w:tcPr>
            <w:tcW w:w="2800" w:type="dxa"/>
            <w:vAlign w:val="bottom"/>
          </w:tcPr>
          <w:p>
            <w:pPr>
              <w:jc w:val="center"/>
              <w:ind w:left="256"/>
              <w:spacing w:after="0"/>
              <w:rPr>
                <w:sz w:val="20"/>
                <w:szCs w:val="20"/>
                <w:color w:val="auto"/>
              </w:rPr>
            </w:pPr>
            <w:r>
              <w:rPr>
                <w:rFonts w:ascii="Arial" w:cs="Arial" w:eastAsia="Arial" w:hAnsi="Arial"/>
                <w:sz w:val="18"/>
                <w:szCs w:val="18"/>
                <w:color w:val="auto"/>
              </w:rPr>
              <w:t>AMKR</w:t>
            </w:r>
          </w:p>
        </w:tc>
        <w:tc>
          <w:tcPr>
            <w:tcW w:w="4880" w:type="dxa"/>
            <w:vAlign w:val="bottom"/>
          </w:tcPr>
          <w:p>
            <w:pPr>
              <w:jc w:val="center"/>
              <w:ind w:right="10"/>
              <w:spacing w:after="0"/>
              <w:rPr>
                <w:sz w:val="20"/>
                <w:szCs w:val="20"/>
                <w:color w:val="auto"/>
              </w:rPr>
            </w:pPr>
            <w:r>
              <w:rPr>
                <w:rFonts w:ascii="Arial" w:cs="Arial" w:eastAsia="Arial" w:hAnsi="Arial"/>
                <w:sz w:val="18"/>
                <w:szCs w:val="18"/>
                <w:color w:val="auto"/>
                <w:w w:val="93"/>
              </w:rPr>
              <w:t>The NASDAQ Global Select Market</w:t>
            </w:r>
          </w:p>
        </w:tc>
      </w:tr>
    </w:tbl>
    <w:p>
      <w:pPr>
        <w:spacing w:after="0" w:line="79"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0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Attached hereto as Exhibit 99.1 and incorporated by reference herein is financial information for Amkor Technology, Inc. for the three months and year ended December 31, 2020, and forward-looking statements relating to the first quarter and full year 2021 as presented in a press release dated February 8, 2021. The information in this Form 8-K and the exhibit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6" w:lineRule="exact"/>
        <w:rPr>
          <w:sz w:val="20"/>
          <w:szCs w:val="20"/>
          <w:color w:val="auto"/>
        </w:rPr>
      </w:pPr>
    </w:p>
    <w:p>
      <w:pPr>
        <w:ind w:left="260"/>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Text of Press Release dated February 8, 2021, which is furnished (not filed) herewith.</w:t>
        </w:r>
      </w:hyperlink>
    </w:p>
    <w:p>
      <w:pPr>
        <w:spacing w:after="0" w:line="23"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ind w:left="418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14605</wp:posOffset>
            </wp:positionV>
            <wp:extent cx="299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Megan Faust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Executive Vice President and Chief Financial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2021</w:t>
      </w:r>
    </w:p>
    <w:p>
      <w:pPr>
        <w:sectPr>
          <w:pgSz w:w="11900" w:h="16838" w:orient="portrait"/>
          <w:cols w:equalWidth="0" w:num="1">
            <w:col w:w="11240"/>
          </w:cols>
          <w:pgMar w:left="320" w:top="1255" w:right="339" w:bottom="1440" w:gutter="0" w:footer="0" w:header="0"/>
        </w:sectPr>
      </w:pPr>
    </w:p>
    <w:bookmarkStart w:id="3" w:name="page4"/>
    <w:bookmarkEnd w:id="3"/>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886460</wp:posOffset>
            </wp:positionV>
            <wp:extent cx="72009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90" cy="282575"/>
                    </a:xfrm>
                    <a:prstGeom prst="rect">
                      <a:avLst/>
                    </a:prstGeom>
                    <a:noFill/>
                  </pic:spPr>
                </pic:pic>
              </a:graphicData>
            </a:graphic>
          </wp:anchor>
        </w:drawing>
      </w:r>
    </w:p>
    <w:p>
      <w:pPr>
        <w:ind w:left="9620"/>
        <w:spacing w:after="0"/>
        <w:rPr>
          <w:sz w:val="20"/>
          <w:szCs w:val="20"/>
          <w:color w:val="auto"/>
        </w:rPr>
      </w:pPr>
      <w:r>
        <w:rPr>
          <w:rFonts w:ascii="Arial" w:cs="Arial" w:eastAsia="Arial" w:hAnsi="Arial"/>
          <w:sz w:val="17"/>
          <w:szCs w:val="17"/>
          <w:color w:val="auto"/>
        </w:rPr>
        <w:t>NOT FOR RELEASE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Reports Financial Results for the Fourth Quarter and Full Year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Growth of 25% Drove Record Revenue and EPS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2020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sales $1.37 billion, up 16.3% year on year</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20.3%, operating income margin 11.6%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$127 million, earnings per diluted share $0.52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$288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2020 Highlights:</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$5.05 billion, up 24.6% year on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$338 million, earnings per diluted share $1.40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$960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from operations $770 million and free cash flow $221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Sixth consecutive year of positive free cash flow</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TEMPE, Ariz. - February 8, 2021 - </w:t>
      </w:r>
      <w:r>
        <w:rPr>
          <w:rFonts w:ascii="Arial" w:cs="Arial" w:eastAsia="Arial" w:hAnsi="Arial"/>
          <w:sz w:val="18"/>
          <w:szCs w:val="18"/>
          <w:color w:val="auto"/>
        </w:rPr>
        <w:t>Amkor Technology, Inc. (NASDAQ: AMKR), a leading provider of semiconductor packaging and test services,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fourth quarter and full year ended December 31, 2020.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“Better than expected demand for smartphone and automotive products drove fourth quarter revenue up 16% year on year to a record $1.37 billion,” said Giel Rutten, Amkor’s president and chief executive officer. “For full year 2020, we delivered record revenue of $5.05 billion, an increase of nearly $1 billion over 2019. Demand for advanced packages, particularly advanced SiP, drove strong growth in the consumer, communications and computing end markets.”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“High utilization drove gross margin over 20%, and operating income margin reached 11.6% in the fourth quarter. The improved profitability and continued spending discipline resulted in record annual EPS of $1.40,” said Megan Faust, Amkor’s executive vice president and chief financial officer. “In 2020, free cash flow doubled from 2019 to a record $221 million. We also further strengthened our balance sheet by lowering our blended borrowing rate and paying down approximately $300 million in debt, ending the year with all-time low net debt of $322 million.”</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Results</w:t>
            </w:r>
          </w:p>
        </w:tc>
        <w:tc>
          <w:tcPr>
            <w:tcW w:w="18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1"/>
              </w:rPr>
              <w:t>Q4 2020 (1)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Q3 2020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Q4 2019 (2)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2020 (1)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 (3)</w:t>
            </w:r>
          </w:p>
        </w:tc>
      </w:tr>
      <w:tr>
        <w:trPr>
          <w:trHeight w:val="222"/>
        </w:trPr>
        <w:tc>
          <w:tcPr>
            <w:tcW w:w="3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80" w:type="dxa"/>
            <w:vAlign w:val="bottom"/>
            <w:gridSpan w:val="3"/>
          </w:tcPr>
          <w:p>
            <w:pPr>
              <w:ind w:left="800"/>
              <w:spacing w:after="0"/>
              <w:rPr>
                <w:sz w:val="20"/>
                <w:szCs w:val="20"/>
                <w:color w:val="auto"/>
              </w:rPr>
            </w:pPr>
            <w:r>
              <w:rPr>
                <w:rFonts w:ascii="Arial" w:cs="Arial" w:eastAsia="Arial" w:hAnsi="Arial"/>
                <w:sz w:val="18"/>
                <w:szCs w:val="18"/>
                <w:color w:val="auto"/>
              </w:rPr>
              <w:t>($ in millions, except per share amounts)</w:t>
            </w:r>
          </w:p>
        </w:tc>
        <w:tc>
          <w:tcPr>
            <w:tcW w:w="1560" w:type="dxa"/>
            <w:vAlign w:val="bottom"/>
          </w:tcPr>
          <w:p>
            <w:pPr>
              <w:spacing w:after="0"/>
              <w:rPr>
                <w:sz w:val="19"/>
                <w:szCs w:val="19"/>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87"/>
              </w:rPr>
              <w:t>$1,371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$1,354</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$1,178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$5,051</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$4,053</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93"/>
              </w:rPr>
              <w:t>20.3%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17.8%</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18.9%</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17.8%</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16.0%</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89"/>
              </w:rPr>
              <w:t>$159</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$127</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$118</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$457</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$233</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Net income attributable to Amkor</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89"/>
              </w:rPr>
              <w:t>$127</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$92</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$99</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$121</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88"/>
              </w:rPr>
              <w:t>$0.52</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$0.38</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$0.41</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$1.40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EBITDA (4)</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89"/>
              </w:rPr>
              <w:t>$288</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$255</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$244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$960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$756</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Annual free cash flow (4)</w:t>
            </w:r>
          </w:p>
        </w:tc>
        <w:tc>
          <w:tcPr>
            <w:tcW w:w="1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$221</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$104</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Net debt (4)</w:t>
            </w: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$322</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$549</w:t>
            </w:r>
          </w:p>
        </w:tc>
      </w:tr>
    </w:tbl>
    <w:p>
      <w:pPr>
        <w:spacing w:after="0" w:line="323" w:lineRule="exact"/>
        <w:rPr>
          <w:sz w:val="20"/>
          <w:szCs w:val="20"/>
          <w:color w:val="auto"/>
        </w:rPr>
      </w:pPr>
    </w:p>
    <w:p>
      <w:pPr>
        <w:ind w:left="260" w:hanging="252"/>
        <w:spacing w:after="0" w:line="258" w:lineRule="auto"/>
        <w:tabs>
          <w:tab w:leader="none" w:pos="288" w:val="left"/>
        </w:tabs>
        <w:numPr>
          <w:ilvl w:val="0"/>
          <w:numId w:val="4"/>
        </w:numPr>
        <w:rPr>
          <w:rFonts w:ascii="Arial" w:cs="Arial" w:eastAsia="Arial" w:hAnsi="Arial"/>
          <w:sz w:val="18"/>
          <w:szCs w:val="18"/>
          <w:color w:val="auto"/>
        </w:rPr>
      </w:pPr>
      <w:r>
        <w:rPr>
          <w:rFonts w:ascii="Arial" w:cs="Arial" w:eastAsia="Arial" w:hAnsi="Arial"/>
          <w:sz w:val="18"/>
          <w:szCs w:val="18"/>
          <w:color w:val="auto"/>
        </w:rPr>
        <w:t>Q4 and full year 2020 net income includes a $20 million discrete income tax benefit, or $0.08 per diluted share, primarily related to changes in the valuation of certain deferred tax assets.</w:t>
      </w:r>
    </w:p>
    <w:p>
      <w:pPr>
        <w:spacing w:after="0" w:line="1" w:lineRule="exact"/>
        <w:rPr>
          <w:rFonts w:ascii="Arial" w:cs="Arial" w:eastAsia="Arial" w:hAnsi="Arial"/>
          <w:sz w:val="18"/>
          <w:szCs w:val="18"/>
          <w:color w:val="auto"/>
        </w:rPr>
      </w:pPr>
    </w:p>
    <w:p>
      <w:pPr>
        <w:ind w:left="260" w:hanging="252"/>
        <w:spacing w:after="0" w:line="260" w:lineRule="auto"/>
        <w:tabs>
          <w:tab w:leader="none" w:pos="273" w:val="left"/>
        </w:tabs>
        <w:numPr>
          <w:ilvl w:val="0"/>
          <w:numId w:val="4"/>
        </w:numPr>
        <w:rPr>
          <w:rFonts w:ascii="Arial" w:cs="Arial" w:eastAsia="Arial" w:hAnsi="Arial"/>
          <w:sz w:val="18"/>
          <w:szCs w:val="18"/>
          <w:color w:val="auto"/>
        </w:rPr>
      </w:pPr>
      <w:r>
        <w:rPr>
          <w:rFonts w:ascii="Arial" w:cs="Arial" w:eastAsia="Arial" w:hAnsi="Arial"/>
          <w:sz w:val="18"/>
          <w:szCs w:val="18"/>
          <w:color w:val="auto"/>
        </w:rPr>
        <w:t>Q4 2019 net income includes a $4 million discrete income tax benefit, or $0.01 per diluted share, primarily related to changes in the valuation of certain deferred tax assets.</w:t>
      </w:r>
    </w:p>
    <w:p>
      <w:pPr>
        <w:sectPr>
          <w:pgSz w:w="11900" w:h="16838" w:orient="portrait"/>
          <w:cols w:equalWidth="0" w:num="1">
            <w:col w:w="11240"/>
          </w:cols>
          <w:pgMar w:left="320" w:top="1440" w:right="339" w:bottom="1440" w:gutter="0" w:footer="0" w:header="0"/>
        </w:sectPr>
      </w:pPr>
    </w:p>
    <w:bookmarkStart w:id="4" w:name="page5"/>
    <w:bookmarkEnd w:id="4"/>
    <w:p>
      <w:pPr>
        <w:ind w:left="260" w:hanging="252"/>
        <w:spacing w:after="0" w:line="291" w:lineRule="auto"/>
        <w:tabs>
          <w:tab w:leader="none" w:pos="281" w:val="left"/>
        </w:tabs>
        <w:numPr>
          <w:ilvl w:val="0"/>
          <w:numId w:val="5"/>
        </w:numPr>
        <w:rPr>
          <w:rFonts w:ascii="Arial" w:cs="Arial" w:eastAsia="Arial" w:hAnsi="Arial"/>
          <w:sz w:val="16"/>
          <w:szCs w:val="16"/>
          <w:color w:val="auto"/>
        </w:rPr>
      </w:pPr>
      <w:r>
        <w:rPr>
          <w:rFonts w:ascii="Arial" w:cs="Arial" w:eastAsia="Arial" w:hAnsi="Arial"/>
          <w:sz w:val="16"/>
          <w:szCs w:val="16"/>
          <w:color w:val="auto"/>
        </w:rPr>
        <w:t>Full year 2019 net income includes an $8 million charge, or $0.03 per share, related to the early redemption of $525 million of senior notes due 2022 and a net $11 million discrete income tax charge, or $0.05 per diluted share, related to changes in the valuation of certain deferred tax assets.</w:t>
      </w:r>
    </w:p>
    <w:p>
      <w:pPr>
        <w:ind w:left="260" w:hanging="252"/>
        <w:spacing w:after="0" w:line="260" w:lineRule="auto"/>
        <w:tabs>
          <w:tab w:leader="none" w:pos="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free cash flow and net debt are non-GAAP measures. The reconciliations to the comparable GAAP measures are included below under “Selected Operating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total cash and short-term investments was $832 million, and total debt was $1.154 billion.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expect the first quarter to be another strong quarter, with revenue projected to be 15% above the first quarter of 2020, driven by continued recovery in automotive and better than seasonal demand for smartphones,” said Rutten. “We see 2021 as another good growth year for Amkor as 5G deployment, high performance computing, IoT wearables and recovery in automotive are all expected to drive strong demand for our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2021 outlook (unless otherwise noted):</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of $1.27 billion to $1.37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of 17% to 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of $70 million to $118 million, or $0.29 to $0.48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year 2021 capital expenditures to be around $700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Amkor will conduct a conference call on Monday, February 8, 2021, at 5:00 p.m. Eastern Time. This call may include material information not included in this press release. This call is being webcast and can be accessed at Amkor’s website: www.amkor.com. You may also access the call by dialing 1-877-407-4019 or 1-201-689-8337. A replay of the call will be made available at Amkor’s website or by dialing 1-877-660-6853 or 1-201-612-7415 (conference ID 13715048). The webcast is also being distributed over NASDAQ OMX’s investor distribution network to both institutional and individual investors. Institutional investors can access the call via NASDAQ OMX’s password-protected event management site, Street Events (www.streetevents.com).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Amkor</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Amkor Technology, Inc. is one of the world’s largest providers of outsourced semiconductor packaging and test services. Founded in 1968, Amkor pioneered the outsourcing of IC packaging and test, and is now a strategic manufacturing partner for the world’s leading semiconductor companies, foundries and electronics OEMs. Amkor’s operational base includes production facilities, product development centers and sales and support offices located in key electronics manufacturing regions in Asia, Europe and the USA. For more information visit www.amkor.com.</w:t>
      </w:r>
    </w:p>
    <w:p>
      <w:pPr>
        <w:sectPr>
          <w:pgSz w:w="11900" w:h="16838" w:orient="portrait"/>
          <w:cols w:equalWidth="0" w:num="1">
            <w:col w:w="11240"/>
          </w:cols>
          <w:pgMar w:left="320" w:top="125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Vincent Keenan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480-786-7594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vincent.keenan@amkor.com</w:t>
      </w:r>
    </w:p>
    <w:p>
      <w:pPr>
        <w:sectPr>
          <w:pgSz w:w="11900" w:h="16838" w:orient="portrait"/>
          <w:cols w:equalWidth="0" w:num="1">
            <w:col w:w="10139"/>
          </w:cols>
          <w:pgMar w:left="320" w:top="1255"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Q4 2020</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Q3 2020</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Q4 2019</w:t>
            </w:r>
          </w:p>
        </w:tc>
        <w:tc>
          <w:tcPr>
            <w:tcW w:w="24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202"/>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 Data:</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sales (in millions):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Advanced products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2,111</w:t>
            </w:r>
          </w:p>
        </w:tc>
      </w:tr>
      <w:tr>
        <w:trPr>
          <w:trHeight w:val="213"/>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Mainstream products (2)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511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1,942</w:t>
            </w:r>
          </w:p>
        </w:tc>
      </w:tr>
      <w:tr>
        <w:trPr>
          <w:trHeight w:val="23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4,053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Packaging services</w:t>
            </w:r>
          </w:p>
        </w:tc>
        <w:tc>
          <w:tcPr>
            <w:tcW w:w="98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84 %</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Test services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3"/>
        </w:trPr>
        <w:tc>
          <w:tcPr>
            <w:tcW w:w="5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from top ten customers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03"/>
        </w:trPr>
        <w:tc>
          <w:tcPr>
            <w:tcW w:w="5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 Market Distribution Data</w:t>
            </w: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Communications (handheld devices, smartphones, tablets)</w:t>
            </w:r>
          </w:p>
        </w:tc>
        <w:tc>
          <w:tcPr>
            <w:tcW w:w="98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Consumer (connected home, set-top boxes, televisions, visual imaging, wearables)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Automotive, industrial and other (driver assist, infotainment, performance, safety)</w:t>
            </w:r>
          </w:p>
        </w:tc>
        <w:tc>
          <w:tcPr>
            <w:tcW w:w="98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Computing (datacenter, infrastructure, PC/laptops, storage)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8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Gross Margin Data: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Materials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r>
      <w:tr>
        <w:trPr>
          <w:trHeight w:val="213"/>
        </w:trPr>
        <w:tc>
          <w:tcPr>
            <w:tcW w:w="5880" w:type="dxa"/>
            <w:vAlign w:val="bottom"/>
          </w:tcPr>
          <w:p>
            <w:pPr>
              <w:ind w:left="140"/>
              <w:spacing w:after="0"/>
              <w:rPr>
                <w:sz w:val="20"/>
                <w:szCs w:val="20"/>
                <w:color w:val="auto"/>
              </w:rPr>
            </w:pPr>
            <w:r>
              <w:rPr>
                <w:rFonts w:ascii="Arial" w:cs="Arial" w:eastAsia="Arial" w:hAnsi="Arial"/>
                <w:sz w:val="16"/>
                <w:szCs w:val="16"/>
                <w:color w:val="auto"/>
              </w:rPr>
              <w:t>Labor</w:t>
            </w:r>
          </w:p>
        </w:tc>
        <w:tc>
          <w:tcPr>
            <w:tcW w:w="980" w:type="dxa"/>
            <w:vAlign w:val="bottom"/>
          </w:tcPr>
          <w:p>
            <w:pPr>
              <w:jc w:val="right"/>
              <w:spacing w:after="0"/>
              <w:rPr>
                <w:sz w:val="20"/>
                <w:szCs w:val="20"/>
                <w:color w:val="auto"/>
              </w:rPr>
            </w:pPr>
            <w:r>
              <w:rPr>
                <w:rFonts w:ascii="Arial" w:cs="Arial" w:eastAsia="Arial" w:hAnsi="Arial"/>
                <w:sz w:val="16"/>
                <w:szCs w:val="16"/>
                <w:color w:val="auto"/>
              </w:rPr>
              <w:t>12.9 %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13.9 %</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16.0 %</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manufacturing</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24.6 %</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28.0 %</w:t>
            </w: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20.3 %</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18.9 %</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16.0 %</w:t>
            </w:r>
          </w:p>
        </w:tc>
      </w:tr>
      <w:tr>
        <w:trPr>
          <w:trHeight w:val="20"/>
        </w:trPr>
        <w:tc>
          <w:tcPr>
            <w:tcW w:w="5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Advanced products include flip chip and wafer-level processing and related test services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Mainstream products include wirebond packaging and related test services</w:t>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this press release, we refer to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and our ability to service debt, and our ability to fund capital expenditures and pay dividends.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Non-GAAP Financial Measures Reconciliation:</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Q4 2020</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Q3 2020</w:t>
            </w: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Q4 2019</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2019</w:t>
            </w:r>
          </w:p>
        </w:tc>
      </w:tr>
      <w:tr>
        <w:trPr>
          <w:trHeight w:val="207"/>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Data:</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123</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Interest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Plus: Income tax expense</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Depreciation &amp;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524</w:t>
            </w:r>
          </w:p>
        </w:tc>
      </w:tr>
      <w:tr>
        <w:trPr>
          <w:trHeight w:val="213"/>
        </w:trPr>
        <w:tc>
          <w:tcPr>
            <w:tcW w:w="6280" w:type="dxa"/>
            <w:vAlign w:val="bottom"/>
          </w:tcPr>
          <w:p>
            <w:pPr>
              <w:ind w:left="22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756</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this press release, we refer to free cash flow, which is not defined by U.S. GAAP. We define free cash flow as net cash provided by operating activities less payments for property, plant and equipment, plus proceeds from the sale of and insurance recovery for property, plant and equipment, if applicable. We believe free cash flow to be relevant and useful information to our investors because it provides them with additional information in assessing our liquidity, capital resources and financial operating results. Our management uses free cash flow in evaluating our liquidity, and our ability to service debt, and our ability to fund capital expenditures and pay dividends.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 Below is our reconciliation of free cash flow to U.S. GAAP net cash provided by operating activities.</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Non-GAAP Financial Measures Reconciliation:</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9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2019</w:t>
            </w:r>
          </w:p>
        </w:tc>
      </w:tr>
      <w:tr>
        <w:trPr>
          <w:trHeight w:val="213"/>
        </w:trPr>
        <w:tc>
          <w:tcPr>
            <w:tcW w:w="9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4"/>
          </w:tcPr>
          <w:p>
            <w:pPr>
              <w:jc w:val="right"/>
              <w:ind w:right="44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 Data:</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93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9"/>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Purchases of property, plant and equipment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13"/>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Plus: Proceeds from sale of and insurance recovery for property, plant and equipment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9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press release also includes net debt, which is not defined by U.S. GAAP. We define net debt as total debt as reported on the consolidated balance sheet less the sum of cash and cash equivalents, and short term investments. We believe net debt to be relevant and useful information to our investors because it provides them with additional information in assessing our capital structure, financial leverage, and our ability to reduce debt and to fund investing and financing activities. This measure should be considered in addition to, and not as a substitute for, or superior to, total debt, prepared in accordance with U.S. GAAP. Furthermore, our definition of net debt may not be comparable to similarly titled measures reported by other companies.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Non-GAAP Financial Measure Reconciliation: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2019</w:t>
            </w:r>
          </w:p>
        </w:tc>
      </w:tr>
      <w:tr>
        <w:trPr>
          <w:trHeight w:val="207"/>
        </w:trPr>
        <w:tc>
          <w:tcPr>
            <w:tcW w:w="9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4"/>
          </w:tcPr>
          <w:p>
            <w:pPr>
              <w:jc w:val="right"/>
              <w:ind w:right="44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Debt Data: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93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1,154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213"/>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Investments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December 31,</w:t>
            </w:r>
          </w:p>
        </w:tc>
        <w:tc>
          <w:tcPr>
            <w:tcW w:w="280" w:type="dxa"/>
            <w:vAlign w:val="bottom"/>
          </w:tcPr>
          <w:p>
            <w:pPr>
              <w:spacing w:after="0"/>
              <w:rPr>
                <w:sz w:val="16"/>
                <w:szCs w:val="16"/>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1,178,464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5,050,589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4,052,650</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4,149,775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3,403,211</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649,439</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278,631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137,638</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416,269</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71,587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239,725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243,356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241,146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83"/>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31"/>
        </w:trPr>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894,948</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962,643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850,753</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220,602</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w:t>
            </w: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2,001,533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2,566,002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2,404,850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148,549</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25,976</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111,733</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5,022,311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4,695,615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8220" w:type="dxa"/>
            <w:vAlign w:val="bottom"/>
            <w:shd w:val="clear" w:color="auto" w:fill="CCEEFF"/>
          </w:tcPr>
          <w:p>
            <w:pPr>
              <w:ind w:left="296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144,479</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636,434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571,054</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77,044</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267,226</w:t>
            </w: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1,059,803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1,005,339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1,305,755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severance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176,971</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91,107</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71,740</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2,705,376</w:t>
            </w:r>
          </w:p>
        </w:tc>
      </w:tr>
      <w:tr>
        <w:trPr>
          <w:trHeight w:val="237"/>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Amkor stockholders’ equity:</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1,953,378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1,927,739</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562,502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234,077</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stock</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(217,479)</w:t>
            </w: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Amkor stockholders’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1,963,739</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26,500</w:t>
            </w: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2,353,959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1,990,239</w:t>
            </w: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5,022,311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4,695,615</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187"/>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81"/>
        </w:trPr>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5"/>
                <w:szCs w:val="15"/>
                <w:color w:val="auto"/>
              </w:rPr>
            </w:pPr>
          </w:p>
        </w:tc>
      </w:tr>
      <w:tr>
        <w:trPr>
          <w:trHeight w:val="232"/>
        </w:trPr>
        <w:tc>
          <w:tcPr>
            <w:tcW w:w="82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510,396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524,177</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42,935</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(125,890)</w:t>
            </w: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563,850</w:t>
            </w:r>
          </w:p>
        </w:tc>
      </w:tr>
      <w:tr>
        <w:trPr>
          <w:trHeight w:val="237"/>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(472,433)</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short-term investments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247,081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(462,489)</w:t>
            </w:r>
          </w:p>
        </w:tc>
      </w:tr>
      <w:tr>
        <w:trPr>
          <w:trHeight w:val="237"/>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272,700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(272,700)</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86,769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51,434</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(52,635)</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331,033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975,575</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(862,927)</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(6,574)</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w:t>
            </w:r>
          </w:p>
        </w:tc>
      </w:tr>
      <w:tr>
        <w:trPr>
          <w:trHeight w:val="237"/>
        </w:trPr>
        <w:tc>
          <w:tcPr>
            <w:tcW w:w="8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r>
      <w:tr>
        <w:trPr>
          <w:trHeight w:val="236"/>
        </w:trPr>
        <w:tc>
          <w:tcPr>
            <w:tcW w:w="8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20" w:right="2580"/>
        <w:spacing w:after="0" w:line="325" w:lineRule="auto"/>
        <w:rPr>
          <w:sz w:val="20"/>
          <w:szCs w:val="20"/>
          <w:color w:val="auto"/>
        </w:rPr>
      </w:pPr>
      <w:r>
        <w:rPr>
          <w:rFonts w:ascii="Arial" w:cs="Arial" w:eastAsia="Arial" w:hAnsi="Arial"/>
          <w:sz w:val="16"/>
          <w:szCs w:val="16"/>
          <w:color w:val="auto"/>
        </w:rPr>
        <w:t>Net (decrease) increase in cash, cash equivalents and restricted cash 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1040" w:type="dxa"/>
            <w:vAlign w:val="bottom"/>
          </w:tcPr>
          <w:p>
            <w:pPr>
              <w:jc w:val="center"/>
              <w:ind w:left="170"/>
              <w:spacing w:after="0"/>
              <w:rPr>
                <w:sz w:val="20"/>
                <w:szCs w:val="20"/>
                <w:color w:val="auto"/>
              </w:rPr>
            </w:pPr>
            <w:r>
              <w:rPr>
                <w:rFonts w:ascii="Arial" w:cs="Arial" w:eastAsia="Arial" w:hAnsi="Arial"/>
                <w:sz w:val="18"/>
                <w:szCs w:val="18"/>
                <w:color w:val="auto"/>
                <w:w w:val="90"/>
              </w:rPr>
              <w:t>(196,335)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210,481</w:t>
            </w:r>
          </w:p>
        </w:tc>
      </w:tr>
      <w:tr>
        <w:trPr>
          <w:trHeight w:val="230"/>
        </w:trPr>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898,532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688,051</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702,197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898,532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500" w:space="720"/>
            <w:col w:w="3020"/>
          </w:cols>
          <w:pgMar w:left="320" w:top="36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All statements other than statements of historical fact are considered forward-looking statements, including all of the statements made under “Business Outlook” above. These forward-looking statements involve a number of risks, uncertainties, assumptions and other factors that could affect future results and cause actual results and events to differ materially from historical and expected results and those expressed or implied in the forward-looking statements, including, but not limited to, the following:</w:t>
      </w:r>
    </w:p>
    <w:p>
      <w:pPr>
        <w:spacing w:after="0" w:line="49"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downturns and declines in global economic and financial conditions;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 and fluctuations in our manufacturing yields;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 including any disruption in the supply of certain materials due to regulations and customer requirements, as well as production delays, wage inflation, fluctuations in commodity prices and supply constraints;</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other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other governments;</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our integrated device manufacturer and foundry customers to curtail outsourcing;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achieving high capacity utilization rates due to high percentage of 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can be no assurance regarding when our factory and research and development center in Korea will be fully utilized, or that the actual scope, costs, timeline or benefits of the project will be consistent with our expectations;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warranty claims, product return and liability risks, and the risk of negative publicity if our products fail, as well as the risk of litigation incident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substantial indebtedness and restrictive covenants in the indentures and agreements governing our current and future indebtedness;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that we may decrease or suspend our quarterly dividend;</w:t>
      </w:r>
    </w:p>
    <w:p>
      <w:pPr>
        <w:sectPr>
          <w:pgSz w:w="11900" w:h="16838" w:orient="portrait"/>
          <w:cols w:equalWidth="0" w:num="1">
            <w:col w:w="11240"/>
          </w:cols>
          <w:pgMar w:left="320" w:top="891" w:right="339" w:bottom="1440" w:gutter="0" w:footer="0" w:header="0"/>
        </w:sectPr>
      </w:pPr>
    </w:p>
    <w:bookmarkStart w:id="13" w:name="page14"/>
    <w:bookmarkEnd w:id="13"/>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significant severance plan obligations associated with our manufacturing operations in Korea;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important risk factors that could affect the outcome of the events set forth in these statements and that could affect our operating results and financial condition are discussed in the company’s Annual Report on Form 10-K for the year ended December 31, 2019 and in the company’s subsequent filings with the Securities and Exchange Commission made prior to or after the date hereof. Amkor undertakes no obligation to review or update any forward-looking statements to reflect events or circumstances occurring after the date of this press release except as may be required by law.</w:t>
      </w:r>
    </w:p>
    <w:sectPr>
      <w:pgSz w:w="11900" w:h="16838" w:orient="portrait"/>
      <w:cols w:equalWidth="0" w:num="1">
        <w:col w:w="11240"/>
      </w:cols>
      <w:pgMar w:left="320" w:top="10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2021-02-08T15:08:14Z</dcterms:created>
  <dcterms:modified xsi:type="dcterms:W3CDTF">2021-02-08T15:08:14Z</dcterms:modified>
</cp:coreProperties>
</file>