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843280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800735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2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05" w:lineRule="exact"/>
        <w:rPr>
          <w:sz w:val="24"/>
          <w:szCs w:val="24"/>
          <w:color w:val="auto"/>
        </w:rPr>
      </w:pPr>
    </w:p>
    <w:p>
      <w:pPr>
        <w:ind w:left="1920" w:right="2360" w:hanging="888"/>
        <w:spacing w:after="0" w:line="238" w:lineRule="auto"/>
        <w:tabs>
          <w:tab w:leader="none" w:pos="1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2020</w:t>
      </w:r>
    </w:p>
    <w:p>
      <w:pPr>
        <w:spacing w:after="0" w:line="83" w:lineRule="exact"/>
        <w:rPr>
          <w:sz w:val="24"/>
          <w:szCs w:val="24"/>
          <w:color w:val="auto"/>
        </w:rPr>
      </w:pPr>
    </w:p>
    <w:p>
      <w:pPr>
        <w:ind w:left="55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4" w:lineRule="exact"/>
        <w:rPr>
          <w:sz w:val="24"/>
          <w:szCs w:val="24"/>
          <w:color w:val="auto"/>
        </w:rPr>
      </w:pPr>
    </w:p>
    <w:p>
      <w:pPr>
        <w:ind w:left="1920" w:right="2340" w:hanging="888"/>
        <w:spacing w:after="0" w:line="238" w:lineRule="auto"/>
        <w:tabs>
          <w:tab w:leader="none" w:pos="19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ectPr>
          <w:pgSz w:w="11900" w:h="16838" w:orient="portrait"/>
          <w:cols w:equalWidth="0" w:num="1">
            <w:col w:w="11240"/>
          </w:cols>
          <w:pgMar w:left="320" w:top="1440" w:right="339" w:bottom="1440" w:gutter="0" w:footer="0" w:header="0"/>
        </w:sectPr>
      </w:pPr>
    </w:p>
    <w:p>
      <w:pPr>
        <w:spacing w:after="0" w:line="1"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159" w:lineRule="exact"/>
        <w:rPr>
          <w:sz w:val="24"/>
          <w:szCs w:val="24"/>
          <w:color w:val="auto"/>
        </w:rPr>
      </w:pPr>
    </w:p>
    <w:p>
      <w:pPr>
        <w:sectPr>
          <w:pgSz w:w="11900" w:h="16838" w:orient="portrait"/>
          <w:cols w:equalWidth="0" w:num="2">
            <w:col w:w="4240" w:space="460"/>
            <w:col w:w="6540"/>
          </w:cols>
          <w:pgMar w:left="320" w:top="1440"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000-29472</w:t>
      </w:r>
    </w:p>
    <w:p>
      <w:pPr>
        <w:sectPr>
          <w:pgSz w:w="11900" w:h="16838" w:orient="portrait"/>
          <w:cols w:equalWidth="0" w:num="1">
            <w:col w:w="11240"/>
          </w:cols>
          <w:pgMar w:left="320" w:top="1440" w:right="339" w:bottom="1440" w:gutter="0" w:footer="0" w:header="0"/>
          <w:type w:val="continuous"/>
        </w:sectPr>
      </w:pP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526"/>
        </w:trPr>
        <w:tc>
          <w:tcPr>
            <w:tcW w:w="11240" w:type="dxa"/>
            <w:vAlign w:val="bottom"/>
            <w:gridSpan w:val="3"/>
          </w:tcPr>
          <w:p>
            <w:pPr>
              <w:jc w:val="center"/>
              <w:spacing w:after="0"/>
              <w:rPr>
                <w:sz w:val="20"/>
                <w:szCs w:val="20"/>
                <w:color w:val="auto"/>
              </w:rPr>
            </w:pPr>
            <w:r>
              <w:rPr>
                <w:rFonts w:ascii="Times New Roman" w:cs="Times New Roman" w:eastAsia="Times New Roman" w:hAnsi="Times New Roman"/>
                <w:sz w:val="43"/>
                <w:szCs w:val="43"/>
                <w:b w:val="1"/>
                <w:bCs w:val="1"/>
                <w:color w:val="auto"/>
                <w:w w:val="99"/>
              </w:rPr>
              <w:t>AMKOR TECHNOLOGY, INC.</w:t>
            </w:r>
          </w:p>
        </w:tc>
      </w:tr>
      <w:tr>
        <w:trPr>
          <w:trHeight w:val="190"/>
        </w:trPr>
        <w:tc>
          <w:tcPr>
            <w:tcW w:w="3500" w:type="dxa"/>
            <w:vAlign w:val="bottom"/>
          </w:tcPr>
          <w:p>
            <w:pPr>
              <w:spacing w:after="0"/>
              <w:rPr>
                <w:sz w:val="16"/>
                <w:szCs w:val="16"/>
                <w:color w:val="auto"/>
              </w:rPr>
            </w:pPr>
          </w:p>
        </w:tc>
        <w:tc>
          <w:tcPr>
            <w:tcW w:w="7740" w:type="dxa"/>
            <w:vAlign w:val="bottom"/>
            <w:gridSpan w:val="2"/>
          </w:tcPr>
          <w:p>
            <w:pPr>
              <w:jc w:val="center"/>
              <w:ind w:right="3417"/>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tc>
      </w:tr>
      <w:tr>
        <w:trPr>
          <w:trHeight w:val="323"/>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280" w:type="dxa"/>
            <w:vAlign w:val="bottom"/>
          </w:tcPr>
          <w:p>
            <w:pPr>
              <w:spacing w:after="0"/>
              <w:rPr>
                <w:sz w:val="24"/>
                <w:szCs w:val="24"/>
                <w:color w:val="auto"/>
              </w:rPr>
            </w:pPr>
          </w:p>
        </w:tc>
        <w:tc>
          <w:tcPr>
            <w:tcW w:w="4460" w:type="dxa"/>
            <w:vAlign w:val="bottom"/>
          </w:tcPr>
          <w:p>
            <w:pPr>
              <w:jc w:val="center"/>
              <w:ind w:left="777"/>
              <w:spacing w:after="0"/>
              <w:rPr>
                <w:sz w:val="20"/>
                <w:szCs w:val="20"/>
                <w:color w:val="auto"/>
              </w:rPr>
            </w:pPr>
            <w:r>
              <w:rPr>
                <w:rFonts w:ascii="Times New Roman" w:cs="Times New Roman" w:eastAsia="Times New Roman" w:hAnsi="Times New Roman"/>
                <w:sz w:val="18"/>
                <w:szCs w:val="18"/>
                <w:b w:val="1"/>
                <w:bCs w:val="1"/>
                <w:color w:val="auto"/>
              </w:rPr>
              <w:t>23-1722724</w:t>
            </w:r>
          </w:p>
        </w:tc>
      </w:tr>
      <w:tr>
        <w:trPr>
          <w:trHeight w:val="146"/>
        </w:trPr>
        <w:tc>
          <w:tcPr>
            <w:tcW w:w="35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i w:val="1"/>
                <w:iCs w:val="1"/>
                <w:color w:val="auto"/>
              </w:rPr>
              <w:t>(State of incorporation)</w:t>
            </w:r>
          </w:p>
        </w:tc>
        <w:tc>
          <w:tcPr>
            <w:tcW w:w="3280" w:type="dxa"/>
            <w:vAlign w:val="bottom"/>
          </w:tcPr>
          <w:p>
            <w:pPr>
              <w:spacing w:after="0"/>
              <w:rPr>
                <w:sz w:val="12"/>
                <w:szCs w:val="12"/>
                <w:color w:val="auto"/>
              </w:rPr>
            </w:pPr>
          </w:p>
        </w:tc>
        <w:tc>
          <w:tcPr>
            <w:tcW w:w="4460" w:type="dxa"/>
            <w:vAlign w:val="bottom"/>
          </w:tcPr>
          <w:p>
            <w:pPr>
              <w:jc w:val="center"/>
              <w:ind w:left="777"/>
              <w:spacing w:after="0" w:line="146" w:lineRule="exact"/>
              <w:rPr>
                <w:sz w:val="20"/>
                <w:szCs w:val="20"/>
                <w:color w:val="auto"/>
              </w:rPr>
            </w:pPr>
            <w:r>
              <w:rPr>
                <w:rFonts w:ascii="Times New Roman" w:cs="Times New Roman" w:eastAsia="Times New Roman" w:hAnsi="Times New Roman"/>
                <w:sz w:val="14"/>
                <w:szCs w:val="14"/>
                <w:i w:val="1"/>
                <w:iCs w:val="1"/>
                <w:color w:val="auto"/>
              </w:rPr>
              <w:t>(I.R.S. Employer</w:t>
            </w:r>
          </w:p>
        </w:tc>
      </w:tr>
      <w:tr>
        <w:trPr>
          <w:trHeight w:val="190"/>
        </w:trPr>
        <w:tc>
          <w:tcPr>
            <w:tcW w:w="350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4460" w:type="dxa"/>
            <w:vAlign w:val="bottom"/>
          </w:tcPr>
          <w:p>
            <w:pPr>
              <w:jc w:val="center"/>
              <w:ind w:left="777"/>
              <w:spacing w:after="0"/>
              <w:rPr>
                <w:sz w:val="20"/>
                <w:szCs w:val="20"/>
                <w:color w:val="auto"/>
              </w:rPr>
            </w:pPr>
            <w:r>
              <w:rPr>
                <w:rFonts w:ascii="Times New Roman" w:cs="Times New Roman" w:eastAsia="Times New Roman" w:hAnsi="Times New Roman"/>
                <w:sz w:val="14"/>
                <w:szCs w:val="14"/>
                <w:i w:val="1"/>
                <w:iCs w:val="1"/>
                <w:color w:val="auto"/>
              </w:rPr>
              <w:t>Identification Number)</w:t>
            </w:r>
          </w:p>
        </w:tc>
      </w:tr>
      <w:tr>
        <w:trPr>
          <w:trHeight w:val="287"/>
        </w:trPr>
        <w:tc>
          <w:tcPr>
            <w:tcW w:w="3500" w:type="dxa"/>
            <w:vAlign w:val="bottom"/>
          </w:tcPr>
          <w:p>
            <w:pPr>
              <w:spacing w:after="0"/>
              <w:rPr>
                <w:sz w:val="24"/>
                <w:szCs w:val="24"/>
                <w:color w:val="auto"/>
              </w:rPr>
            </w:pPr>
          </w:p>
        </w:tc>
        <w:tc>
          <w:tcPr>
            <w:tcW w:w="3280" w:type="dxa"/>
            <w:vAlign w:val="bottom"/>
          </w:tcPr>
          <w:p>
            <w:pPr>
              <w:jc w:val="center"/>
              <w:ind w:left="898"/>
              <w:spacing w:after="0"/>
              <w:rPr>
                <w:sz w:val="20"/>
                <w:szCs w:val="20"/>
                <w:color w:val="auto"/>
              </w:rPr>
            </w:pPr>
            <w:r>
              <w:rPr>
                <w:rFonts w:ascii="Times New Roman" w:cs="Times New Roman" w:eastAsia="Times New Roman" w:hAnsi="Times New Roman"/>
                <w:sz w:val="18"/>
                <w:szCs w:val="18"/>
                <w:b w:val="1"/>
                <w:bCs w:val="1"/>
                <w:color w:val="auto"/>
                <w:w w:val="99"/>
              </w:rPr>
              <w:t>2045 East Innovation Circle</w:t>
            </w:r>
          </w:p>
        </w:tc>
        <w:tc>
          <w:tcPr>
            <w:tcW w:w="4460" w:type="dxa"/>
            <w:vAlign w:val="bottom"/>
          </w:tcPr>
          <w:p>
            <w:pPr>
              <w:spacing w:after="0"/>
              <w:rPr>
                <w:sz w:val="24"/>
                <w:szCs w:val="24"/>
                <w:color w:val="auto"/>
              </w:rPr>
            </w:pPr>
          </w:p>
        </w:tc>
      </w:tr>
      <w:tr>
        <w:trPr>
          <w:trHeight w:val="214"/>
        </w:trPr>
        <w:tc>
          <w:tcPr>
            <w:tcW w:w="3500" w:type="dxa"/>
            <w:vAlign w:val="bottom"/>
          </w:tcPr>
          <w:p>
            <w:pPr>
              <w:spacing w:after="0"/>
              <w:rPr>
                <w:sz w:val="18"/>
                <w:szCs w:val="18"/>
                <w:color w:val="auto"/>
              </w:rPr>
            </w:pPr>
          </w:p>
        </w:tc>
        <w:tc>
          <w:tcPr>
            <w:tcW w:w="3280" w:type="dxa"/>
            <w:vAlign w:val="bottom"/>
          </w:tcPr>
          <w:p>
            <w:pPr>
              <w:jc w:val="center"/>
              <w:ind w:left="898"/>
              <w:spacing w:after="0"/>
              <w:rPr>
                <w:sz w:val="20"/>
                <w:szCs w:val="20"/>
                <w:color w:val="auto"/>
              </w:rPr>
            </w:pPr>
            <w:r>
              <w:rPr>
                <w:rFonts w:ascii="Times New Roman" w:cs="Times New Roman" w:eastAsia="Times New Roman" w:hAnsi="Times New Roman"/>
                <w:sz w:val="18"/>
                <w:szCs w:val="18"/>
                <w:b w:val="1"/>
                <w:bCs w:val="1"/>
                <w:color w:val="auto"/>
                <w:w w:val="98"/>
              </w:rPr>
              <w:t>Tempe, AZ 85284</w:t>
            </w:r>
          </w:p>
        </w:tc>
        <w:tc>
          <w:tcPr>
            <w:tcW w:w="4460" w:type="dxa"/>
            <w:vAlign w:val="bottom"/>
          </w:tcPr>
          <w:p>
            <w:pPr>
              <w:spacing w:after="0"/>
              <w:rPr>
                <w:sz w:val="18"/>
                <w:szCs w:val="18"/>
                <w:color w:val="auto"/>
              </w:rPr>
            </w:pPr>
          </w:p>
        </w:tc>
      </w:tr>
      <w:tr>
        <w:trPr>
          <w:trHeight w:val="190"/>
        </w:trPr>
        <w:tc>
          <w:tcPr>
            <w:tcW w:w="3500" w:type="dxa"/>
            <w:vAlign w:val="bottom"/>
          </w:tcPr>
          <w:p>
            <w:pPr>
              <w:spacing w:after="0"/>
              <w:rPr>
                <w:sz w:val="16"/>
                <w:szCs w:val="16"/>
                <w:color w:val="auto"/>
              </w:rPr>
            </w:pPr>
          </w:p>
        </w:tc>
        <w:tc>
          <w:tcPr>
            <w:tcW w:w="7740" w:type="dxa"/>
            <w:vAlign w:val="bottom"/>
            <w:gridSpan w:val="2"/>
          </w:tcPr>
          <w:p>
            <w:pPr>
              <w:jc w:val="center"/>
              <w:ind w:right="3417"/>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 and zip code)</w:t>
            </w:r>
          </w:p>
        </w:tc>
      </w:tr>
      <w:tr>
        <w:trPr>
          <w:trHeight w:val="320"/>
        </w:trPr>
        <w:tc>
          <w:tcPr>
            <w:tcW w:w="3500" w:type="dxa"/>
            <w:vAlign w:val="bottom"/>
          </w:tcPr>
          <w:p>
            <w:pPr>
              <w:spacing w:after="0"/>
              <w:rPr>
                <w:sz w:val="24"/>
                <w:szCs w:val="24"/>
                <w:color w:val="auto"/>
              </w:rPr>
            </w:pPr>
          </w:p>
        </w:tc>
        <w:tc>
          <w:tcPr>
            <w:tcW w:w="3280" w:type="dxa"/>
            <w:vAlign w:val="bottom"/>
          </w:tcPr>
          <w:p>
            <w:pPr>
              <w:jc w:val="center"/>
              <w:ind w:left="878"/>
              <w:spacing w:after="0"/>
              <w:rPr>
                <w:sz w:val="20"/>
                <w:szCs w:val="20"/>
                <w:color w:val="auto"/>
              </w:rPr>
            </w:pPr>
            <w:r>
              <w:rPr>
                <w:rFonts w:ascii="Times New Roman" w:cs="Times New Roman" w:eastAsia="Times New Roman" w:hAnsi="Times New Roman"/>
                <w:sz w:val="18"/>
                <w:szCs w:val="18"/>
                <w:b w:val="1"/>
                <w:bCs w:val="1"/>
                <w:color w:val="auto"/>
                <w:w w:val="99"/>
              </w:rPr>
              <w:t>(480) 821-5000</w:t>
            </w:r>
          </w:p>
        </w:tc>
        <w:tc>
          <w:tcPr>
            <w:tcW w:w="4460" w:type="dxa"/>
            <w:vAlign w:val="bottom"/>
          </w:tcPr>
          <w:p>
            <w:pPr>
              <w:spacing w:after="0"/>
              <w:rPr>
                <w:sz w:val="24"/>
                <w:szCs w:val="24"/>
                <w:color w:val="auto"/>
              </w:rPr>
            </w:pPr>
          </w:p>
        </w:tc>
      </w:tr>
      <w:tr>
        <w:trPr>
          <w:trHeight w:val="220"/>
        </w:trPr>
        <w:tc>
          <w:tcPr>
            <w:tcW w:w="3500" w:type="dxa"/>
            <w:vAlign w:val="bottom"/>
          </w:tcPr>
          <w:p>
            <w:pPr>
              <w:spacing w:after="0"/>
              <w:rPr>
                <w:sz w:val="19"/>
                <w:szCs w:val="19"/>
                <w:color w:val="auto"/>
              </w:rPr>
            </w:pPr>
          </w:p>
        </w:tc>
        <w:tc>
          <w:tcPr>
            <w:tcW w:w="7740" w:type="dxa"/>
            <w:vAlign w:val="bottom"/>
            <w:gridSpan w:val="2"/>
          </w:tcPr>
          <w:p>
            <w:pPr>
              <w:jc w:val="center"/>
              <w:ind w:right="3397"/>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tc>
      </w:tr>
      <w:tr>
        <w:trPr>
          <w:trHeight w:val="216"/>
        </w:trPr>
        <w:tc>
          <w:tcPr>
            <w:tcW w:w="3500" w:type="dxa"/>
            <w:vAlign w:val="bottom"/>
          </w:tcPr>
          <w:p>
            <w:pPr>
              <w:spacing w:after="0"/>
              <w:rPr>
                <w:sz w:val="18"/>
                <w:szCs w:val="18"/>
                <w:color w:val="auto"/>
              </w:rPr>
            </w:pPr>
          </w:p>
        </w:tc>
        <w:tc>
          <w:tcPr>
            <w:tcW w:w="7740" w:type="dxa"/>
            <w:vAlign w:val="bottom"/>
            <w:gridSpan w:val="2"/>
          </w:tcPr>
          <w:p>
            <w:pPr>
              <w:jc w:val="center"/>
              <w:ind w:right="3417"/>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r>
      <w:tr>
        <w:trPr>
          <w:trHeight w:val="401"/>
        </w:trPr>
        <w:tc>
          <w:tcPr>
            <w:tcW w:w="3500" w:type="dxa"/>
            <w:vAlign w:val="bottom"/>
            <w:tcBorders>
              <w:bottom w:val="single" w:sz="8" w:color="auto"/>
            </w:tcBorders>
          </w:tcPr>
          <w:p>
            <w:pPr>
              <w:jc w:val="center"/>
              <w:ind w:left="268"/>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3280" w:type="dxa"/>
            <w:vAlign w:val="bottom"/>
            <w:tcBorders>
              <w:bottom w:val="single" w:sz="8" w:color="auto"/>
            </w:tcBorders>
          </w:tcPr>
          <w:p>
            <w:pPr>
              <w:jc w:val="center"/>
              <w:ind w:right="278"/>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460" w:type="dxa"/>
            <w:vAlign w:val="bottom"/>
            <w:tcBorders>
              <w:bottom w:val="single" w:sz="8" w:color="auto"/>
            </w:tcBorders>
          </w:tcPr>
          <w:p>
            <w:pPr>
              <w:jc w:val="center"/>
              <w:ind w:right="657"/>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500" w:type="dxa"/>
            <w:vAlign w:val="bottom"/>
          </w:tcPr>
          <w:p>
            <w:pPr>
              <w:jc w:val="center"/>
              <w:ind w:left="248"/>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3280" w:type="dxa"/>
            <w:vAlign w:val="bottom"/>
          </w:tcPr>
          <w:p>
            <w:pPr>
              <w:jc w:val="center"/>
              <w:ind w:right="298"/>
              <w:spacing w:after="0"/>
              <w:rPr>
                <w:sz w:val="20"/>
                <w:szCs w:val="20"/>
                <w:color w:val="auto"/>
              </w:rPr>
            </w:pPr>
            <w:r>
              <w:rPr>
                <w:rFonts w:ascii="Times New Roman" w:cs="Times New Roman" w:eastAsia="Times New Roman" w:hAnsi="Times New Roman"/>
                <w:sz w:val="18"/>
                <w:szCs w:val="18"/>
                <w:color w:val="auto"/>
                <w:w w:val="99"/>
              </w:rPr>
              <w:t>AMKR</w:t>
            </w:r>
          </w:p>
        </w:tc>
        <w:tc>
          <w:tcPr>
            <w:tcW w:w="4460" w:type="dxa"/>
            <w:vAlign w:val="bottom"/>
          </w:tcPr>
          <w:p>
            <w:pPr>
              <w:jc w:val="center"/>
              <w:ind w:right="637"/>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58"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7"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84"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1440" w:right="339" w:bottom="1440" w:gutter="0" w:footer="0" w:header="0"/>
          <w:type w:val="continuous"/>
        </w:sectPr>
      </w:pPr>
    </w:p>
    <w:p>
      <w:pPr>
        <w:spacing w:after="0" w:line="66" w:lineRule="exact"/>
        <w:rPr>
          <w:sz w:val="24"/>
          <w:szCs w:val="24"/>
          <w:color w:val="auto"/>
        </w:rPr>
      </w:pPr>
    </w:p>
    <w:p>
      <w:pPr>
        <w:ind w:left="19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jc w:val="center"/>
        <w:ind w:right="170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-56515</wp:posOffset>
            </wp:positionV>
            <wp:extent cx="86995" cy="88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12700</wp:posOffset>
            </wp:positionH>
            <wp:positionV relativeFrom="paragraph">
              <wp:posOffset>-56515</wp:posOffset>
            </wp:positionV>
            <wp:extent cx="86995" cy="8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23" w:lineRule="exact"/>
        <w:rPr>
          <w:sz w:val="24"/>
          <w:szCs w:val="24"/>
          <w:color w:val="auto"/>
        </w:rPr>
      </w:pPr>
    </w:p>
    <w:p>
      <w:pPr>
        <w:sectPr>
          <w:pgSz w:w="11900" w:h="16838" w:orient="portrait"/>
          <w:cols w:equalWidth="0" w:num="5">
            <w:col w:w="2980" w:space="720"/>
            <w:col w:w="1400" w:space="720"/>
            <w:col w:w="1860" w:space="720"/>
            <w:col w:w="1860" w:space="720"/>
            <w:col w:w="260"/>
          </w:cols>
          <w:pgMar w:left="320" w:top="1440" w:right="3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90" w:lineRule="exact"/>
        <w:rPr>
          <w:sz w:val="24"/>
          <w:szCs w:val="24"/>
          <w:color w:val="auto"/>
        </w:rPr>
      </w:pPr>
    </w:p>
    <w:p>
      <w:pPr>
        <w:sectPr>
          <w:pgSz w:w="11900" w:h="16838" w:orient="portrait"/>
          <w:cols w:equalWidth="0" w:num="5">
            <w:col w:w="1740" w:space="560"/>
            <w:col w:w="1200" w:space="560"/>
            <w:col w:w="1520" w:space="620"/>
            <w:col w:w="1960" w:space="640"/>
            <w:col w:w="2440"/>
          </w:cols>
          <w:pgMar w:left="320" w:top="1440" w:right="339" w:bottom="1440" w:gutter="0" w:footer="0" w:header="0"/>
          <w:type w:val="continuous"/>
        </w:sect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9" w:lineRule="exact"/>
        <w:rPr>
          <w:sz w:val="24"/>
          <w:szCs w:val="24"/>
          <w:color w:val="auto"/>
        </w:rPr>
      </w:pPr>
    </w:p>
    <w:p>
      <w:pPr>
        <w:ind w:right="1980"/>
        <w:spacing w:after="0" w:line="301"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outstanding shares of the registrant’s Common Stock as of October 23, 2020 was 242,446,149.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805815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77470</wp:posOffset>
            </wp:positionV>
            <wp:extent cx="7115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ind w:left="4000"/>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For the Quarter Ended September 30, 2020</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66" w:lineRule="exact"/>
        <w:rPr>
          <w:sz w:val="20"/>
          <w:szCs w:val="20"/>
          <w:color w:val="auto"/>
        </w:rPr>
      </w:pPr>
    </w:p>
    <w:tbl>
      <w:tblPr>
        <w:tblLayout w:type="fixed"/>
        <w:tblInd w:w="1260" w:type="dxa"/>
        <w:tblCellMar>
          <w:top w:w="0" w:type="dxa"/>
          <w:left w:w="0" w:type="dxa"/>
          <w:bottom w:w="0" w:type="dxa"/>
          <w:right w:w="0" w:type="dxa"/>
        </w:tblCellMar>
      </w:tblPr>
      <w:tr>
        <w:trPr>
          <w:trHeight w:val="194"/>
        </w:trPr>
        <w:tc>
          <w:tcPr>
            <w:tcW w:w="780" w:type="dxa"/>
            <w:vAlign w:val="bottom"/>
          </w:tcPr>
          <w:p>
            <w:pPr>
              <w:spacing w:after="0"/>
              <w:rPr>
                <w:sz w:val="16"/>
                <w:szCs w:val="16"/>
                <w:color w:val="auto"/>
              </w:rPr>
            </w:pPr>
          </w:p>
        </w:tc>
        <w:tc>
          <w:tcPr>
            <w:tcW w:w="7480" w:type="dxa"/>
            <w:vAlign w:val="bottom"/>
          </w:tcPr>
          <w:p>
            <w:pPr>
              <w:spacing w:after="0"/>
              <w:rPr>
                <w:sz w:val="16"/>
                <w:szCs w:val="16"/>
                <w:color w:val="auto"/>
              </w:rPr>
            </w:pPr>
          </w:p>
        </w:tc>
        <w:tc>
          <w:tcPr>
            <w:tcW w:w="4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57"/>
        </w:trPr>
        <w:tc>
          <w:tcPr>
            <w:tcW w:w="780" w:type="dxa"/>
            <w:vAlign w:val="bottom"/>
          </w:tcPr>
          <w:p>
            <w:pPr>
              <w:spacing w:after="0"/>
              <w:rPr>
                <w:sz w:val="22"/>
                <w:szCs w:val="22"/>
                <w:color w:val="auto"/>
              </w:rPr>
            </w:pPr>
          </w:p>
        </w:tc>
        <w:tc>
          <w:tcPr>
            <w:tcW w:w="7480" w:type="dxa"/>
            <w:vAlign w:val="bottom"/>
          </w:tcPr>
          <w:p>
            <w:pPr>
              <w:ind w:left="2400"/>
              <w:spacing w:after="0"/>
              <w:rPr>
                <w:rFonts w:ascii="Times New Roman" w:cs="Times New Roman" w:eastAsia="Times New Roman" w:hAnsi="Times New Roman"/>
                <w:sz w:val="18"/>
                <w:szCs w:val="18"/>
                <w:b w:val="1"/>
                <w:bCs w:val="1"/>
                <w:color w:val="auto"/>
              </w:rPr>
            </w:pPr>
            <w:hyperlink w:anchor="page2">
              <w:r>
                <w:rPr>
                  <w:rFonts w:ascii="Times New Roman" w:cs="Times New Roman" w:eastAsia="Times New Roman" w:hAnsi="Times New Roman"/>
                  <w:sz w:val="18"/>
                  <w:szCs w:val="18"/>
                  <w:b w:val="1"/>
                  <w:bCs w:val="1"/>
                  <w:color w:val="auto"/>
                </w:rPr>
                <w:t>PART I. Financial Information</w:t>
              </w:r>
            </w:hyperlink>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80" w:type="dxa"/>
            <w:vAlign w:val="bottom"/>
          </w:tcPr>
          <w:p>
            <w:pPr>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Item 1.</w:t>
              </w:r>
            </w:hyperlink>
          </w:p>
        </w:tc>
        <w:tc>
          <w:tcPr>
            <w:tcW w:w="7480" w:type="dxa"/>
            <w:vAlign w:val="bottom"/>
          </w:tcPr>
          <w:p>
            <w:pPr>
              <w:ind w:left="20"/>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Financial Statements (unaudited)</w:t>
              </w:r>
            </w:hyperlink>
          </w:p>
        </w:tc>
        <w:tc>
          <w:tcPr>
            <w:tcW w:w="480" w:type="dxa"/>
            <w:vAlign w:val="bottom"/>
          </w:tcPr>
          <w:p>
            <w:pPr>
              <w:jc w:val="right"/>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2</w:t>
              </w:r>
            </w:hyperlink>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7480" w:type="dxa"/>
            <w:vAlign w:val="bottom"/>
          </w:tcPr>
          <w:p>
            <w:pPr>
              <w:ind w:left="20"/>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Consolidated Statements of Income - Three and Nine Months Ended September 30, 2020 and 2019</w:t>
              </w:r>
            </w:hyperlink>
          </w:p>
        </w:tc>
        <w:tc>
          <w:tcPr>
            <w:tcW w:w="480" w:type="dxa"/>
            <w:vAlign w:val="bottom"/>
          </w:tcPr>
          <w:p>
            <w:pPr>
              <w:jc w:val="right"/>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2</w:t>
              </w:r>
            </w:hyperlink>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7480" w:type="dxa"/>
            <w:vAlign w:val="bottom"/>
          </w:tcPr>
          <w:p>
            <w:pPr>
              <w:ind w:left="20"/>
              <w:spacing w:after="0" w:line="202" w:lineRule="exact"/>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Consolidated Statements of Comprehensive Income - Three and Nine Months Ended September 30,</w:t>
              </w:r>
            </w:hyperlink>
          </w:p>
        </w:tc>
        <w:tc>
          <w:tcPr>
            <w:tcW w:w="480" w:type="dxa"/>
            <w:vAlign w:val="bottom"/>
            <w:vMerge w:val="restart"/>
          </w:tcPr>
          <w:p>
            <w:pPr>
              <w:jc w:val="right"/>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3</w:t>
              </w:r>
            </w:hyperlink>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7480" w:type="dxa"/>
            <w:vAlign w:val="bottom"/>
          </w:tcPr>
          <w:p>
            <w:pPr>
              <w:ind w:left="260"/>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2020 and 2019</w:t>
              </w:r>
            </w:hyperlink>
          </w:p>
        </w:tc>
        <w:tc>
          <w:tcPr>
            <w:tcW w:w="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780" w:type="dxa"/>
            <w:vAlign w:val="bottom"/>
          </w:tcPr>
          <w:p>
            <w:pPr>
              <w:spacing w:after="0"/>
              <w:rPr>
                <w:sz w:val="23"/>
                <w:szCs w:val="23"/>
                <w:color w:val="auto"/>
              </w:rPr>
            </w:pPr>
          </w:p>
        </w:tc>
        <w:tc>
          <w:tcPr>
            <w:tcW w:w="7480" w:type="dxa"/>
            <w:vAlign w:val="bottom"/>
          </w:tcPr>
          <w:p>
            <w:pPr>
              <w:ind w:left="20"/>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Consolidated Balance Sheets - September 30, 2020 and December 31, 2019</w:t>
              </w:r>
            </w:hyperlink>
          </w:p>
        </w:tc>
        <w:tc>
          <w:tcPr>
            <w:tcW w:w="480" w:type="dxa"/>
            <w:vAlign w:val="bottom"/>
          </w:tcPr>
          <w:p>
            <w:pPr>
              <w:jc w:val="right"/>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4</w:t>
              </w:r>
            </w:hyperlink>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7480" w:type="dxa"/>
            <w:vAlign w:val="bottom"/>
          </w:tcPr>
          <w:p>
            <w:pPr>
              <w:ind w:left="20"/>
              <w:spacing w:after="0" w:line="202" w:lineRule="exact"/>
              <w:rPr>
                <w:rFonts w:ascii="Times New Roman" w:cs="Times New Roman" w:eastAsia="Times New Roman" w:hAnsi="Times New Roman"/>
                <w:sz w:val="18"/>
                <w:szCs w:val="18"/>
                <w:color w:val="auto"/>
              </w:rPr>
            </w:pPr>
            <w:hyperlink w:anchor="page5">
              <w:r>
                <w:rPr>
                  <w:rFonts w:ascii="Times New Roman" w:cs="Times New Roman" w:eastAsia="Times New Roman" w:hAnsi="Times New Roman"/>
                  <w:sz w:val="18"/>
                  <w:szCs w:val="18"/>
                  <w:color w:val="auto"/>
                </w:rPr>
                <w:t>Consolidated Statements of Stockholders’ Equity - Three and Nine Months Ended September 30, 2020</w:t>
              </w:r>
            </w:hyperlink>
          </w:p>
        </w:tc>
        <w:tc>
          <w:tcPr>
            <w:tcW w:w="480" w:type="dxa"/>
            <w:vAlign w:val="bottom"/>
            <w:vMerge w:val="restart"/>
          </w:tcPr>
          <w:p>
            <w:pPr>
              <w:jc w:val="right"/>
              <w:spacing w:after="0"/>
              <w:rPr>
                <w:rFonts w:ascii="Times New Roman" w:cs="Times New Roman" w:eastAsia="Times New Roman" w:hAnsi="Times New Roman"/>
                <w:sz w:val="18"/>
                <w:szCs w:val="18"/>
                <w:color w:val="auto"/>
              </w:rPr>
            </w:pPr>
            <w:hyperlink w:anchor="page5">
              <w:r>
                <w:rPr>
                  <w:rFonts w:ascii="Times New Roman" w:cs="Times New Roman" w:eastAsia="Times New Roman" w:hAnsi="Times New Roman"/>
                  <w:sz w:val="18"/>
                  <w:szCs w:val="18"/>
                  <w:color w:val="auto"/>
                </w:rPr>
                <w:t>5</w:t>
              </w:r>
            </w:hyperlink>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7480" w:type="dxa"/>
            <w:vAlign w:val="bottom"/>
          </w:tcPr>
          <w:p>
            <w:pPr>
              <w:ind w:left="260"/>
              <w:spacing w:after="0"/>
              <w:rPr>
                <w:rFonts w:ascii="Times New Roman" w:cs="Times New Roman" w:eastAsia="Times New Roman" w:hAnsi="Times New Roman"/>
                <w:sz w:val="18"/>
                <w:szCs w:val="18"/>
                <w:color w:val="auto"/>
              </w:rPr>
            </w:pPr>
            <w:hyperlink w:anchor="page5">
              <w:r>
                <w:rPr>
                  <w:rFonts w:ascii="Times New Roman" w:cs="Times New Roman" w:eastAsia="Times New Roman" w:hAnsi="Times New Roman"/>
                  <w:sz w:val="18"/>
                  <w:szCs w:val="18"/>
                  <w:color w:val="auto"/>
                </w:rPr>
                <w:t>and 2019</w:t>
              </w:r>
            </w:hyperlink>
          </w:p>
        </w:tc>
        <w:tc>
          <w:tcPr>
            <w:tcW w:w="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80" w:type="dxa"/>
            <w:vAlign w:val="bottom"/>
          </w:tcPr>
          <w:p>
            <w:pPr>
              <w:spacing w:after="0"/>
              <w:rPr>
                <w:sz w:val="17"/>
                <w:szCs w:val="17"/>
                <w:color w:val="auto"/>
              </w:rPr>
            </w:pPr>
          </w:p>
        </w:tc>
        <w:tc>
          <w:tcPr>
            <w:tcW w:w="7480" w:type="dxa"/>
            <w:vAlign w:val="bottom"/>
          </w:tcPr>
          <w:p>
            <w:pPr>
              <w:ind w:left="20"/>
              <w:spacing w:after="0" w:line="198" w:lineRule="exact"/>
              <w:rPr>
                <w:rFonts w:ascii="Times New Roman" w:cs="Times New Roman" w:eastAsia="Times New Roman" w:hAnsi="Times New Roman"/>
                <w:sz w:val="18"/>
                <w:szCs w:val="18"/>
                <w:color w:val="auto"/>
              </w:rPr>
            </w:pPr>
            <w:hyperlink w:anchor="page7">
              <w:r>
                <w:rPr>
                  <w:rFonts w:ascii="Times New Roman" w:cs="Times New Roman" w:eastAsia="Times New Roman" w:hAnsi="Times New Roman"/>
                  <w:sz w:val="18"/>
                  <w:szCs w:val="18"/>
                  <w:color w:val="auto"/>
                </w:rPr>
                <w:t>Condensed Consolidated Statements of Cash Flows - Nine Months Ended September 30, 2020 and</w:t>
              </w:r>
            </w:hyperlink>
          </w:p>
        </w:tc>
        <w:tc>
          <w:tcPr>
            <w:tcW w:w="480" w:type="dxa"/>
            <w:vAlign w:val="bottom"/>
            <w:vMerge w:val="restart"/>
          </w:tcPr>
          <w:p>
            <w:pPr>
              <w:jc w:val="right"/>
              <w:spacing w:after="0"/>
              <w:rPr>
                <w:rFonts w:ascii="Times New Roman" w:cs="Times New Roman" w:eastAsia="Times New Roman" w:hAnsi="Times New Roman"/>
                <w:sz w:val="18"/>
                <w:szCs w:val="18"/>
                <w:color w:val="auto"/>
              </w:rPr>
            </w:pPr>
            <w:hyperlink w:anchor="page7">
              <w:r>
                <w:rPr>
                  <w:rFonts w:ascii="Times New Roman" w:cs="Times New Roman" w:eastAsia="Times New Roman" w:hAnsi="Times New Roman"/>
                  <w:sz w:val="18"/>
                  <w:szCs w:val="18"/>
                  <w:color w:val="auto"/>
                </w:rPr>
                <w:t>7</w:t>
              </w:r>
            </w:hyperlink>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7480" w:type="dxa"/>
            <w:vAlign w:val="bottom"/>
          </w:tcPr>
          <w:p>
            <w:pPr>
              <w:ind w:left="260"/>
              <w:spacing w:after="0"/>
              <w:rPr>
                <w:rFonts w:ascii="Times New Roman" w:cs="Times New Roman" w:eastAsia="Times New Roman" w:hAnsi="Times New Roman"/>
                <w:sz w:val="18"/>
                <w:szCs w:val="18"/>
                <w:color w:val="auto"/>
              </w:rPr>
            </w:pPr>
            <w:hyperlink w:anchor="page7">
              <w:r>
                <w:rPr>
                  <w:rFonts w:ascii="Times New Roman" w:cs="Times New Roman" w:eastAsia="Times New Roman" w:hAnsi="Times New Roman"/>
                  <w:sz w:val="18"/>
                  <w:szCs w:val="18"/>
                  <w:color w:val="auto"/>
                </w:rPr>
                <w:t>2019</w:t>
              </w:r>
            </w:hyperlink>
          </w:p>
        </w:tc>
        <w:tc>
          <w:tcPr>
            <w:tcW w:w="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780" w:type="dxa"/>
            <w:vAlign w:val="bottom"/>
          </w:tcPr>
          <w:p>
            <w:pPr>
              <w:spacing w:after="0"/>
              <w:rPr>
                <w:sz w:val="23"/>
                <w:szCs w:val="23"/>
                <w:color w:val="auto"/>
              </w:rPr>
            </w:pPr>
          </w:p>
        </w:tc>
        <w:tc>
          <w:tcPr>
            <w:tcW w:w="7480" w:type="dxa"/>
            <w:vAlign w:val="bottom"/>
          </w:tcPr>
          <w:p>
            <w:pPr>
              <w:ind w:left="20"/>
              <w:spacing w:after="0"/>
              <w:rPr>
                <w:rFonts w:ascii="Times New Roman" w:cs="Times New Roman" w:eastAsia="Times New Roman" w:hAnsi="Times New Roman"/>
                <w:sz w:val="18"/>
                <w:szCs w:val="18"/>
                <w:color w:val="auto"/>
              </w:rPr>
            </w:pPr>
            <w:hyperlink w:anchor="page8">
              <w:r>
                <w:rPr>
                  <w:rFonts w:ascii="Times New Roman" w:cs="Times New Roman" w:eastAsia="Times New Roman" w:hAnsi="Times New Roman"/>
                  <w:sz w:val="18"/>
                  <w:szCs w:val="18"/>
                  <w:color w:val="auto"/>
                </w:rPr>
                <w:t>Notes to Consolidated Financial Statements</w:t>
              </w:r>
            </w:hyperlink>
          </w:p>
        </w:tc>
        <w:tc>
          <w:tcPr>
            <w:tcW w:w="480" w:type="dxa"/>
            <w:vAlign w:val="bottom"/>
          </w:tcPr>
          <w:p>
            <w:pPr>
              <w:jc w:val="right"/>
              <w:spacing w:after="0"/>
              <w:rPr>
                <w:rFonts w:ascii="Times New Roman" w:cs="Times New Roman" w:eastAsia="Times New Roman" w:hAnsi="Times New Roman"/>
                <w:sz w:val="18"/>
                <w:szCs w:val="18"/>
                <w:color w:val="auto"/>
              </w:rPr>
            </w:pPr>
            <w:hyperlink w:anchor="page8">
              <w:r>
                <w:rPr>
                  <w:rFonts w:ascii="Times New Roman" w:cs="Times New Roman" w:eastAsia="Times New Roman" w:hAnsi="Times New Roman"/>
                  <w:sz w:val="18"/>
                  <w:szCs w:val="18"/>
                  <w:color w:val="auto"/>
                </w:rPr>
                <w:t>8</w:t>
              </w:r>
            </w:hyperlink>
          </w:p>
        </w:tc>
        <w:tc>
          <w:tcPr>
            <w:tcW w:w="0" w:type="dxa"/>
            <w:vAlign w:val="bottom"/>
          </w:tcPr>
          <w:p>
            <w:pPr>
              <w:spacing w:after="0"/>
              <w:rPr>
                <w:sz w:val="1"/>
                <w:szCs w:val="1"/>
                <w:color w:val="auto"/>
              </w:rPr>
            </w:pPr>
          </w:p>
        </w:tc>
      </w:tr>
      <w:tr>
        <w:trPr>
          <w:trHeight w:val="270"/>
        </w:trPr>
        <w:tc>
          <w:tcPr>
            <w:tcW w:w="780" w:type="dxa"/>
            <w:vAlign w:val="bottom"/>
          </w:tcPr>
          <w:p>
            <w:pPr>
              <w:spacing w:after="0"/>
              <w:rPr>
                <w:rFonts w:ascii="Times New Roman" w:cs="Times New Roman" w:eastAsia="Times New Roman" w:hAnsi="Times New Roman"/>
                <w:sz w:val="18"/>
                <w:szCs w:val="18"/>
                <w:color w:val="auto"/>
              </w:rPr>
            </w:pPr>
            <w:hyperlink w:anchor="page20">
              <w:r>
                <w:rPr>
                  <w:rFonts w:ascii="Times New Roman" w:cs="Times New Roman" w:eastAsia="Times New Roman" w:hAnsi="Times New Roman"/>
                  <w:sz w:val="18"/>
                  <w:szCs w:val="18"/>
                  <w:color w:val="auto"/>
                </w:rPr>
                <w:t>Item 2.</w:t>
              </w:r>
            </w:hyperlink>
          </w:p>
        </w:tc>
        <w:tc>
          <w:tcPr>
            <w:tcW w:w="7480" w:type="dxa"/>
            <w:vAlign w:val="bottom"/>
          </w:tcPr>
          <w:p>
            <w:pPr>
              <w:ind w:left="20"/>
              <w:spacing w:after="0"/>
              <w:rPr>
                <w:rFonts w:ascii="Times New Roman" w:cs="Times New Roman" w:eastAsia="Times New Roman" w:hAnsi="Times New Roman"/>
                <w:sz w:val="18"/>
                <w:szCs w:val="18"/>
                <w:color w:val="auto"/>
              </w:rPr>
            </w:pPr>
            <w:hyperlink w:anchor="page20">
              <w:r>
                <w:rPr>
                  <w:rFonts w:ascii="Times New Roman" w:cs="Times New Roman" w:eastAsia="Times New Roman" w:hAnsi="Times New Roman"/>
                  <w:sz w:val="18"/>
                  <w:szCs w:val="18"/>
                  <w:color w:val="auto"/>
                </w:rPr>
                <w:t>Management’s Discussion and Analysis of Financial Condition and Results of Operations</w:t>
              </w:r>
            </w:hyperlink>
          </w:p>
        </w:tc>
        <w:tc>
          <w:tcPr>
            <w:tcW w:w="480" w:type="dxa"/>
            <w:vAlign w:val="bottom"/>
          </w:tcPr>
          <w:p>
            <w:pPr>
              <w:jc w:val="right"/>
              <w:spacing w:after="0"/>
              <w:rPr>
                <w:rFonts w:ascii="Times New Roman" w:cs="Times New Roman" w:eastAsia="Times New Roman" w:hAnsi="Times New Roman"/>
                <w:sz w:val="18"/>
                <w:szCs w:val="18"/>
                <w:color w:val="auto"/>
              </w:rPr>
            </w:pPr>
            <w:hyperlink w:anchor="page20">
              <w:r>
                <w:rPr>
                  <w:rFonts w:ascii="Times New Roman" w:cs="Times New Roman" w:eastAsia="Times New Roman" w:hAnsi="Times New Roman"/>
                  <w:sz w:val="18"/>
                  <w:szCs w:val="18"/>
                  <w:color w:val="auto"/>
                </w:rPr>
                <w:t>20</w:t>
              </w:r>
            </w:hyperlink>
          </w:p>
        </w:tc>
        <w:tc>
          <w:tcPr>
            <w:tcW w:w="0" w:type="dxa"/>
            <w:vAlign w:val="bottom"/>
          </w:tcPr>
          <w:p>
            <w:pPr>
              <w:spacing w:after="0"/>
              <w:rPr>
                <w:sz w:val="1"/>
                <w:szCs w:val="1"/>
                <w:color w:val="auto"/>
              </w:rPr>
            </w:pPr>
          </w:p>
        </w:tc>
      </w:tr>
      <w:tr>
        <w:trPr>
          <w:trHeight w:val="270"/>
        </w:trPr>
        <w:tc>
          <w:tcPr>
            <w:tcW w:w="780" w:type="dxa"/>
            <w:vAlign w:val="bottom"/>
          </w:tcPr>
          <w:p>
            <w:pPr>
              <w:spacing w:after="0"/>
              <w:rPr>
                <w:rFonts w:ascii="Times New Roman" w:cs="Times New Roman" w:eastAsia="Times New Roman" w:hAnsi="Times New Roman"/>
                <w:sz w:val="18"/>
                <w:szCs w:val="18"/>
                <w:color w:val="auto"/>
              </w:rPr>
            </w:pPr>
            <w:hyperlink w:anchor="page29">
              <w:r>
                <w:rPr>
                  <w:rFonts w:ascii="Times New Roman" w:cs="Times New Roman" w:eastAsia="Times New Roman" w:hAnsi="Times New Roman"/>
                  <w:sz w:val="18"/>
                  <w:szCs w:val="18"/>
                  <w:color w:val="auto"/>
                </w:rPr>
                <w:t>Item 3.</w:t>
              </w:r>
            </w:hyperlink>
          </w:p>
        </w:tc>
        <w:tc>
          <w:tcPr>
            <w:tcW w:w="7480" w:type="dxa"/>
            <w:vAlign w:val="bottom"/>
          </w:tcPr>
          <w:p>
            <w:pPr>
              <w:ind w:left="20"/>
              <w:spacing w:after="0"/>
              <w:rPr>
                <w:rFonts w:ascii="Times New Roman" w:cs="Times New Roman" w:eastAsia="Times New Roman" w:hAnsi="Times New Roman"/>
                <w:sz w:val="18"/>
                <w:szCs w:val="18"/>
                <w:color w:val="auto"/>
              </w:rPr>
            </w:pPr>
            <w:hyperlink w:anchor="page29">
              <w:r>
                <w:rPr>
                  <w:rFonts w:ascii="Times New Roman" w:cs="Times New Roman" w:eastAsia="Times New Roman" w:hAnsi="Times New Roman"/>
                  <w:sz w:val="18"/>
                  <w:szCs w:val="18"/>
                  <w:color w:val="auto"/>
                </w:rPr>
                <w:t>Quantitative and Qualitative Disclosures About Market Risk</w:t>
              </w:r>
            </w:hyperlink>
          </w:p>
        </w:tc>
        <w:tc>
          <w:tcPr>
            <w:tcW w:w="480" w:type="dxa"/>
            <w:vAlign w:val="bottom"/>
          </w:tcPr>
          <w:p>
            <w:pPr>
              <w:jc w:val="right"/>
              <w:spacing w:after="0"/>
              <w:rPr>
                <w:rFonts w:ascii="Times New Roman" w:cs="Times New Roman" w:eastAsia="Times New Roman" w:hAnsi="Times New Roman"/>
                <w:sz w:val="18"/>
                <w:szCs w:val="18"/>
                <w:color w:val="auto"/>
              </w:rPr>
            </w:pPr>
            <w:hyperlink w:anchor="page29">
              <w:r>
                <w:rPr>
                  <w:rFonts w:ascii="Times New Roman" w:cs="Times New Roman" w:eastAsia="Times New Roman" w:hAnsi="Times New Roman"/>
                  <w:sz w:val="18"/>
                  <w:szCs w:val="18"/>
                  <w:color w:val="auto"/>
                </w:rPr>
                <w:t>28</w:t>
              </w:r>
            </w:hyperlink>
          </w:p>
        </w:tc>
        <w:tc>
          <w:tcPr>
            <w:tcW w:w="0" w:type="dxa"/>
            <w:vAlign w:val="bottom"/>
          </w:tcPr>
          <w:p>
            <w:pPr>
              <w:spacing w:after="0"/>
              <w:rPr>
                <w:sz w:val="1"/>
                <w:szCs w:val="1"/>
                <w:color w:val="auto"/>
              </w:rPr>
            </w:pPr>
          </w:p>
        </w:tc>
      </w:tr>
      <w:tr>
        <w:trPr>
          <w:trHeight w:val="270"/>
        </w:trPr>
        <w:tc>
          <w:tcPr>
            <w:tcW w:w="780" w:type="dxa"/>
            <w:vAlign w:val="bottom"/>
          </w:tcPr>
          <w:p>
            <w:pPr>
              <w:spacing w:after="0"/>
              <w:rPr>
                <w:rFonts w:ascii="Times New Roman" w:cs="Times New Roman" w:eastAsia="Times New Roman" w:hAnsi="Times New Roman"/>
                <w:sz w:val="18"/>
                <w:szCs w:val="18"/>
                <w:color w:val="auto"/>
              </w:rPr>
            </w:pPr>
            <w:hyperlink w:anchor="page30">
              <w:r>
                <w:rPr>
                  <w:rFonts w:ascii="Times New Roman" w:cs="Times New Roman" w:eastAsia="Times New Roman" w:hAnsi="Times New Roman"/>
                  <w:sz w:val="18"/>
                  <w:szCs w:val="18"/>
                  <w:color w:val="auto"/>
                </w:rPr>
                <w:t>Item 4.</w:t>
              </w:r>
            </w:hyperlink>
          </w:p>
        </w:tc>
        <w:tc>
          <w:tcPr>
            <w:tcW w:w="7480" w:type="dxa"/>
            <w:vAlign w:val="bottom"/>
          </w:tcPr>
          <w:p>
            <w:pPr>
              <w:ind w:left="20"/>
              <w:spacing w:after="0"/>
              <w:rPr>
                <w:rFonts w:ascii="Times New Roman" w:cs="Times New Roman" w:eastAsia="Times New Roman" w:hAnsi="Times New Roman"/>
                <w:sz w:val="18"/>
                <w:szCs w:val="18"/>
                <w:color w:val="auto"/>
              </w:rPr>
            </w:pPr>
            <w:hyperlink w:anchor="page30">
              <w:r>
                <w:rPr>
                  <w:rFonts w:ascii="Times New Roman" w:cs="Times New Roman" w:eastAsia="Times New Roman" w:hAnsi="Times New Roman"/>
                  <w:sz w:val="18"/>
                  <w:szCs w:val="18"/>
                  <w:color w:val="auto"/>
                </w:rPr>
                <w:t>Controls and Procedures</w:t>
              </w:r>
            </w:hyperlink>
          </w:p>
        </w:tc>
        <w:tc>
          <w:tcPr>
            <w:tcW w:w="480" w:type="dxa"/>
            <w:vAlign w:val="bottom"/>
          </w:tcPr>
          <w:p>
            <w:pPr>
              <w:jc w:val="right"/>
              <w:spacing w:after="0"/>
              <w:rPr>
                <w:rFonts w:ascii="Times New Roman" w:cs="Times New Roman" w:eastAsia="Times New Roman" w:hAnsi="Times New Roman"/>
                <w:sz w:val="18"/>
                <w:szCs w:val="18"/>
                <w:color w:val="auto"/>
              </w:rPr>
            </w:pPr>
            <w:hyperlink w:anchor="page30">
              <w:r>
                <w:rPr>
                  <w:rFonts w:ascii="Times New Roman" w:cs="Times New Roman" w:eastAsia="Times New Roman" w:hAnsi="Times New Roman"/>
                  <w:sz w:val="18"/>
                  <w:szCs w:val="18"/>
                  <w:color w:val="auto"/>
                </w:rPr>
                <w:t>29</w:t>
              </w:r>
            </w:hyperlink>
          </w:p>
        </w:tc>
        <w:tc>
          <w:tcPr>
            <w:tcW w:w="0" w:type="dxa"/>
            <w:vAlign w:val="bottom"/>
          </w:tcPr>
          <w:p>
            <w:pPr>
              <w:spacing w:after="0"/>
              <w:rPr>
                <w:sz w:val="1"/>
                <w:szCs w:val="1"/>
                <w:color w:val="auto"/>
              </w:rPr>
            </w:pPr>
          </w:p>
        </w:tc>
      </w:tr>
      <w:tr>
        <w:trPr>
          <w:trHeight w:val="432"/>
        </w:trPr>
        <w:tc>
          <w:tcPr>
            <w:tcW w:w="780" w:type="dxa"/>
            <w:vAlign w:val="bottom"/>
          </w:tcPr>
          <w:p>
            <w:pPr>
              <w:spacing w:after="0"/>
              <w:rPr>
                <w:sz w:val="24"/>
                <w:szCs w:val="24"/>
                <w:color w:val="auto"/>
              </w:rPr>
            </w:pPr>
          </w:p>
        </w:tc>
        <w:tc>
          <w:tcPr>
            <w:tcW w:w="7480" w:type="dxa"/>
            <w:vAlign w:val="bottom"/>
          </w:tcPr>
          <w:p>
            <w:pPr>
              <w:ind w:left="2500"/>
              <w:spacing w:after="0"/>
              <w:rPr>
                <w:rFonts w:ascii="Times New Roman" w:cs="Times New Roman" w:eastAsia="Times New Roman" w:hAnsi="Times New Roman"/>
                <w:sz w:val="18"/>
                <w:szCs w:val="18"/>
                <w:b w:val="1"/>
                <w:bCs w:val="1"/>
                <w:color w:val="auto"/>
              </w:rPr>
            </w:pPr>
            <w:hyperlink w:anchor="page30">
              <w:r>
                <w:rPr>
                  <w:rFonts w:ascii="Times New Roman" w:cs="Times New Roman" w:eastAsia="Times New Roman" w:hAnsi="Times New Roman"/>
                  <w:sz w:val="18"/>
                  <w:szCs w:val="18"/>
                  <w:b w:val="1"/>
                  <w:bCs w:val="1"/>
                  <w:color w:val="auto"/>
                </w:rPr>
                <w:t>PART II. Other Information</w:t>
              </w:r>
            </w:hyperlink>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80" w:type="dxa"/>
            <w:vAlign w:val="bottom"/>
          </w:tcPr>
          <w:p>
            <w:pPr>
              <w:spacing w:after="0"/>
              <w:rPr>
                <w:rFonts w:ascii="Times New Roman" w:cs="Times New Roman" w:eastAsia="Times New Roman" w:hAnsi="Times New Roman"/>
                <w:sz w:val="18"/>
                <w:szCs w:val="18"/>
                <w:color w:val="auto"/>
              </w:rPr>
            </w:pPr>
            <w:hyperlink w:anchor="page31">
              <w:r>
                <w:rPr>
                  <w:rFonts w:ascii="Times New Roman" w:cs="Times New Roman" w:eastAsia="Times New Roman" w:hAnsi="Times New Roman"/>
                  <w:sz w:val="18"/>
                  <w:szCs w:val="18"/>
                  <w:color w:val="auto"/>
                </w:rPr>
                <w:t>Item 1.</w:t>
              </w:r>
            </w:hyperlink>
          </w:p>
        </w:tc>
        <w:tc>
          <w:tcPr>
            <w:tcW w:w="7480" w:type="dxa"/>
            <w:vAlign w:val="bottom"/>
          </w:tcPr>
          <w:p>
            <w:pPr>
              <w:ind w:left="20"/>
              <w:spacing w:after="0"/>
              <w:rPr>
                <w:rFonts w:ascii="Times New Roman" w:cs="Times New Roman" w:eastAsia="Times New Roman" w:hAnsi="Times New Roman"/>
                <w:sz w:val="18"/>
                <w:szCs w:val="18"/>
                <w:color w:val="auto"/>
              </w:rPr>
            </w:pPr>
            <w:hyperlink w:anchor="page31">
              <w:r>
                <w:rPr>
                  <w:rFonts w:ascii="Times New Roman" w:cs="Times New Roman" w:eastAsia="Times New Roman" w:hAnsi="Times New Roman"/>
                  <w:sz w:val="18"/>
                  <w:szCs w:val="18"/>
                  <w:color w:val="auto"/>
                </w:rPr>
                <w:t>Legal Proceedings</w:t>
              </w:r>
            </w:hyperlink>
          </w:p>
        </w:tc>
        <w:tc>
          <w:tcPr>
            <w:tcW w:w="480" w:type="dxa"/>
            <w:vAlign w:val="bottom"/>
          </w:tcPr>
          <w:p>
            <w:pPr>
              <w:jc w:val="right"/>
              <w:spacing w:after="0"/>
              <w:rPr>
                <w:rFonts w:ascii="Times New Roman" w:cs="Times New Roman" w:eastAsia="Times New Roman" w:hAnsi="Times New Roman"/>
                <w:sz w:val="18"/>
                <w:szCs w:val="18"/>
                <w:color w:val="auto"/>
              </w:rPr>
            </w:pPr>
            <w:hyperlink w:anchor="page31">
              <w:r>
                <w:rPr>
                  <w:rFonts w:ascii="Times New Roman" w:cs="Times New Roman" w:eastAsia="Times New Roman" w:hAnsi="Times New Roman"/>
                  <w:sz w:val="18"/>
                  <w:szCs w:val="18"/>
                  <w:color w:val="auto"/>
                </w:rPr>
                <w:t>30</w:t>
              </w:r>
            </w:hyperlink>
          </w:p>
        </w:tc>
        <w:tc>
          <w:tcPr>
            <w:tcW w:w="0" w:type="dxa"/>
            <w:vAlign w:val="bottom"/>
          </w:tcPr>
          <w:p>
            <w:pPr>
              <w:spacing w:after="0"/>
              <w:rPr>
                <w:sz w:val="1"/>
                <w:szCs w:val="1"/>
                <w:color w:val="auto"/>
              </w:rPr>
            </w:pPr>
          </w:p>
        </w:tc>
      </w:tr>
      <w:tr>
        <w:trPr>
          <w:trHeight w:val="270"/>
        </w:trPr>
        <w:tc>
          <w:tcPr>
            <w:tcW w:w="780" w:type="dxa"/>
            <w:vAlign w:val="bottom"/>
          </w:tcPr>
          <w:p>
            <w:pPr>
              <w:spacing w:after="0"/>
              <w:rPr>
                <w:rFonts w:ascii="Times New Roman" w:cs="Times New Roman" w:eastAsia="Times New Roman" w:hAnsi="Times New Roman"/>
                <w:sz w:val="18"/>
                <w:szCs w:val="18"/>
                <w:color w:val="auto"/>
              </w:rPr>
            </w:pPr>
            <w:hyperlink w:anchor="page31">
              <w:r>
                <w:rPr>
                  <w:rFonts w:ascii="Times New Roman" w:cs="Times New Roman" w:eastAsia="Times New Roman" w:hAnsi="Times New Roman"/>
                  <w:sz w:val="18"/>
                  <w:szCs w:val="18"/>
                  <w:color w:val="auto"/>
                </w:rPr>
                <w:t>Item 1A.</w:t>
              </w:r>
            </w:hyperlink>
          </w:p>
        </w:tc>
        <w:tc>
          <w:tcPr>
            <w:tcW w:w="7480" w:type="dxa"/>
            <w:vAlign w:val="bottom"/>
          </w:tcPr>
          <w:p>
            <w:pPr>
              <w:ind w:left="20"/>
              <w:spacing w:after="0"/>
              <w:rPr>
                <w:rFonts w:ascii="Times New Roman" w:cs="Times New Roman" w:eastAsia="Times New Roman" w:hAnsi="Times New Roman"/>
                <w:sz w:val="18"/>
                <w:szCs w:val="18"/>
                <w:color w:val="auto"/>
              </w:rPr>
            </w:pPr>
            <w:hyperlink w:anchor="page31">
              <w:r>
                <w:rPr>
                  <w:rFonts w:ascii="Times New Roman" w:cs="Times New Roman" w:eastAsia="Times New Roman" w:hAnsi="Times New Roman"/>
                  <w:sz w:val="18"/>
                  <w:szCs w:val="18"/>
                  <w:color w:val="auto"/>
                </w:rPr>
                <w:t>Risk Factors</w:t>
              </w:r>
            </w:hyperlink>
          </w:p>
        </w:tc>
        <w:tc>
          <w:tcPr>
            <w:tcW w:w="480" w:type="dxa"/>
            <w:vAlign w:val="bottom"/>
          </w:tcPr>
          <w:p>
            <w:pPr>
              <w:jc w:val="right"/>
              <w:spacing w:after="0"/>
              <w:rPr>
                <w:rFonts w:ascii="Times New Roman" w:cs="Times New Roman" w:eastAsia="Times New Roman" w:hAnsi="Times New Roman"/>
                <w:sz w:val="18"/>
                <w:szCs w:val="18"/>
                <w:color w:val="auto"/>
              </w:rPr>
            </w:pPr>
            <w:hyperlink w:anchor="page31">
              <w:r>
                <w:rPr>
                  <w:rFonts w:ascii="Times New Roman" w:cs="Times New Roman" w:eastAsia="Times New Roman" w:hAnsi="Times New Roman"/>
                  <w:sz w:val="18"/>
                  <w:szCs w:val="18"/>
                  <w:color w:val="auto"/>
                </w:rPr>
                <w:t>30</w:t>
              </w:r>
            </w:hyperlink>
          </w:p>
        </w:tc>
        <w:tc>
          <w:tcPr>
            <w:tcW w:w="0" w:type="dxa"/>
            <w:vAlign w:val="bottom"/>
          </w:tcPr>
          <w:p>
            <w:pPr>
              <w:spacing w:after="0"/>
              <w:rPr>
                <w:sz w:val="1"/>
                <w:szCs w:val="1"/>
                <w:color w:val="auto"/>
              </w:rPr>
            </w:pPr>
          </w:p>
        </w:tc>
      </w:tr>
      <w:tr>
        <w:trPr>
          <w:trHeight w:val="270"/>
        </w:trPr>
        <w:tc>
          <w:tcPr>
            <w:tcW w:w="780" w:type="dxa"/>
            <w:vAlign w:val="bottom"/>
          </w:tcPr>
          <w:p>
            <w:pPr>
              <w:spacing w:after="0"/>
              <w:rPr>
                <w:rFonts w:ascii="Times New Roman" w:cs="Times New Roman" w:eastAsia="Times New Roman" w:hAnsi="Times New Roman"/>
                <w:sz w:val="18"/>
                <w:szCs w:val="18"/>
                <w:color w:val="auto"/>
              </w:rPr>
            </w:pPr>
            <w:hyperlink w:anchor="page47">
              <w:r>
                <w:rPr>
                  <w:rFonts w:ascii="Times New Roman" w:cs="Times New Roman" w:eastAsia="Times New Roman" w:hAnsi="Times New Roman"/>
                  <w:sz w:val="18"/>
                  <w:szCs w:val="18"/>
                  <w:color w:val="auto"/>
                </w:rPr>
                <w:t>Item 2.</w:t>
              </w:r>
            </w:hyperlink>
          </w:p>
        </w:tc>
        <w:tc>
          <w:tcPr>
            <w:tcW w:w="7480" w:type="dxa"/>
            <w:vAlign w:val="bottom"/>
          </w:tcPr>
          <w:p>
            <w:pPr>
              <w:ind w:left="20"/>
              <w:spacing w:after="0"/>
              <w:rPr>
                <w:rFonts w:ascii="Times New Roman" w:cs="Times New Roman" w:eastAsia="Times New Roman" w:hAnsi="Times New Roman"/>
                <w:sz w:val="18"/>
                <w:szCs w:val="18"/>
                <w:color w:val="auto"/>
              </w:rPr>
            </w:pPr>
            <w:hyperlink w:anchor="page47">
              <w:r>
                <w:rPr>
                  <w:rFonts w:ascii="Times New Roman" w:cs="Times New Roman" w:eastAsia="Times New Roman" w:hAnsi="Times New Roman"/>
                  <w:sz w:val="18"/>
                  <w:szCs w:val="18"/>
                  <w:color w:val="auto"/>
                </w:rPr>
                <w:t>Unregistered Sales of Equity Securities and Use of Proceeds</w:t>
              </w:r>
            </w:hyperlink>
          </w:p>
        </w:tc>
        <w:tc>
          <w:tcPr>
            <w:tcW w:w="480" w:type="dxa"/>
            <w:vAlign w:val="bottom"/>
          </w:tcPr>
          <w:p>
            <w:pPr>
              <w:jc w:val="right"/>
              <w:spacing w:after="0"/>
              <w:rPr>
                <w:rFonts w:ascii="Times New Roman" w:cs="Times New Roman" w:eastAsia="Times New Roman" w:hAnsi="Times New Roman"/>
                <w:sz w:val="18"/>
                <w:szCs w:val="18"/>
                <w:color w:val="auto"/>
              </w:rPr>
            </w:pPr>
            <w:hyperlink w:anchor="page47">
              <w:r>
                <w:rPr>
                  <w:rFonts w:ascii="Times New Roman" w:cs="Times New Roman" w:eastAsia="Times New Roman" w:hAnsi="Times New Roman"/>
                  <w:sz w:val="18"/>
                  <w:szCs w:val="18"/>
                  <w:color w:val="auto"/>
                </w:rPr>
                <w:t>47</w:t>
              </w:r>
            </w:hyperlink>
          </w:p>
        </w:tc>
        <w:tc>
          <w:tcPr>
            <w:tcW w:w="0" w:type="dxa"/>
            <w:vAlign w:val="bottom"/>
          </w:tcPr>
          <w:p>
            <w:pPr>
              <w:spacing w:after="0"/>
              <w:rPr>
                <w:sz w:val="1"/>
                <w:szCs w:val="1"/>
                <w:color w:val="auto"/>
              </w:rPr>
            </w:pPr>
          </w:p>
        </w:tc>
      </w:tr>
      <w:tr>
        <w:trPr>
          <w:trHeight w:val="270"/>
        </w:trPr>
        <w:tc>
          <w:tcPr>
            <w:tcW w:w="780" w:type="dxa"/>
            <w:vAlign w:val="bottom"/>
          </w:tcPr>
          <w:p>
            <w:pPr>
              <w:spacing w:after="0"/>
              <w:rPr>
                <w:rFonts w:ascii="Times New Roman" w:cs="Times New Roman" w:eastAsia="Times New Roman" w:hAnsi="Times New Roman"/>
                <w:sz w:val="18"/>
                <w:szCs w:val="18"/>
                <w:color w:val="auto"/>
              </w:rPr>
            </w:pPr>
            <w:hyperlink w:anchor="page48">
              <w:r>
                <w:rPr>
                  <w:rFonts w:ascii="Times New Roman" w:cs="Times New Roman" w:eastAsia="Times New Roman" w:hAnsi="Times New Roman"/>
                  <w:sz w:val="18"/>
                  <w:szCs w:val="18"/>
                  <w:color w:val="auto"/>
                </w:rPr>
                <w:t>Item 3.</w:t>
              </w:r>
            </w:hyperlink>
          </w:p>
        </w:tc>
        <w:tc>
          <w:tcPr>
            <w:tcW w:w="7480" w:type="dxa"/>
            <w:vAlign w:val="bottom"/>
          </w:tcPr>
          <w:p>
            <w:pPr>
              <w:ind w:left="20"/>
              <w:spacing w:after="0"/>
              <w:rPr>
                <w:rFonts w:ascii="Times New Roman" w:cs="Times New Roman" w:eastAsia="Times New Roman" w:hAnsi="Times New Roman"/>
                <w:sz w:val="18"/>
                <w:szCs w:val="18"/>
                <w:color w:val="auto"/>
              </w:rPr>
            </w:pPr>
            <w:hyperlink w:anchor="page48">
              <w:r>
                <w:rPr>
                  <w:rFonts w:ascii="Times New Roman" w:cs="Times New Roman" w:eastAsia="Times New Roman" w:hAnsi="Times New Roman"/>
                  <w:sz w:val="18"/>
                  <w:szCs w:val="18"/>
                  <w:color w:val="auto"/>
                </w:rPr>
                <w:t>Defaults Upon Senior Securities</w:t>
              </w:r>
            </w:hyperlink>
          </w:p>
        </w:tc>
        <w:tc>
          <w:tcPr>
            <w:tcW w:w="480" w:type="dxa"/>
            <w:vAlign w:val="bottom"/>
          </w:tcPr>
          <w:p>
            <w:pPr>
              <w:jc w:val="right"/>
              <w:spacing w:after="0"/>
              <w:rPr>
                <w:rFonts w:ascii="Times New Roman" w:cs="Times New Roman" w:eastAsia="Times New Roman" w:hAnsi="Times New Roman"/>
                <w:sz w:val="18"/>
                <w:szCs w:val="18"/>
                <w:color w:val="auto"/>
              </w:rPr>
            </w:pPr>
            <w:hyperlink w:anchor="page48">
              <w:r>
                <w:rPr>
                  <w:rFonts w:ascii="Times New Roman" w:cs="Times New Roman" w:eastAsia="Times New Roman" w:hAnsi="Times New Roman"/>
                  <w:sz w:val="18"/>
                  <w:szCs w:val="18"/>
                  <w:color w:val="auto"/>
                </w:rPr>
                <w:t>47</w:t>
              </w:r>
            </w:hyperlink>
          </w:p>
        </w:tc>
        <w:tc>
          <w:tcPr>
            <w:tcW w:w="0" w:type="dxa"/>
            <w:vAlign w:val="bottom"/>
          </w:tcPr>
          <w:p>
            <w:pPr>
              <w:spacing w:after="0"/>
              <w:rPr>
                <w:sz w:val="1"/>
                <w:szCs w:val="1"/>
                <w:color w:val="auto"/>
              </w:rPr>
            </w:pPr>
          </w:p>
        </w:tc>
      </w:tr>
      <w:tr>
        <w:trPr>
          <w:trHeight w:val="270"/>
        </w:trPr>
        <w:tc>
          <w:tcPr>
            <w:tcW w:w="780" w:type="dxa"/>
            <w:vAlign w:val="bottom"/>
          </w:tcPr>
          <w:p>
            <w:pPr>
              <w:spacing w:after="0"/>
              <w:rPr>
                <w:rFonts w:ascii="Times New Roman" w:cs="Times New Roman" w:eastAsia="Times New Roman" w:hAnsi="Times New Roman"/>
                <w:sz w:val="18"/>
                <w:szCs w:val="18"/>
                <w:color w:val="auto"/>
              </w:rPr>
            </w:pPr>
            <w:hyperlink w:anchor="page48">
              <w:r>
                <w:rPr>
                  <w:rFonts w:ascii="Times New Roman" w:cs="Times New Roman" w:eastAsia="Times New Roman" w:hAnsi="Times New Roman"/>
                  <w:sz w:val="18"/>
                  <w:szCs w:val="18"/>
                  <w:color w:val="auto"/>
                </w:rPr>
                <w:t>Item 4.</w:t>
              </w:r>
            </w:hyperlink>
          </w:p>
        </w:tc>
        <w:tc>
          <w:tcPr>
            <w:tcW w:w="7480" w:type="dxa"/>
            <w:vAlign w:val="bottom"/>
          </w:tcPr>
          <w:p>
            <w:pPr>
              <w:ind w:left="20"/>
              <w:spacing w:after="0"/>
              <w:rPr>
                <w:rFonts w:ascii="Times New Roman" w:cs="Times New Roman" w:eastAsia="Times New Roman" w:hAnsi="Times New Roman"/>
                <w:sz w:val="18"/>
                <w:szCs w:val="18"/>
                <w:color w:val="auto"/>
              </w:rPr>
            </w:pPr>
            <w:hyperlink w:anchor="page48">
              <w:r>
                <w:rPr>
                  <w:rFonts w:ascii="Times New Roman" w:cs="Times New Roman" w:eastAsia="Times New Roman" w:hAnsi="Times New Roman"/>
                  <w:sz w:val="18"/>
                  <w:szCs w:val="18"/>
                  <w:color w:val="auto"/>
                </w:rPr>
                <w:t>Mine Safety Disclosures</w:t>
              </w:r>
            </w:hyperlink>
          </w:p>
        </w:tc>
        <w:tc>
          <w:tcPr>
            <w:tcW w:w="480" w:type="dxa"/>
            <w:vAlign w:val="bottom"/>
          </w:tcPr>
          <w:p>
            <w:pPr>
              <w:jc w:val="right"/>
              <w:spacing w:after="0"/>
              <w:rPr>
                <w:rFonts w:ascii="Times New Roman" w:cs="Times New Roman" w:eastAsia="Times New Roman" w:hAnsi="Times New Roman"/>
                <w:sz w:val="18"/>
                <w:szCs w:val="18"/>
                <w:color w:val="auto"/>
              </w:rPr>
            </w:pPr>
            <w:hyperlink w:anchor="page48">
              <w:r>
                <w:rPr>
                  <w:rFonts w:ascii="Times New Roman" w:cs="Times New Roman" w:eastAsia="Times New Roman" w:hAnsi="Times New Roman"/>
                  <w:sz w:val="18"/>
                  <w:szCs w:val="18"/>
                  <w:color w:val="auto"/>
                </w:rPr>
                <w:t>47</w:t>
              </w:r>
            </w:hyperlink>
          </w:p>
        </w:tc>
        <w:tc>
          <w:tcPr>
            <w:tcW w:w="0" w:type="dxa"/>
            <w:vAlign w:val="bottom"/>
          </w:tcPr>
          <w:p>
            <w:pPr>
              <w:spacing w:after="0"/>
              <w:rPr>
                <w:sz w:val="1"/>
                <w:szCs w:val="1"/>
                <w:color w:val="auto"/>
              </w:rPr>
            </w:pPr>
          </w:p>
        </w:tc>
      </w:tr>
      <w:tr>
        <w:trPr>
          <w:trHeight w:val="270"/>
        </w:trPr>
        <w:tc>
          <w:tcPr>
            <w:tcW w:w="780" w:type="dxa"/>
            <w:vAlign w:val="bottom"/>
          </w:tcPr>
          <w:p>
            <w:pPr>
              <w:spacing w:after="0"/>
              <w:rPr>
                <w:rFonts w:ascii="Times New Roman" w:cs="Times New Roman" w:eastAsia="Times New Roman" w:hAnsi="Times New Roman"/>
                <w:sz w:val="18"/>
                <w:szCs w:val="18"/>
                <w:color w:val="auto"/>
              </w:rPr>
            </w:pPr>
            <w:hyperlink w:anchor="page48">
              <w:r>
                <w:rPr>
                  <w:rFonts w:ascii="Times New Roman" w:cs="Times New Roman" w:eastAsia="Times New Roman" w:hAnsi="Times New Roman"/>
                  <w:sz w:val="18"/>
                  <w:szCs w:val="18"/>
                  <w:color w:val="auto"/>
                </w:rPr>
                <w:t>Item 5.</w:t>
              </w:r>
            </w:hyperlink>
          </w:p>
        </w:tc>
        <w:tc>
          <w:tcPr>
            <w:tcW w:w="7480" w:type="dxa"/>
            <w:vAlign w:val="bottom"/>
          </w:tcPr>
          <w:p>
            <w:pPr>
              <w:ind w:left="20"/>
              <w:spacing w:after="0"/>
              <w:rPr>
                <w:rFonts w:ascii="Times New Roman" w:cs="Times New Roman" w:eastAsia="Times New Roman" w:hAnsi="Times New Roman"/>
                <w:sz w:val="18"/>
                <w:szCs w:val="18"/>
                <w:color w:val="auto"/>
              </w:rPr>
            </w:pPr>
            <w:hyperlink w:anchor="page48">
              <w:r>
                <w:rPr>
                  <w:rFonts w:ascii="Times New Roman" w:cs="Times New Roman" w:eastAsia="Times New Roman" w:hAnsi="Times New Roman"/>
                  <w:sz w:val="18"/>
                  <w:szCs w:val="18"/>
                  <w:color w:val="auto"/>
                </w:rPr>
                <w:t>Other Information</w:t>
              </w:r>
            </w:hyperlink>
          </w:p>
        </w:tc>
        <w:tc>
          <w:tcPr>
            <w:tcW w:w="480" w:type="dxa"/>
            <w:vAlign w:val="bottom"/>
          </w:tcPr>
          <w:p>
            <w:pPr>
              <w:jc w:val="right"/>
              <w:spacing w:after="0"/>
              <w:rPr>
                <w:rFonts w:ascii="Times New Roman" w:cs="Times New Roman" w:eastAsia="Times New Roman" w:hAnsi="Times New Roman"/>
                <w:sz w:val="18"/>
                <w:szCs w:val="18"/>
                <w:color w:val="auto"/>
              </w:rPr>
            </w:pPr>
            <w:hyperlink w:anchor="page48">
              <w:r>
                <w:rPr>
                  <w:rFonts w:ascii="Times New Roman" w:cs="Times New Roman" w:eastAsia="Times New Roman" w:hAnsi="Times New Roman"/>
                  <w:sz w:val="18"/>
                  <w:szCs w:val="18"/>
                  <w:color w:val="auto"/>
                </w:rPr>
                <w:t>47</w:t>
              </w:r>
            </w:hyperlink>
          </w:p>
        </w:tc>
        <w:tc>
          <w:tcPr>
            <w:tcW w:w="0" w:type="dxa"/>
            <w:vAlign w:val="bottom"/>
          </w:tcPr>
          <w:p>
            <w:pPr>
              <w:spacing w:after="0"/>
              <w:rPr>
                <w:sz w:val="1"/>
                <w:szCs w:val="1"/>
                <w:color w:val="auto"/>
              </w:rPr>
            </w:pPr>
          </w:p>
        </w:tc>
      </w:tr>
      <w:tr>
        <w:trPr>
          <w:trHeight w:val="270"/>
        </w:trPr>
        <w:tc>
          <w:tcPr>
            <w:tcW w:w="780" w:type="dxa"/>
            <w:vAlign w:val="bottom"/>
          </w:tcPr>
          <w:p>
            <w:pPr>
              <w:spacing w:after="0"/>
              <w:rPr>
                <w:rFonts w:ascii="Times New Roman" w:cs="Times New Roman" w:eastAsia="Times New Roman" w:hAnsi="Times New Roman"/>
                <w:sz w:val="18"/>
                <w:szCs w:val="18"/>
                <w:color w:val="auto"/>
              </w:rPr>
            </w:pPr>
            <w:hyperlink w:anchor="page48">
              <w:r>
                <w:rPr>
                  <w:rFonts w:ascii="Times New Roman" w:cs="Times New Roman" w:eastAsia="Times New Roman" w:hAnsi="Times New Roman"/>
                  <w:sz w:val="18"/>
                  <w:szCs w:val="18"/>
                  <w:color w:val="auto"/>
                </w:rPr>
                <w:t>Item 6.</w:t>
              </w:r>
            </w:hyperlink>
          </w:p>
        </w:tc>
        <w:tc>
          <w:tcPr>
            <w:tcW w:w="7480" w:type="dxa"/>
            <w:vAlign w:val="bottom"/>
          </w:tcPr>
          <w:p>
            <w:pPr>
              <w:ind w:left="20"/>
              <w:spacing w:after="0"/>
              <w:rPr>
                <w:rFonts w:ascii="Times New Roman" w:cs="Times New Roman" w:eastAsia="Times New Roman" w:hAnsi="Times New Roman"/>
                <w:sz w:val="18"/>
                <w:szCs w:val="18"/>
                <w:color w:val="auto"/>
              </w:rPr>
            </w:pPr>
            <w:hyperlink w:anchor="page48">
              <w:r>
                <w:rPr>
                  <w:rFonts w:ascii="Times New Roman" w:cs="Times New Roman" w:eastAsia="Times New Roman" w:hAnsi="Times New Roman"/>
                  <w:sz w:val="18"/>
                  <w:szCs w:val="18"/>
                  <w:color w:val="auto"/>
                </w:rPr>
                <w:t>Exhibits</w:t>
              </w:r>
            </w:hyperlink>
          </w:p>
        </w:tc>
        <w:tc>
          <w:tcPr>
            <w:tcW w:w="480" w:type="dxa"/>
            <w:vAlign w:val="bottom"/>
          </w:tcPr>
          <w:p>
            <w:pPr>
              <w:jc w:val="right"/>
              <w:spacing w:after="0"/>
              <w:rPr>
                <w:rFonts w:ascii="Times New Roman" w:cs="Times New Roman" w:eastAsia="Times New Roman" w:hAnsi="Times New Roman"/>
                <w:sz w:val="18"/>
                <w:szCs w:val="18"/>
                <w:color w:val="auto"/>
              </w:rPr>
            </w:pPr>
            <w:hyperlink w:anchor="page48">
              <w:r>
                <w:rPr>
                  <w:rFonts w:ascii="Times New Roman" w:cs="Times New Roman" w:eastAsia="Times New Roman" w:hAnsi="Times New Roman"/>
                  <w:sz w:val="18"/>
                  <w:szCs w:val="18"/>
                  <w:color w:val="auto"/>
                </w:rPr>
                <w:t>48</w:t>
              </w:r>
            </w:hyperlink>
          </w:p>
        </w:tc>
        <w:tc>
          <w:tcPr>
            <w:tcW w:w="0" w:type="dxa"/>
            <w:vAlign w:val="bottom"/>
          </w:tcPr>
          <w:p>
            <w:pPr>
              <w:spacing w:after="0"/>
              <w:rPr>
                <w:sz w:val="1"/>
                <w:szCs w:val="1"/>
                <w:color w:val="auto"/>
              </w:rPr>
            </w:pPr>
          </w:p>
        </w:tc>
      </w:tr>
      <w:tr>
        <w:trPr>
          <w:trHeight w:val="270"/>
        </w:trPr>
        <w:tc>
          <w:tcPr>
            <w:tcW w:w="780" w:type="dxa"/>
            <w:vAlign w:val="bottom"/>
          </w:tcPr>
          <w:p>
            <w:pPr>
              <w:spacing w:after="0"/>
              <w:rPr>
                <w:rFonts w:ascii="Times New Roman" w:cs="Times New Roman" w:eastAsia="Times New Roman" w:hAnsi="Times New Roman"/>
                <w:sz w:val="18"/>
                <w:szCs w:val="18"/>
                <w:color w:val="auto"/>
                <w:w w:val="99"/>
              </w:rPr>
            </w:pPr>
            <w:hyperlink w:anchor="page49">
              <w:r>
                <w:rPr>
                  <w:rFonts w:ascii="Times New Roman" w:cs="Times New Roman" w:eastAsia="Times New Roman" w:hAnsi="Times New Roman"/>
                  <w:sz w:val="18"/>
                  <w:szCs w:val="18"/>
                  <w:color w:val="auto"/>
                  <w:w w:val="99"/>
                </w:rPr>
                <w:t>Signatures</w:t>
              </w:r>
            </w:hyperlink>
          </w:p>
        </w:tc>
        <w:tc>
          <w:tcPr>
            <w:tcW w:w="7480" w:type="dxa"/>
            <w:vAlign w:val="bottom"/>
          </w:tcPr>
          <w:p>
            <w:pPr>
              <w:spacing w:after="0"/>
              <w:rPr>
                <w:sz w:val="23"/>
                <w:szCs w:val="23"/>
                <w:color w:val="auto"/>
              </w:rPr>
            </w:pPr>
          </w:p>
        </w:tc>
        <w:tc>
          <w:tcPr>
            <w:tcW w:w="480" w:type="dxa"/>
            <w:vAlign w:val="bottom"/>
          </w:tcPr>
          <w:p>
            <w:pPr>
              <w:jc w:val="right"/>
              <w:spacing w:after="0"/>
              <w:rPr>
                <w:rFonts w:ascii="Times New Roman" w:cs="Times New Roman" w:eastAsia="Times New Roman" w:hAnsi="Times New Roman"/>
                <w:sz w:val="18"/>
                <w:szCs w:val="18"/>
                <w:color w:val="auto"/>
              </w:rPr>
            </w:pPr>
            <w:hyperlink w:anchor="page49">
              <w:r>
                <w:rPr>
                  <w:rFonts w:ascii="Times New Roman" w:cs="Times New Roman" w:eastAsia="Times New Roman" w:hAnsi="Times New Roman"/>
                  <w:sz w:val="18"/>
                  <w:szCs w:val="18"/>
                  <w:color w:val="auto"/>
                </w:rPr>
                <w:t>49</w:t>
              </w:r>
            </w:hyperlink>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federal securities laws, including but not limited to statements regarding (1) the amount, timing and focus of our expected capital investments in 2020 including expenditures in support of advanced packaging and test equipment, (2) our ability to fund our operating activities and financial requirements for the next twelve months, (3) the effect of changes in revenue levels and capacity utilization on our gross margin, (4) the impact of the novel coronavirus disease, or Covid-19, pandemic on our operations and financial results, (5) the focus of our research and development activities, (6) the anticipated impact of the Tax Cuts and Jobs Act (the “Tax Act”) and tax law changes in the jurisdictions in which we operate, (7) the grant and expiration of tax holidays in jurisdictions in which we operate and expectations regarding our effective tax rate and the availability of tax incentives, (8) the creation or release of valuation allowances related to taxes in the future, (9) our repurchase or repayment of outstanding debt, (10) payment of dividends, (11) compliance with our covenants, (12) expected contributions to foreign pension plans and potential future conversion of our unfunded severance plan in Korea into a defined contribution plan, (13) liability for unrecognized tax benefits and the potential impact of our unrecognized tax benefits on our effective tax rate, (14) expected timing of and charges related to restructuring activities, (15) the effect of foreign currency exchange rate exposure on our financial results, (16) the volatility of the trading price of our common stock, (17) changes to our internal controls related to integration of acquired operations and implementation of an enterprise resource planning system, (18) our efforts to enlarge our customer base in certain geographic areas and markets, (19) demand for advanced packages in mobile and automotive devices and our technology leadership and potential growth in this market, (20) projects to install and integrate new information technology systems or upgrade our existing systems and (21) other statements that are not historical facts. In some cases, you can identify forward-looking statements by terminology such as “may,” “will,” “should,” “expects,” “plans,” “anticipates,” “believes,” “estimates,” “predicts,” “potential,” “continue,” “intend” or the negative of these terms or other comparable terminology. Because such statements include risks and uncertainties, actual results may differ materially from those anticipated in such forward-looking statements as a result of various factors, including those set forth in the following report as well as in Part II, Item 1A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040" w:type="dxa"/>
            <w:vAlign w:val="bottom"/>
            <w:gridSpan w:val="7"/>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918"/>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3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Statements</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37"/>
        </w:trPr>
        <w:tc>
          <w:tcPr>
            <w:tcW w:w="8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040" w:type="dxa"/>
            <w:vAlign w:val="bottom"/>
            <w:gridSpan w:val="7"/>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AMKOR TECHNOLOGY, INC.</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7180" w:type="dxa"/>
            <w:vAlign w:val="bottom"/>
            <w:gridSpan w:val="8"/>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INCOME</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8"/>
        </w:trPr>
        <w:tc>
          <w:tcPr>
            <w:tcW w:w="8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06"/>
        </w:trPr>
        <w:tc>
          <w:tcPr>
            <w:tcW w:w="8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4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00" w:type="dxa"/>
            <w:vAlign w:val="bottom"/>
          </w:tcPr>
          <w:p>
            <w:pPr>
              <w:spacing w:after="0"/>
              <w:rPr>
                <w:sz w:val="24"/>
                <w:szCs w:val="24"/>
                <w:color w:val="auto"/>
              </w:rPr>
            </w:pPr>
          </w:p>
        </w:tc>
        <w:tc>
          <w:tcPr>
            <w:tcW w:w="2980" w:type="dxa"/>
            <w:vAlign w:val="bottom"/>
            <w:gridSpan w:val="4"/>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188"/>
        </w:trPr>
        <w:tc>
          <w:tcPr>
            <w:tcW w:w="88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83"/>
        </w:trPr>
        <w:tc>
          <w:tcPr>
            <w:tcW w:w="88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29"/>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1,354,023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1,083,917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3,679,548</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2,874,186</w:t>
            </w:r>
          </w:p>
        </w:tc>
      </w:tr>
      <w:tr>
        <w:trPr>
          <w:trHeight w:val="229"/>
        </w:trPr>
        <w:tc>
          <w:tcPr>
            <w:tcW w:w="4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7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1,112,938</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901,677</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3,057,235</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2,447,731</w:t>
            </w:r>
          </w:p>
        </w:tc>
      </w:tr>
      <w:tr>
        <w:trPr>
          <w:trHeight w:val="223"/>
        </w:trPr>
        <w:tc>
          <w:tcPr>
            <w:tcW w:w="4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7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241,085</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182,240</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622,313</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426,455</w:t>
            </w:r>
          </w:p>
        </w:tc>
      </w:tr>
      <w:tr>
        <w:trPr>
          <w:trHeight w:val="223"/>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77,781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70,458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224,623</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206,803</w:t>
            </w:r>
          </w:p>
        </w:tc>
      </w:tr>
      <w:tr>
        <w:trPr>
          <w:trHeight w:val="230"/>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35,835</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32,927</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99,624</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104,867</w:t>
            </w:r>
          </w:p>
        </w:tc>
      </w:tr>
      <w:tr>
        <w:trPr>
          <w:trHeight w:val="223"/>
        </w:trPr>
        <w:tc>
          <w:tcPr>
            <w:tcW w:w="40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7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113,616</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103,385</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324,247</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311,670</w:t>
            </w:r>
          </w:p>
        </w:tc>
      </w:tr>
      <w:tr>
        <w:trPr>
          <w:trHeight w:val="223"/>
        </w:trPr>
        <w:tc>
          <w:tcPr>
            <w:tcW w:w="4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income</w:t>
            </w: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127,469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78,855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298,066</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114,785</w:t>
            </w:r>
          </w:p>
        </w:tc>
      </w:tr>
      <w:tr>
        <w:trPr>
          <w:trHeight w:val="229"/>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49,461</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54,914</w:t>
            </w:r>
          </w:p>
        </w:tc>
      </w:tr>
      <w:tr>
        <w:trPr>
          <w:trHeight w:val="230"/>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7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r>
      <w:tr>
        <w:trPr>
          <w:trHeight w:val="223"/>
        </w:trPr>
        <w:tc>
          <w:tcPr>
            <w:tcW w:w="40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other expense, net</w:t>
            </w:r>
          </w:p>
        </w:tc>
        <w:tc>
          <w:tcPr>
            <w:tcW w:w="7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18,819</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15,228</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51,028</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55,555</w:t>
            </w:r>
          </w:p>
        </w:tc>
      </w:tr>
      <w:tr>
        <w:trPr>
          <w:trHeight w:val="223"/>
        </w:trPr>
        <w:tc>
          <w:tcPr>
            <w:tcW w:w="40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before taxes</w:t>
            </w: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108,650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63,627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247,038</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59,230</w:t>
            </w:r>
          </w:p>
        </w:tc>
      </w:tr>
      <w:tr>
        <w:trPr>
          <w:trHeight w:val="229"/>
        </w:trPr>
        <w:tc>
          <w:tcPr>
            <w:tcW w:w="4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7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15,753</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9,141</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33,504</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36,418</w:t>
            </w:r>
          </w:p>
        </w:tc>
      </w:tr>
      <w:tr>
        <w:trPr>
          <w:trHeight w:val="223"/>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92,897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54,486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213,534</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22,812</w:t>
            </w:r>
          </w:p>
        </w:tc>
      </w:tr>
      <w:tr>
        <w:trPr>
          <w:trHeight w:val="229"/>
        </w:trPr>
        <w:tc>
          <w:tcPr>
            <w:tcW w:w="4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7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w:t>
            </w:r>
          </w:p>
        </w:tc>
      </w:tr>
      <w:tr>
        <w:trPr>
          <w:trHeight w:val="248"/>
        </w:trPr>
        <w:tc>
          <w:tcPr>
            <w:tcW w:w="4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Amkor</w:t>
            </w:r>
          </w:p>
        </w:tc>
        <w:tc>
          <w:tcPr>
            <w:tcW w:w="7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92,151</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54,070</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211,464</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21,741</w:t>
            </w:r>
          </w:p>
        </w:tc>
      </w:tr>
      <w:tr>
        <w:trPr>
          <w:trHeight w:val="20"/>
        </w:trPr>
        <w:tc>
          <w:tcPr>
            <w:tcW w:w="4020" w:type="dxa"/>
            <w:vAlign w:val="bottom"/>
            <w:tcBorders>
              <w:top w:val="single" w:sz="8" w:color="CCEEFF"/>
            </w:tcBorders>
            <w:gridSpan w:val="2"/>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Amkor per common share:</w:t>
            </w: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1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4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14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r>
      <w:tr>
        <w:trPr>
          <w:trHeight w:val="20"/>
        </w:trPr>
        <w:tc>
          <w:tcPr>
            <w:tcW w:w="880" w:type="dxa"/>
            <w:vAlign w:val="bottom"/>
            <w:tcBorders>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48"/>
        </w:trPr>
        <w:tc>
          <w:tcPr>
            <w:tcW w:w="8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r>
      <w:tr>
        <w:trPr>
          <w:trHeight w:val="20"/>
        </w:trPr>
        <w:tc>
          <w:tcPr>
            <w:tcW w:w="4020" w:type="dxa"/>
            <w:vAlign w:val="bottom"/>
            <w:tcBorders>
              <w:top w:val="single" w:sz="8" w:color="CCEEFF"/>
            </w:tcBorders>
            <w:gridSpan w:val="2"/>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in computing per common share amounts:</w:t>
            </w: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241,675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239,586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241,232</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239,503</w:t>
            </w:r>
          </w:p>
        </w:tc>
      </w:tr>
      <w:tr>
        <w:trPr>
          <w:trHeight w:val="230"/>
        </w:trPr>
        <w:tc>
          <w:tcPr>
            <w:tcW w:w="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242,592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239,937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241,937</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239,858</w:t>
            </w: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6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48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w:t>
            </w:r>
          </w:p>
        </w:tc>
        <w:tc>
          <w:tcPr>
            <w:tcW w:w="0" w:type="dxa"/>
            <w:vAlign w:val="bottom"/>
          </w:tcPr>
          <w:p>
            <w:pPr>
              <w:spacing w:after="0"/>
              <w:rPr>
                <w:sz w:val="1"/>
                <w:szCs w:val="1"/>
                <w:color w:val="auto"/>
              </w:rPr>
            </w:pPr>
          </w:p>
        </w:tc>
      </w:tr>
      <w:tr>
        <w:trPr>
          <w:trHeight w:val="189"/>
        </w:trPr>
        <w:tc>
          <w:tcPr>
            <w:tcW w:w="6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w w:val="91"/>
              </w:rPr>
              <w:t>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83"/>
        </w:trPr>
        <w:tc>
          <w:tcPr>
            <w:tcW w:w="6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0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92,897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54,486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213,534</w:t>
            </w:r>
          </w:p>
        </w:tc>
        <w:tc>
          <w:tcPr>
            <w:tcW w:w="44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22,812</w:t>
            </w:r>
          </w:p>
        </w:tc>
        <w:tc>
          <w:tcPr>
            <w:tcW w:w="0" w:type="dxa"/>
            <w:vAlign w:val="bottom"/>
          </w:tcPr>
          <w:p>
            <w:pPr>
              <w:spacing w:after="0"/>
              <w:rPr>
                <w:sz w:val="1"/>
                <w:szCs w:val="1"/>
                <w:color w:val="auto"/>
              </w:rPr>
            </w:pPr>
          </w:p>
        </w:tc>
      </w:tr>
      <w:tr>
        <w:trPr>
          <w:trHeight w:val="22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16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Adjustments to net unrealized gains (losses) on available-for-sale debt</w:t>
            </w:r>
          </w:p>
        </w:tc>
        <w:tc>
          <w:tcPr>
            <w:tcW w:w="24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investments</w:t>
            </w:r>
          </w:p>
        </w:tc>
        <w:tc>
          <w:tcPr>
            <w:tcW w:w="24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Adjustments to unrealized components of defined benefit pension plans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3,745</w:t>
            </w:r>
          </w:p>
        </w:tc>
        <w:tc>
          <w:tcPr>
            <w:tcW w:w="0" w:type="dxa"/>
            <w:vAlign w:val="bottom"/>
          </w:tcPr>
          <w:p>
            <w:pPr>
              <w:spacing w:after="0"/>
              <w:rPr>
                <w:sz w:val="1"/>
                <w:szCs w:val="1"/>
                <w:color w:val="auto"/>
              </w:rPr>
            </w:pPr>
          </w:p>
        </w:tc>
      </w:tr>
      <w:tr>
        <w:trPr>
          <w:trHeight w:val="223"/>
        </w:trPr>
        <w:tc>
          <w:tcPr>
            <w:tcW w:w="61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4,194</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3,431</w:t>
            </w:r>
          </w:p>
        </w:tc>
        <w:tc>
          <w:tcPr>
            <w:tcW w:w="0" w:type="dxa"/>
            <w:vAlign w:val="bottom"/>
          </w:tcPr>
          <w:p>
            <w:pPr>
              <w:spacing w:after="0"/>
              <w:rPr>
                <w:sz w:val="1"/>
                <w:szCs w:val="1"/>
                <w:color w:val="auto"/>
              </w:rPr>
            </w:pPr>
          </w:p>
        </w:tc>
      </w:tr>
      <w:tr>
        <w:trPr>
          <w:trHeight w:val="22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96,934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54,412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217,728</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26,243</w:t>
            </w:r>
          </w:p>
        </w:tc>
        <w:tc>
          <w:tcPr>
            <w:tcW w:w="0" w:type="dxa"/>
            <w:vAlign w:val="bottom"/>
          </w:tcPr>
          <w:p>
            <w:pPr>
              <w:spacing w:after="0"/>
              <w:rPr>
                <w:sz w:val="1"/>
                <w:szCs w:val="1"/>
                <w:color w:val="auto"/>
              </w:rPr>
            </w:pPr>
          </w:p>
        </w:tc>
      </w:tr>
      <w:tr>
        <w:trPr>
          <w:trHeight w:val="229"/>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0" w:type="dxa"/>
            <w:vAlign w:val="bottom"/>
          </w:tcPr>
          <w:p>
            <w:pPr>
              <w:spacing w:after="0"/>
              <w:rPr>
                <w:sz w:val="1"/>
                <w:szCs w:val="1"/>
                <w:color w:val="auto"/>
              </w:rPr>
            </w:pPr>
          </w:p>
        </w:tc>
      </w:tr>
      <w:tr>
        <w:trPr>
          <w:trHeight w:val="248"/>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Amkor</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96,188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53,996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215,658</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25,172</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187"/>
        </w:trPr>
        <w:tc>
          <w:tcPr>
            <w:tcW w:w="8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0" w:type="dxa"/>
            <w:vAlign w:val="bottom"/>
            <w:gridSpan w:val="4"/>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530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566,745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894,948</w:t>
            </w:r>
          </w:p>
        </w:tc>
        <w:tc>
          <w:tcPr>
            <w:tcW w:w="0" w:type="dxa"/>
            <w:vAlign w:val="bottom"/>
          </w:tcPr>
          <w:p>
            <w:pPr>
              <w:spacing w:after="0"/>
              <w:rPr>
                <w:sz w:val="1"/>
                <w:szCs w:val="1"/>
                <w:color w:val="auto"/>
              </w:rPr>
            </w:pPr>
          </w:p>
        </w:tc>
      </w:tr>
      <w:tr>
        <w:trPr>
          <w:trHeight w:val="216"/>
        </w:trPr>
        <w:tc>
          <w:tcPr>
            <w:tcW w:w="8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Restricted cash</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610</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Short-term investments (amortized cost of $355,939 in 2020)</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356,150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6,348</w:t>
            </w:r>
          </w:p>
        </w:tc>
        <w:tc>
          <w:tcPr>
            <w:tcW w:w="0" w:type="dxa"/>
            <w:vAlign w:val="bottom"/>
          </w:tcPr>
          <w:p>
            <w:pPr>
              <w:spacing w:after="0"/>
              <w:rPr>
                <w:sz w:val="1"/>
                <w:szCs w:val="1"/>
                <w:color w:val="auto"/>
              </w:rPr>
            </w:pPr>
          </w:p>
        </w:tc>
      </w:tr>
      <w:tr>
        <w:trPr>
          <w:trHeight w:val="216"/>
        </w:trPr>
        <w:tc>
          <w:tcPr>
            <w:tcW w:w="8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receivable, net of allowances</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990,637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850,753</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Inventories</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299,830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220,602</w:t>
            </w:r>
          </w:p>
        </w:tc>
        <w:tc>
          <w:tcPr>
            <w:tcW w:w="0" w:type="dxa"/>
            <w:vAlign w:val="bottom"/>
          </w:tcPr>
          <w:p>
            <w:pPr>
              <w:spacing w:after="0"/>
              <w:rPr>
                <w:sz w:val="1"/>
                <w:szCs w:val="1"/>
                <w:color w:val="auto"/>
              </w:rPr>
            </w:pPr>
          </w:p>
        </w:tc>
      </w:tr>
      <w:tr>
        <w:trPr>
          <w:trHeight w:val="216"/>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 current assets</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54,264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28,272</w:t>
            </w:r>
          </w:p>
        </w:tc>
        <w:tc>
          <w:tcPr>
            <w:tcW w:w="0" w:type="dxa"/>
            <w:vAlign w:val="bottom"/>
          </w:tcPr>
          <w:p>
            <w:pPr>
              <w:spacing w:after="0"/>
              <w:rPr>
                <w:sz w:val="1"/>
                <w:szCs w:val="1"/>
                <w:color w:val="auto"/>
              </w:rPr>
            </w:pPr>
          </w:p>
        </w:tc>
      </w:tr>
      <w:tr>
        <w:trPr>
          <w:trHeight w:val="209"/>
        </w:trPr>
        <w:tc>
          <w:tcPr>
            <w:tcW w:w="81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Total current assets</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2,268,571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2,001,533</w:t>
            </w:r>
          </w:p>
        </w:tc>
        <w:tc>
          <w:tcPr>
            <w:tcW w:w="0" w:type="dxa"/>
            <w:vAlign w:val="bottom"/>
          </w:tcPr>
          <w:p>
            <w:pPr>
              <w:spacing w:after="0"/>
              <w:rPr>
                <w:sz w:val="1"/>
                <w:szCs w:val="1"/>
                <w:color w:val="auto"/>
              </w:rPr>
            </w:pPr>
          </w:p>
        </w:tc>
      </w:tr>
      <w:tr>
        <w:trPr>
          <w:trHeight w:val="216"/>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2,560,195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2,404,850</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right of use assets</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149,727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148,549</w:t>
            </w:r>
          </w:p>
        </w:tc>
        <w:tc>
          <w:tcPr>
            <w:tcW w:w="0" w:type="dxa"/>
            <w:vAlign w:val="bottom"/>
          </w:tcPr>
          <w:p>
            <w:pPr>
              <w:spacing w:after="0"/>
              <w:rPr>
                <w:sz w:val="1"/>
                <w:szCs w:val="1"/>
                <w:color w:val="auto"/>
              </w:rPr>
            </w:pPr>
          </w:p>
        </w:tc>
      </w:tr>
      <w:tr>
        <w:trPr>
          <w:trHeight w:val="216"/>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25,976</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cash</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2,974</w:t>
            </w:r>
          </w:p>
        </w:tc>
        <w:tc>
          <w:tcPr>
            <w:tcW w:w="0" w:type="dxa"/>
            <w:vAlign w:val="bottom"/>
          </w:tcPr>
          <w:p>
            <w:pPr>
              <w:spacing w:after="0"/>
              <w:rPr>
                <w:sz w:val="1"/>
                <w:szCs w:val="1"/>
                <w:color w:val="auto"/>
              </w:rPr>
            </w:pPr>
          </w:p>
        </w:tc>
      </w:tr>
      <w:tr>
        <w:trPr>
          <w:trHeight w:val="216"/>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128,293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111,733</w:t>
            </w:r>
          </w:p>
        </w:tc>
        <w:tc>
          <w:tcPr>
            <w:tcW w:w="0" w:type="dxa"/>
            <w:vAlign w:val="bottom"/>
          </w:tcPr>
          <w:p>
            <w:pPr>
              <w:spacing w:after="0"/>
              <w:rPr>
                <w:sz w:val="1"/>
                <w:szCs w:val="1"/>
                <w:color w:val="auto"/>
              </w:rPr>
            </w:pPr>
          </w:p>
        </w:tc>
      </w:tr>
      <w:tr>
        <w:trPr>
          <w:trHeight w:val="235"/>
        </w:trPr>
        <w:tc>
          <w:tcPr>
            <w:tcW w:w="81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5,136,620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4,695,615</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4540"/>
              <w:spacing w:after="0"/>
              <w:rPr>
                <w:sz w:val="20"/>
                <w:szCs w:val="20"/>
                <w:color w:val="auto"/>
              </w:rPr>
            </w:pPr>
            <w:r>
              <w:rPr>
                <w:rFonts w:ascii="Times New Roman" w:cs="Times New Roman" w:eastAsia="Times New Roman" w:hAnsi="Times New Roman"/>
                <w:sz w:val="17"/>
                <w:szCs w:val="17"/>
                <w:b w:val="1"/>
                <w:bCs w:val="1"/>
                <w:color w:val="auto"/>
              </w:rPr>
              <w:t>LIABILITIES AND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1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Short-term borrowings and current portion of long-term debt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136,526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144,479</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Trade accounts payable</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611,965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571,054</w:t>
            </w:r>
          </w:p>
        </w:tc>
        <w:tc>
          <w:tcPr>
            <w:tcW w:w="0" w:type="dxa"/>
            <w:vAlign w:val="bottom"/>
          </w:tcPr>
          <w:p>
            <w:pPr>
              <w:spacing w:after="0"/>
              <w:rPr>
                <w:sz w:val="1"/>
                <w:szCs w:val="1"/>
                <w:color w:val="auto"/>
              </w:rPr>
            </w:pPr>
          </w:p>
        </w:tc>
      </w:tr>
      <w:tr>
        <w:trPr>
          <w:trHeight w:val="216"/>
        </w:trPr>
        <w:tc>
          <w:tcPr>
            <w:tcW w:w="8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Capital expenditures payable</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328,171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77,044</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Accrued expenses</w:t>
            </w: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298,708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267,226</w:t>
            </w:r>
          </w:p>
        </w:tc>
        <w:tc>
          <w:tcPr>
            <w:tcW w:w="0" w:type="dxa"/>
            <w:vAlign w:val="bottom"/>
          </w:tcPr>
          <w:p>
            <w:pPr>
              <w:spacing w:after="0"/>
              <w:rPr>
                <w:sz w:val="1"/>
                <w:szCs w:val="1"/>
                <w:color w:val="auto"/>
              </w:rPr>
            </w:pPr>
          </w:p>
        </w:tc>
      </w:tr>
      <w:tr>
        <w:trPr>
          <w:trHeight w:val="210"/>
        </w:trPr>
        <w:tc>
          <w:tcPr>
            <w:tcW w:w="810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1,375,370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1,059,803</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1,182,573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1,305,755</w:t>
            </w:r>
          </w:p>
        </w:tc>
        <w:tc>
          <w:tcPr>
            <w:tcW w:w="0" w:type="dxa"/>
            <w:vAlign w:val="bottom"/>
          </w:tcPr>
          <w:p>
            <w:pPr>
              <w:spacing w:after="0"/>
              <w:rPr>
                <w:sz w:val="1"/>
                <w:szCs w:val="1"/>
                <w:color w:val="auto"/>
              </w:rPr>
            </w:pPr>
          </w:p>
        </w:tc>
      </w:tr>
      <w:tr>
        <w:trPr>
          <w:trHeight w:val="216"/>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Pension and severance obligations</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175,941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176,971</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operating lease liabilities</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88,257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91,107</w:t>
            </w:r>
          </w:p>
        </w:tc>
        <w:tc>
          <w:tcPr>
            <w:tcW w:w="0" w:type="dxa"/>
            <w:vAlign w:val="bottom"/>
          </w:tcPr>
          <w:p>
            <w:pPr>
              <w:spacing w:after="0"/>
              <w:rPr>
                <w:sz w:val="1"/>
                <w:szCs w:val="1"/>
                <w:color w:val="auto"/>
              </w:rPr>
            </w:pPr>
          </w:p>
        </w:tc>
      </w:tr>
      <w:tr>
        <w:trPr>
          <w:trHeight w:val="216"/>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91,742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71,740</w:t>
            </w:r>
          </w:p>
        </w:tc>
        <w:tc>
          <w:tcPr>
            <w:tcW w:w="0" w:type="dxa"/>
            <w:vAlign w:val="bottom"/>
          </w:tcPr>
          <w:p>
            <w:pPr>
              <w:spacing w:after="0"/>
              <w:rPr>
                <w:sz w:val="1"/>
                <w:szCs w:val="1"/>
                <w:color w:val="auto"/>
              </w:rPr>
            </w:pPr>
          </w:p>
        </w:tc>
      </w:tr>
      <w:tr>
        <w:trPr>
          <w:trHeight w:val="210"/>
        </w:trPr>
        <w:tc>
          <w:tcPr>
            <w:tcW w:w="81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Total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2,913,883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2,705,376</w:t>
            </w:r>
          </w:p>
        </w:tc>
        <w:tc>
          <w:tcPr>
            <w:tcW w:w="0" w:type="dxa"/>
            <w:vAlign w:val="bottom"/>
          </w:tcPr>
          <w:p>
            <w:pPr>
              <w:spacing w:after="0"/>
              <w:rPr>
                <w:sz w:val="1"/>
                <w:szCs w:val="1"/>
                <w:color w:val="auto"/>
              </w:rPr>
            </w:pPr>
          </w:p>
        </w:tc>
      </w:tr>
      <w:tr>
        <w:trPr>
          <w:trHeight w:val="196"/>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14)</w:t>
            </w: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Preferred stock, $0.001 par value, 10,000 shares authorized, designated Series A, none issued</w:t>
            </w:r>
          </w:p>
        </w:tc>
        <w:tc>
          <w:tcPr>
            <w:tcW w:w="14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2"/>
        </w:trPr>
        <w:tc>
          <w:tcPr>
            <w:tcW w:w="8100" w:type="dxa"/>
            <w:vAlign w:val="bottom"/>
            <w:shd w:val="clear" w:color="auto" w:fill="CCEEFF"/>
          </w:tcPr>
          <w:p>
            <w:pPr>
              <w:ind w:left="480"/>
              <w:spacing w:after="0" w:line="162" w:lineRule="exact"/>
              <w:rPr>
                <w:sz w:val="20"/>
                <w:szCs w:val="20"/>
                <w:color w:val="auto"/>
              </w:rPr>
            </w:pPr>
            <w:r>
              <w:rPr>
                <w:rFonts w:ascii="Times New Roman" w:cs="Times New Roman" w:eastAsia="Times New Roman" w:hAnsi="Times New Roman"/>
                <w:sz w:val="17"/>
                <w:szCs w:val="17"/>
                <w:color w:val="auto"/>
              </w:rPr>
              <w:t>Common stock, $0.001 par value, 500,000 shares authorized; 288,043 and 286,877 shares issued; and 241,955</w:t>
            </w:r>
          </w:p>
        </w:tc>
        <w:tc>
          <w:tcPr>
            <w:tcW w:w="14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and 240,805 shares outstanding in 2020 and 2019, respectively</w:t>
            </w:r>
          </w:p>
        </w:tc>
        <w:tc>
          <w:tcPr>
            <w:tcW w:w="14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1,943,140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1,927,739</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Retained earnings</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445,541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234,077</w:t>
            </w:r>
          </w:p>
        </w:tc>
        <w:tc>
          <w:tcPr>
            <w:tcW w:w="0" w:type="dxa"/>
            <w:vAlign w:val="bottom"/>
          </w:tcPr>
          <w:p>
            <w:pPr>
              <w:spacing w:after="0"/>
              <w:rPr>
                <w:sz w:val="1"/>
                <w:szCs w:val="1"/>
                <w:color w:val="auto"/>
              </w:rPr>
            </w:pPr>
          </w:p>
        </w:tc>
      </w:tr>
      <w:tr>
        <w:trPr>
          <w:trHeight w:val="216"/>
        </w:trPr>
        <w:tc>
          <w:tcPr>
            <w:tcW w:w="81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Accumulated other comprehensive income (loss)</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19,115</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Treasury stock, at cost, 46,088 and 46,072 shares, in 2020 and 2019, respectively</w:t>
            </w: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(217,660)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(217,479)</w:t>
            </w:r>
          </w:p>
        </w:tc>
        <w:tc>
          <w:tcPr>
            <w:tcW w:w="0" w:type="dxa"/>
            <w:vAlign w:val="bottom"/>
          </w:tcPr>
          <w:p>
            <w:pPr>
              <w:spacing w:after="0"/>
              <w:rPr>
                <w:sz w:val="1"/>
                <w:szCs w:val="1"/>
                <w:color w:val="auto"/>
              </w:rPr>
            </w:pPr>
          </w:p>
        </w:tc>
      </w:tr>
      <w:tr>
        <w:trPr>
          <w:trHeight w:val="209"/>
        </w:trPr>
        <w:tc>
          <w:tcPr>
            <w:tcW w:w="810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Total Amkor stockholders’ equity</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2,194,618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1,963,739</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Non-controlling interests in subsidiaries</w:t>
            </w: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28,119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26,500</w:t>
            </w:r>
          </w:p>
        </w:tc>
        <w:tc>
          <w:tcPr>
            <w:tcW w:w="0" w:type="dxa"/>
            <w:vAlign w:val="bottom"/>
          </w:tcPr>
          <w:p>
            <w:pPr>
              <w:spacing w:after="0"/>
              <w:rPr>
                <w:sz w:val="1"/>
                <w:szCs w:val="1"/>
                <w:color w:val="auto"/>
              </w:rPr>
            </w:pPr>
          </w:p>
        </w:tc>
      </w:tr>
      <w:tr>
        <w:trPr>
          <w:trHeight w:val="210"/>
        </w:trPr>
        <w:tc>
          <w:tcPr>
            <w:tcW w:w="81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7"/>
                <w:szCs w:val="17"/>
                <w:color w:val="auto"/>
              </w:rPr>
              <w:t>Total equity</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2,222,737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1,990,239</w:t>
            </w:r>
          </w:p>
        </w:tc>
        <w:tc>
          <w:tcPr>
            <w:tcW w:w="0" w:type="dxa"/>
            <w:vAlign w:val="bottom"/>
          </w:tcPr>
          <w:p>
            <w:pPr>
              <w:spacing w:after="0"/>
              <w:rPr>
                <w:sz w:val="1"/>
                <w:szCs w:val="1"/>
                <w:color w:val="auto"/>
              </w:rPr>
            </w:pPr>
          </w:p>
        </w:tc>
      </w:tr>
      <w:tr>
        <w:trPr>
          <w:trHeight w:val="234"/>
        </w:trPr>
        <w:tc>
          <w:tcPr>
            <w:tcW w:w="81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Total liabilities and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5,136,620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4,695,615</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600" w:type="dxa"/>
            <w:vAlign w:val="bottom"/>
          </w:tcPr>
          <w:p>
            <w:pPr>
              <w:spacing w:after="0"/>
              <w:rPr>
                <w:sz w:val="10"/>
                <w:szCs w:val="10"/>
                <w:color w:val="auto"/>
              </w:rPr>
            </w:pPr>
          </w:p>
        </w:tc>
        <w:tc>
          <w:tcPr>
            <w:tcW w:w="1640" w:type="dxa"/>
            <w:vAlign w:val="bottom"/>
            <w:gridSpan w:val="5"/>
          </w:tcPr>
          <w:p>
            <w:pPr>
              <w:ind w:left="420"/>
              <w:spacing w:after="0" w:line="122"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680" w:type="dxa"/>
            <w:vAlign w:val="bottom"/>
            <w:gridSpan w:val="5"/>
          </w:tcPr>
          <w:p>
            <w:pPr>
              <w:ind w:left="440"/>
              <w:spacing w:after="0" w:line="122" w:lineRule="exact"/>
              <w:rPr>
                <w:sz w:val="20"/>
                <w:szCs w:val="20"/>
                <w:color w:val="auto"/>
              </w:rPr>
            </w:pPr>
            <w:r>
              <w:rPr>
                <w:rFonts w:ascii="Times New Roman" w:cs="Times New Roman" w:eastAsia="Times New Roman" w:hAnsi="Times New Roman"/>
                <w:sz w:val="11"/>
                <w:szCs w:val="11"/>
                <w:b w:val="1"/>
                <w:bCs w:val="1"/>
                <w:color w:val="auto"/>
              </w:rPr>
              <w:t>Treasury Stock</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4"/>
              </w:rPr>
              <w:t>Total Amkor</w:t>
            </w:r>
          </w:p>
        </w:tc>
        <w:tc>
          <w:tcPr>
            <w:tcW w:w="120" w:type="dxa"/>
            <w:vAlign w:val="bottom"/>
          </w:tcPr>
          <w:p>
            <w:pPr>
              <w:spacing w:after="0"/>
              <w:rPr>
                <w:sz w:val="10"/>
                <w:szCs w:val="10"/>
                <w:color w:val="auto"/>
              </w:rPr>
            </w:pPr>
          </w:p>
        </w:tc>
        <w:tc>
          <w:tcPr>
            <w:tcW w:w="100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Noncontrolling</w:t>
            </w: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60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gridSpan w:val="3"/>
            <w:vMerge w:val="restart"/>
          </w:tcPr>
          <w:p>
            <w:pPr>
              <w:jc w:val="center"/>
              <w:ind w:right="80"/>
              <w:spacing w:after="0" w:line="95" w:lineRule="exact"/>
              <w:rPr>
                <w:sz w:val="20"/>
                <w:szCs w:val="20"/>
                <w:color w:val="auto"/>
              </w:rPr>
            </w:pPr>
            <w:r>
              <w:rPr>
                <w:rFonts w:ascii="Times New Roman" w:cs="Times New Roman" w:eastAsia="Times New Roman" w:hAnsi="Times New Roman"/>
                <w:sz w:val="10"/>
                <w:szCs w:val="10"/>
                <w:b w:val="1"/>
                <w:bCs w:val="1"/>
                <w:color w:val="auto"/>
              </w:rPr>
              <w:t>Additional Paid-</w:t>
            </w: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2"/>
            <w:vMerge w:val="restart"/>
          </w:tcPr>
          <w:p>
            <w:pPr>
              <w:jc w:val="center"/>
              <w:ind w:right="240"/>
              <w:spacing w:after="0" w:line="95"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gridSpan w:val="2"/>
            <w:vMerge w:val="restart"/>
          </w:tcPr>
          <w:p>
            <w:pPr>
              <w:jc w:val="center"/>
              <w:ind w:right="240"/>
              <w:spacing w:after="0" w:line="95"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120" w:type="dxa"/>
            <w:vAlign w:val="bottom"/>
          </w:tcPr>
          <w:p>
            <w:pPr>
              <w:spacing w:after="0"/>
              <w:rPr>
                <w:sz w:val="4"/>
                <w:szCs w:val="4"/>
                <w:color w:val="auto"/>
              </w:rPr>
            </w:pPr>
          </w:p>
        </w:tc>
        <w:tc>
          <w:tcPr>
            <w:tcW w:w="1000" w:type="dxa"/>
            <w:vAlign w:val="bottom"/>
            <w:gridSpan w:val="2"/>
            <w:vMerge w:val="restart"/>
          </w:tcPr>
          <w:p>
            <w:pPr>
              <w:jc w:val="center"/>
              <w:ind w:right="220"/>
              <w:spacing w:after="0" w:line="95" w:lineRule="exact"/>
              <w:rPr>
                <w:sz w:val="20"/>
                <w:szCs w:val="20"/>
                <w:color w:val="auto"/>
              </w:rPr>
            </w:pPr>
            <w:r>
              <w:rPr>
                <w:rFonts w:ascii="Times New Roman" w:cs="Times New Roman" w:eastAsia="Times New Roman" w:hAnsi="Times New Roman"/>
                <w:sz w:val="10"/>
                <w:szCs w:val="10"/>
                <w:b w:val="1"/>
                <w:bCs w:val="1"/>
                <w:color w:val="auto"/>
              </w:rPr>
              <w:t>Interest in</w:t>
            </w:r>
          </w:p>
        </w:tc>
        <w:tc>
          <w:tcPr>
            <w:tcW w:w="200" w:type="dxa"/>
            <w:vAlign w:val="bottom"/>
          </w:tcPr>
          <w:p>
            <w:pPr>
              <w:spacing w:after="0"/>
              <w:rPr>
                <w:sz w:val="4"/>
                <w:szCs w:val="4"/>
                <w:color w:val="auto"/>
              </w:rPr>
            </w:pPr>
          </w:p>
        </w:tc>
        <w:tc>
          <w:tcPr>
            <w:tcW w:w="700" w:type="dxa"/>
            <w:vAlign w:val="bottom"/>
            <w:vMerge w:val="restart"/>
          </w:tcPr>
          <w:p>
            <w:pPr>
              <w:jc w:val="right"/>
              <w:ind w:right="258"/>
              <w:spacing w:after="0" w:line="95" w:lineRule="exact"/>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21"/>
        </w:trPr>
        <w:tc>
          <w:tcPr>
            <w:tcW w:w="1600" w:type="dxa"/>
            <w:vAlign w:val="bottom"/>
          </w:tcPr>
          <w:p>
            <w:pPr>
              <w:spacing w:after="0" w:line="20" w:lineRule="exact"/>
              <w:rPr>
                <w:sz w:val="1"/>
                <w:szCs w:val="1"/>
                <w:color w:val="auto"/>
              </w:rPr>
            </w:pPr>
          </w:p>
        </w:tc>
        <w:tc>
          <w:tcPr>
            <w:tcW w:w="8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line="20" w:lineRule="exact"/>
              <w:rPr>
                <w:sz w:val="1"/>
                <w:szCs w:val="1"/>
                <w:color w:val="auto"/>
              </w:rPr>
            </w:pPr>
          </w:p>
        </w:tc>
        <w:tc>
          <w:tcPr>
            <w:tcW w:w="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Par Value</w:t>
            </w:r>
          </w:p>
        </w:tc>
        <w:tc>
          <w:tcPr>
            <w:tcW w:w="1000" w:type="dxa"/>
            <w:vAlign w:val="bottom"/>
            <w:gridSpan w:val="3"/>
            <w:vMerge w:val="continue"/>
          </w:tcPr>
          <w:p>
            <w:pPr>
              <w:spacing w:after="0" w:line="20" w:lineRule="exact"/>
              <w:rPr>
                <w:sz w:val="1"/>
                <w:szCs w:val="1"/>
                <w:color w:val="auto"/>
              </w:rPr>
            </w:pPr>
          </w:p>
        </w:tc>
        <w:tc>
          <w:tcPr>
            <w:tcW w:w="106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Retained Earnings</w:t>
            </w:r>
          </w:p>
        </w:tc>
        <w:tc>
          <w:tcPr>
            <w:tcW w:w="120" w:type="dxa"/>
            <w:vAlign w:val="bottom"/>
          </w:tcPr>
          <w:p>
            <w:pPr>
              <w:spacing w:after="0" w:line="20" w:lineRule="exact"/>
              <w:rPr>
                <w:sz w:val="1"/>
                <w:szCs w:val="1"/>
                <w:color w:val="auto"/>
              </w:rPr>
            </w:pPr>
          </w:p>
        </w:tc>
        <w:tc>
          <w:tcPr>
            <w:tcW w:w="1040" w:type="dxa"/>
            <w:vAlign w:val="bottom"/>
            <w:gridSpan w:val="2"/>
            <w:vMerge w:val="continue"/>
          </w:tcPr>
          <w:p>
            <w:pPr>
              <w:spacing w:after="0" w:line="20" w:lineRule="exact"/>
              <w:rPr>
                <w:sz w:val="1"/>
                <w:szCs w:val="1"/>
                <w:color w:val="auto"/>
              </w:rPr>
            </w:pPr>
          </w:p>
        </w:tc>
        <w:tc>
          <w:tcPr>
            <w:tcW w:w="7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80" w:type="dxa"/>
            <w:vAlign w:val="bottom"/>
          </w:tcPr>
          <w:p>
            <w:pPr>
              <w:spacing w:after="0" w:line="20" w:lineRule="exact"/>
              <w:rPr>
                <w:sz w:val="1"/>
                <w:szCs w:val="1"/>
                <w:color w:val="auto"/>
              </w:rPr>
            </w:pPr>
          </w:p>
        </w:tc>
        <w:tc>
          <w:tcPr>
            <w:tcW w:w="7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Cost</w:t>
            </w:r>
          </w:p>
        </w:tc>
        <w:tc>
          <w:tcPr>
            <w:tcW w:w="12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600" w:type="dxa"/>
            <w:vAlign w:val="bottom"/>
          </w:tcPr>
          <w:p>
            <w:pPr>
              <w:spacing w:after="0"/>
              <w:rPr>
                <w:sz w:val="13"/>
                <w:szCs w:val="13"/>
                <w:color w:val="auto"/>
              </w:rPr>
            </w:pPr>
          </w:p>
        </w:tc>
        <w:tc>
          <w:tcPr>
            <w:tcW w:w="800" w:type="dxa"/>
            <w:vAlign w:val="bottom"/>
            <w:tcBorders>
              <w:bottom w:val="single" w:sz="8" w:color="auto"/>
            </w:tcBorders>
            <w:gridSpan w:val="2"/>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5"/>
              </w:rPr>
              <w:t>In Capital</w:t>
            </w:r>
          </w:p>
        </w:tc>
        <w:tc>
          <w:tcPr>
            <w:tcW w:w="1060" w:type="dxa"/>
            <w:vAlign w:val="bottom"/>
            <w:tcBorders>
              <w:bottom w:val="single" w:sz="8" w:color="auto"/>
            </w:tcBorders>
            <w:gridSpan w:val="3"/>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Income (Loss)</w:t>
            </w:r>
          </w:p>
        </w:tc>
        <w:tc>
          <w:tcPr>
            <w:tcW w:w="760" w:type="dxa"/>
            <w:vAlign w:val="bottom"/>
            <w:tcBorders>
              <w:bottom w:val="single" w:sz="8" w:color="auto"/>
            </w:tcBorders>
            <w:gridSpan w:val="2"/>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Subsidiaries</w:t>
            </w: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52"/>
        </w:trPr>
        <w:tc>
          <w:tcPr>
            <w:tcW w:w="1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gridSpan w:val="4"/>
          </w:tcPr>
          <w:p>
            <w:pPr>
              <w:ind w:left="66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Balance at June 30, 2020</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287,319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1,934,047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353,390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19,272</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(46,083)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(217,592)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2,089,404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27,524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2,116,928</w:t>
            </w:r>
          </w:p>
        </w:tc>
        <w:tc>
          <w:tcPr>
            <w:tcW w:w="0" w:type="dxa"/>
            <w:vAlign w:val="bottom"/>
          </w:tcPr>
          <w:p>
            <w:pPr>
              <w:spacing w:after="0"/>
              <w:rPr>
                <w:sz w:val="1"/>
                <w:szCs w:val="1"/>
                <w:color w:val="auto"/>
              </w:rPr>
            </w:pPr>
          </w:p>
        </w:tc>
      </w:tr>
      <w:tr>
        <w:trPr>
          <w:trHeight w:val="170"/>
        </w:trPr>
        <w:tc>
          <w:tcPr>
            <w:tcW w:w="1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92,151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92,151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92,897</w:t>
            </w:r>
          </w:p>
        </w:tc>
        <w:tc>
          <w:tcPr>
            <w:tcW w:w="0" w:type="dxa"/>
            <w:vAlign w:val="bottom"/>
          </w:tcPr>
          <w:p>
            <w:pPr>
              <w:spacing w:after="0"/>
              <w:rPr>
                <w:sz w:val="1"/>
                <w:szCs w:val="1"/>
                <w:color w:val="auto"/>
              </w:rPr>
            </w:pPr>
          </w:p>
        </w:tc>
      </w:tr>
      <w:tr>
        <w:trPr>
          <w:trHeight w:val="127"/>
        </w:trPr>
        <w:tc>
          <w:tcPr>
            <w:tcW w:w="1600" w:type="dxa"/>
            <w:vAlign w:val="bottom"/>
            <w:shd w:val="clear" w:color="auto" w:fill="CCEEFF"/>
          </w:tcPr>
          <w:p>
            <w:pPr>
              <w:ind w:left="180"/>
              <w:spacing w:after="0" w:line="128" w:lineRule="exact"/>
              <w:rPr>
                <w:sz w:val="20"/>
                <w:szCs w:val="20"/>
                <w:color w:val="auto"/>
              </w:rPr>
            </w:pPr>
            <w:r>
              <w:rPr>
                <w:rFonts w:ascii="Times New Roman" w:cs="Times New Roman" w:eastAsia="Times New Roman" w:hAnsi="Times New Roman"/>
                <w:sz w:val="13"/>
                <w:szCs w:val="13"/>
                <w:color w:val="auto"/>
              </w:rPr>
              <w:t>Other comprehensive</w:t>
            </w: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4,037</w:t>
            </w:r>
          </w:p>
        </w:tc>
        <w:tc>
          <w:tcPr>
            <w:tcW w:w="10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4,037</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4,037</w:t>
            </w:r>
          </w:p>
        </w:tc>
        <w:tc>
          <w:tcPr>
            <w:tcW w:w="0" w:type="dxa"/>
            <w:vAlign w:val="bottom"/>
          </w:tcPr>
          <w:p>
            <w:pPr>
              <w:spacing w:after="0"/>
              <w:rPr>
                <w:sz w:val="1"/>
                <w:szCs w:val="1"/>
                <w:color w:val="auto"/>
              </w:rPr>
            </w:pPr>
          </w:p>
        </w:tc>
      </w:tr>
      <w:tr>
        <w:trPr>
          <w:trHeight w:val="175"/>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income (loss)</w:t>
            </w:r>
          </w:p>
        </w:tc>
        <w:tc>
          <w:tcPr>
            <w:tcW w:w="8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600" w:type="dxa"/>
            <w:vAlign w:val="bottom"/>
          </w:tcPr>
          <w:p>
            <w:pPr>
              <w:ind w:left="180"/>
              <w:spacing w:after="0" w:line="122" w:lineRule="exact"/>
              <w:rPr>
                <w:sz w:val="20"/>
                <w:szCs w:val="20"/>
                <w:color w:val="auto"/>
              </w:rPr>
            </w:pPr>
            <w:r>
              <w:rPr>
                <w:rFonts w:ascii="Times New Roman" w:cs="Times New Roman" w:eastAsia="Times New Roman" w:hAnsi="Times New Roman"/>
                <w:sz w:val="13"/>
                <w:szCs w:val="13"/>
                <w:color w:val="auto"/>
              </w:rPr>
              <w:t>Treasury stock acquired</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00" w:type="dxa"/>
            <w:vAlign w:val="bottom"/>
          </w:tcPr>
          <w:p>
            <w:pPr>
              <w:ind w:left="180"/>
              <w:spacing w:after="0" w:line="122" w:lineRule="exact"/>
              <w:rPr>
                <w:sz w:val="20"/>
                <w:szCs w:val="20"/>
                <w:color w:val="auto"/>
              </w:rPr>
            </w:pPr>
            <w:r>
              <w:rPr>
                <w:rFonts w:ascii="Times New Roman" w:cs="Times New Roman" w:eastAsia="Times New Roman" w:hAnsi="Times New Roman"/>
                <w:sz w:val="13"/>
                <w:szCs w:val="13"/>
                <w:color w:val="auto"/>
                <w:w w:val="98"/>
              </w:rPr>
              <w:t>through surrender of shares</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0" w:type="dxa"/>
            <w:vAlign w:val="bottom"/>
          </w:tcPr>
          <w:p>
            <w:pPr>
              <w:spacing w:after="0"/>
              <w:rPr>
                <w:sz w:val="1"/>
                <w:szCs w:val="1"/>
                <w:color w:val="auto"/>
              </w:rPr>
            </w:pPr>
          </w:p>
        </w:tc>
      </w:tr>
      <w:tr>
        <w:trPr>
          <w:trHeight w:val="170"/>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for tax withholding</w:t>
            </w: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600" w:type="dxa"/>
            <w:vAlign w:val="bottom"/>
            <w:shd w:val="clear" w:color="auto" w:fill="CCEEFF"/>
          </w:tcPr>
          <w:p>
            <w:pPr>
              <w:ind w:left="180"/>
              <w:spacing w:after="0" w:line="128" w:lineRule="exact"/>
              <w:rPr>
                <w:sz w:val="20"/>
                <w:szCs w:val="20"/>
                <w:color w:val="auto"/>
              </w:rPr>
            </w:pPr>
            <w:r>
              <w:rPr>
                <w:rFonts w:ascii="Times New Roman" w:cs="Times New Roman" w:eastAsia="Times New Roman" w:hAnsi="Times New Roman"/>
                <w:sz w:val="13"/>
                <w:szCs w:val="13"/>
                <w:color w:val="auto"/>
              </w:rPr>
              <w:t>Issuance of stock through</w:t>
            </w: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00" w:type="dxa"/>
            <w:vAlign w:val="bottom"/>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share-based compensation</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724</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6,953</w:t>
            </w: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6,954</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6,954</w:t>
            </w:r>
          </w:p>
        </w:tc>
        <w:tc>
          <w:tcPr>
            <w:tcW w:w="0" w:type="dxa"/>
            <w:vAlign w:val="bottom"/>
          </w:tcPr>
          <w:p>
            <w:pPr>
              <w:spacing w:after="0"/>
              <w:rPr>
                <w:sz w:val="1"/>
                <w:szCs w:val="1"/>
                <w:color w:val="auto"/>
              </w:rPr>
            </w:pPr>
          </w:p>
        </w:tc>
      </w:tr>
      <w:tr>
        <w:trPr>
          <w:trHeight w:val="176"/>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plans</w:t>
            </w:r>
          </w:p>
        </w:tc>
        <w:tc>
          <w:tcPr>
            <w:tcW w:w="6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Share-based compensation</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2,140</w:t>
            </w:r>
          </w:p>
        </w:tc>
        <w:tc>
          <w:tcPr>
            <w:tcW w:w="0" w:type="dxa"/>
            <w:vAlign w:val="bottom"/>
          </w:tcPr>
          <w:p>
            <w:pPr>
              <w:spacing w:after="0"/>
              <w:rPr>
                <w:sz w:val="1"/>
                <w:szCs w:val="1"/>
                <w:color w:val="auto"/>
              </w:rPr>
            </w:pPr>
          </w:p>
        </w:tc>
      </w:tr>
      <w:tr>
        <w:trPr>
          <w:trHeight w:val="127"/>
        </w:trPr>
        <w:tc>
          <w:tcPr>
            <w:tcW w:w="1600" w:type="dxa"/>
            <w:vAlign w:val="bottom"/>
            <w:shd w:val="clear" w:color="auto" w:fill="CCEEFF"/>
          </w:tcPr>
          <w:p>
            <w:pPr>
              <w:ind w:left="180"/>
              <w:spacing w:after="0" w:line="128" w:lineRule="exact"/>
              <w:rPr>
                <w:sz w:val="20"/>
                <w:szCs w:val="20"/>
                <w:color w:val="auto"/>
              </w:rPr>
            </w:pPr>
            <w:r>
              <w:rPr>
                <w:rFonts w:ascii="Times New Roman" w:cs="Times New Roman" w:eastAsia="Times New Roman" w:hAnsi="Times New Roman"/>
                <w:sz w:val="13"/>
                <w:szCs w:val="13"/>
                <w:color w:val="auto"/>
              </w:rPr>
              <w:t>Subsidiary dividends to</w:t>
            </w: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0" w:type="dxa"/>
            <w:vAlign w:val="bottom"/>
          </w:tcPr>
          <w:p>
            <w:pPr>
              <w:spacing w:after="0"/>
              <w:rPr>
                <w:sz w:val="1"/>
                <w:szCs w:val="1"/>
                <w:color w:val="auto"/>
              </w:rPr>
            </w:pPr>
          </w:p>
        </w:tc>
      </w:tr>
      <w:tr>
        <w:trPr>
          <w:trHeight w:val="176"/>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noncontrolling interests</w:t>
            </w:r>
          </w:p>
        </w:tc>
        <w:tc>
          <w:tcPr>
            <w:tcW w:w="8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600" w:type="dxa"/>
            <w:vAlign w:val="bottom"/>
          </w:tcPr>
          <w:p>
            <w:pPr>
              <w:ind w:left="180"/>
              <w:spacing w:after="0" w:line="102" w:lineRule="exact"/>
              <w:rPr>
                <w:sz w:val="20"/>
                <w:szCs w:val="20"/>
                <w:color w:val="auto"/>
              </w:rPr>
            </w:pPr>
            <w:r>
              <w:rPr>
                <w:rFonts w:ascii="Times New Roman" w:cs="Times New Roman" w:eastAsia="Times New Roman" w:hAnsi="Times New Roman"/>
                <w:sz w:val="10"/>
                <w:szCs w:val="10"/>
                <w:b w:val="1"/>
                <w:bCs w:val="1"/>
                <w:color w:val="auto"/>
              </w:rPr>
              <w:t>Balance at September 30,</w:t>
            </w:r>
          </w:p>
        </w:tc>
        <w:tc>
          <w:tcPr>
            <w:tcW w:w="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288,043</w:t>
            </w:r>
          </w:p>
        </w:tc>
        <w:tc>
          <w:tcPr>
            <w:tcW w:w="120" w:type="dxa"/>
            <w:vAlign w:val="bottom"/>
          </w:tcPr>
          <w:p>
            <w:pPr>
              <w:spacing w:after="0"/>
              <w:rPr>
                <w:sz w:val="8"/>
                <w:szCs w:val="8"/>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288</w:t>
            </w:r>
          </w:p>
        </w:tc>
        <w:tc>
          <w:tcPr>
            <w:tcW w:w="100" w:type="dxa"/>
            <w:vAlign w:val="bottom"/>
          </w:tcPr>
          <w:p>
            <w:pPr>
              <w:spacing w:after="0"/>
              <w:rPr>
                <w:sz w:val="8"/>
                <w:szCs w:val="8"/>
                <w:color w:val="auto"/>
              </w:rPr>
            </w:pPr>
          </w:p>
        </w:tc>
        <w:tc>
          <w:tcPr>
            <w:tcW w:w="160" w:type="dxa"/>
            <w:vAlign w:val="bottom"/>
            <w:tcBorders>
              <w:top w:val="single" w:sz="8" w:color="auto"/>
            </w:tcBorders>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1,943,140</w:t>
            </w:r>
          </w:p>
        </w:tc>
        <w:tc>
          <w:tcPr>
            <w:tcW w:w="100" w:type="dxa"/>
            <w:vAlign w:val="bottom"/>
          </w:tcPr>
          <w:p>
            <w:pPr>
              <w:spacing w:after="0"/>
              <w:rPr>
                <w:sz w:val="8"/>
                <w:szCs w:val="8"/>
                <w:color w:val="auto"/>
              </w:rPr>
            </w:pPr>
          </w:p>
        </w:tc>
        <w:tc>
          <w:tcPr>
            <w:tcW w:w="280" w:type="dxa"/>
            <w:vAlign w:val="bottom"/>
            <w:tcBorders>
              <w:top w:val="single" w:sz="8" w:color="auto"/>
            </w:tcBorders>
            <w:vMerge w:val="restart"/>
          </w:tcPr>
          <w:p>
            <w:pPr>
              <w:jc w:val="right"/>
              <w:ind w:right="139"/>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445,541</w:t>
            </w:r>
          </w:p>
        </w:tc>
        <w:tc>
          <w:tcPr>
            <w:tcW w:w="100" w:type="dxa"/>
            <w:vAlign w:val="bottom"/>
          </w:tcPr>
          <w:p>
            <w:pPr>
              <w:spacing w:after="0"/>
              <w:rPr>
                <w:sz w:val="8"/>
                <w:szCs w:val="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23,309</w:t>
            </w:r>
          </w:p>
        </w:tc>
        <w:tc>
          <w:tcPr>
            <w:tcW w:w="100" w:type="dxa"/>
            <w:vAlign w:val="bottom"/>
          </w:tcPr>
          <w:p>
            <w:pPr>
              <w:spacing w:after="0"/>
              <w:rPr>
                <w:sz w:val="8"/>
                <w:szCs w:val="8"/>
                <w:color w:val="auto"/>
              </w:rPr>
            </w:pP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(46,088)</w:t>
            </w:r>
          </w:p>
        </w:tc>
        <w:tc>
          <w:tcPr>
            <w:tcW w:w="120" w:type="dxa"/>
            <w:vAlign w:val="bottom"/>
          </w:tcPr>
          <w:p>
            <w:pPr>
              <w:spacing w:after="0"/>
              <w:rPr>
                <w:sz w:val="8"/>
                <w:szCs w:val="8"/>
                <w:color w:val="auto"/>
              </w:rPr>
            </w:pPr>
          </w:p>
        </w:tc>
        <w:tc>
          <w:tcPr>
            <w:tcW w:w="180" w:type="dxa"/>
            <w:vAlign w:val="bottom"/>
            <w:tcBorders>
              <w:top w:val="single" w:sz="8" w:color="auto"/>
            </w:tcBorders>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(217,660)</w:t>
            </w:r>
          </w:p>
        </w:tc>
        <w:tc>
          <w:tcPr>
            <w:tcW w:w="100" w:type="dxa"/>
            <w:vAlign w:val="bottom"/>
          </w:tcPr>
          <w:p>
            <w:pPr>
              <w:spacing w:after="0"/>
              <w:rPr>
                <w:sz w:val="8"/>
                <w:szCs w:val="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2,194,618</w:t>
            </w:r>
          </w:p>
        </w:tc>
        <w:tc>
          <w:tcPr>
            <w:tcW w:w="120" w:type="dxa"/>
            <w:vAlign w:val="bottom"/>
          </w:tcPr>
          <w:p>
            <w:pPr>
              <w:spacing w:after="0"/>
              <w:rPr>
                <w:sz w:val="8"/>
                <w:szCs w:val="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28,119</w:t>
            </w:r>
          </w:p>
        </w:tc>
        <w:tc>
          <w:tcPr>
            <w:tcW w:w="100" w:type="dxa"/>
            <w:vAlign w:val="bottom"/>
          </w:tcPr>
          <w:p>
            <w:pPr>
              <w:spacing w:after="0"/>
              <w:rPr>
                <w:sz w:val="8"/>
                <w:szCs w:val="8"/>
                <w:color w:val="auto"/>
              </w:rPr>
            </w:pPr>
          </w:p>
        </w:tc>
        <w:tc>
          <w:tcPr>
            <w:tcW w:w="200" w:type="dxa"/>
            <w:vAlign w:val="bottom"/>
            <w:tcBorders>
              <w:top w:val="single" w:sz="8" w:color="auto"/>
            </w:tcBorders>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2,222,737</w:t>
            </w:r>
          </w:p>
        </w:tc>
        <w:tc>
          <w:tcPr>
            <w:tcW w:w="0" w:type="dxa"/>
            <w:vAlign w:val="bottom"/>
          </w:tcPr>
          <w:p>
            <w:pPr>
              <w:spacing w:after="0"/>
              <w:rPr>
                <w:sz w:val="1"/>
                <w:szCs w:val="1"/>
                <w:color w:val="auto"/>
              </w:rPr>
            </w:pPr>
          </w:p>
        </w:tc>
      </w:tr>
      <w:tr>
        <w:trPr>
          <w:trHeight w:val="154"/>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2020</w:t>
            </w:r>
          </w:p>
        </w:tc>
        <w:tc>
          <w:tcPr>
            <w:tcW w:w="68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vMerge w:val="continue"/>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vMerge w:val="continue"/>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bottom w:val="single" w:sz="8" w:color="auto"/>
            </w:tcBorders>
            <w:vMerge w:val="continue"/>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vMerge w:val="continue"/>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vMerge w:val="continue"/>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600" w:type="dxa"/>
            <w:vAlign w:val="bottom"/>
          </w:tcPr>
          <w:p>
            <w:pPr>
              <w:ind w:left="180"/>
              <w:spacing w:after="0" w:line="122" w:lineRule="exact"/>
              <w:rPr>
                <w:sz w:val="20"/>
                <w:szCs w:val="20"/>
                <w:color w:val="auto"/>
              </w:rPr>
            </w:pPr>
            <w:r>
              <w:rPr>
                <w:rFonts w:ascii="Times New Roman" w:cs="Times New Roman" w:eastAsia="Times New Roman" w:hAnsi="Times New Roman"/>
                <w:sz w:val="13"/>
                <w:szCs w:val="13"/>
                <w:b w:val="1"/>
                <w:bCs w:val="1"/>
                <w:color w:val="auto"/>
              </w:rPr>
              <w:t>Balance at December 31,</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286,877</w:t>
            </w:r>
          </w:p>
        </w:tc>
        <w:tc>
          <w:tcPr>
            <w:tcW w:w="12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287</w:t>
            </w:r>
          </w:p>
        </w:tc>
        <w:tc>
          <w:tcPr>
            <w:tcW w:w="100" w:type="dxa"/>
            <w:vAlign w:val="bottom"/>
          </w:tcPr>
          <w:p>
            <w:pPr>
              <w:spacing w:after="0"/>
              <w:rPr>
                <w:sz w:val="10"/>
                <w:szCs w:val="10"/>
                <w:color w:val="auto"/>
              </w:rPr>
            </w:pPr>
          </w:p>
        </w:tc>
        <w:tc>
          <w:tcPr>
            <w:tcW w:w="160" w:type="dxa"/>
            <w:vAlign w:val="bottom"/>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1,927,739</w:t>
            </w:r>
          </w:p>
        </w:tc>
        <w:tc>
          <w:tcPr>
            <w:tcW w:w="100" w:type="dxa"/>
            <w:vAlign w:val="bottom"/>
          </w:tcPr>
          <w:p>
            <w:pPr>
              <w:spacing w:after="0"/>
              <w:rPr>
                <w:sz w:val="10"/>
                <w:szCs w:val="10"/>
                <w:color w:val="auto"/>
              </w:rPr>
            </w:pPr>
          </w:p>
        </w:tc>
        <w:tc>
          <w:tcPr>
            <w:tcW w:w="280" w:type="dxa"/>
            <w:vAlign w:val="bottom"/>
            <w:vMerge w:val="restart"/>
          </w:tcPr>
          <w:p>
            <w:pPr>
              <w:jc w:val="right"/>
              <w:ind w:right="139"/>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234,077</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19,115</w:t>
            </w: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(46,072)</w:t>
            </w:r>
          </w:p>
        </w:tc>
        <w:tc>
          <w:tcPr>
            <w:tcW w:w="120" w:type="dxa"/>
            <w:vAlign w:val="bottom"/>
          </w:tcPr>
          <w:p>
            <w:pPr>
              <w:spacing w:after="0"/>
              <w:rPr>
                <w:sz w:val="10"/>
                <w:szCs w:val="10"/>
                <w:color w:val="auto"/>
              </w:rPr>
            </w:pPr>
          </w:p>
        </w:tc>
        <w:tc>
          <w:tcPr>
            <w:tcW w:w="18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(217,479)</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1,963,739</w:t>
            </w:r>
          </w:p>
        </w:tc>
        <w:tc>
          <w:tcPr>
            <w:tcW w:w="12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26,500</w:t>
            </w:r>
          </w:p>
        </w:tc>
        <w:tc>
          <w:tcPr>
            <w:tcW w:w="100" w:type="dxa"/>
            <w:vAlign w:val="bottom"/>
          </w:tcPr>
          <w:p>
            <w:pPr>
              <w:spacing w:after="0"/>
              <w:rPr>
                <w:sz w:val="10"/>
                <w:szCs w:val="10"/>
                <w:color w:val="auto"/>
              </w:rPr>
            </w:pPr>
          </w:p>
        </w:tc>
        <w:tc>
          <w:tcPr>
            <w:tcW w:w="20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1,990,239</w:t>
            </w:r>
          </w:p>
        </w:tc>
        <w:tc>
          <w:tcPr>
            <w:tcW w:w="0" w:type="dxa"/>
            <w:vAlign w:val="bottom"/>
          </w:tcPr>
          <w:p>
            <w:pPr>
              <w:spacing w:after="0"/>
              <w:rPr>
                <w:sz w:val="1"/>
                <w:szCs w:val="1"/>
                <w:color w:val="auto"/>
              </w:rPr>
            </w:pPr>
          </w:p>
        </w:tc>
      </w:tr>
      <w:tr>
        <w:trPr>
          <w:trHeight w:val="171"/>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2019</w:t>
            </w: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211,464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211,464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213,534</w:t>
            </w:r>
          </w:p>
        </w:tc>
        <w:tc>
          <w:tcPr>
            <w:tcW w:w="0" w:type="dxa"/>
            <w:vAlign w:val="bottom"/>
          </w:tcPr>
          <w:p>
            <w:pPr>
              <w:spacing w:after="0"/>
              <w:rPr>
                <w:sz w:val="1"/>
                <w:szCs w:val="1"/>
                <w:color w:val="auto"/>
              </w:rPr>
            </w:pPr>
          </w:p>
        </w:tc>
      </w:tr>
      <w:tr>
        <w:trPr>
          <w:trHeight w:val="122"/>
        </w:trPr>
        <w:tc>
          <w:tcPr>
            <w:tcW w:w="1600" w:type="dxa"/>
            <w:vAlign w:val="bottom"/>
          </w:tcPr>
          <w:p>
            <w:pPr>
              <w:ind w:left="180"/>
              <w:spacing w:after="0" w:line="122" w:lineRule="exact"/>
              <w:rPr>
                <w:sz w:val="20"/>
                <w:szCs w:val="20"/>
                <w:color w:val="auto"/>
              </w:rPr>
            </w:pPr>
            <w:r>
              <w:rPr>
                <w:rFonts w:ascii="Times New Roman" w:cs="Times New Roman" w:eastAsia="Times New Roman" w:hAnsi="Times New Roman"/>
                <w:sz w:val="13"/>
                <w:szCs w:val="13"/>
                <w:color w:val="auto"/>
              </w:rPr>
              <w:t>Other comprehensive</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4,194</w:t>
            </w:r>
          </w:p>
        </w:tc>
        <w:tc>
          <w:tcPr>
            <w:tcW w:w="100" w:type="dxa"/>
            <w:vAlign w:val="bottom"/>
          </w:tcPr>
          <w:p>
            <w:pPr>
              <w:spacing w:after="0"/>
              <w:rPr>
                <w:sz w:val="10"/>
                <w:szCs w:val="10"/>
                <w:color w:val="auto"/>
              </w:rPr>
            </w:pPr>
          </w:p>
        </w:tc>
        <w:tc>
          <w:tcPr>
            <w:tcW w:w="7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0"/>
                <w:szCs w:val="10"/>
                <w:color w:val="auto"/>
              </w:rPr>
            </w:pPr>
          </w:p>
        </w:tc>
        <w:tc>
          <w:tcPr>
            <w:tcW w:w="740" w:type="dxa"/>
            <w:vAlign w:val="bottom"/>
            <w:gridSpan w:val="2"/>
            <w:vMerge w:val="restart"/>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4,194</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4,194</w:t>
            </w:r>
          </w:p>
        </w:tc>
        <w:tc>
          <w:tcPr>
            <w:tcW w:w="0" w:type="dxa"/>
            <w:vAlign w:val="bottom"/>
          </w:tcPr>
          <w:p>
            <w:pPr>
              <w:spacing w:after="0"/>
              <w:rPr>
                <w:sz w:val="1"/>
                <w:szCs w:val="1"/>
                <w:color w:val="auto"/>
              </w:rPr>
            </w:pPr>
          </w:p>
        </w:tc>
      </w:tr>
      <w:tr>
        <w:trPr>
          <w:trHeight w:val="170"/>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income (loss)</w:t>
            </w: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600" w:type="dxa"/>
            <w:vAlign w:val="bottom"/>
            <w:shd w:val="clear" w:color="auto" w:fill="CCEEFF"/>
          </w:tcPr>
          <w:p>
            <w:pPr>
              <w:ind w:left="180"/>
              <w:spacing w:after="0" w:line="128" w:lineRule="exact"/>
              <w:rPr>
                <w:sz w:val="20"/>
                <w:szCs w:val="20"/>
                <w:color w:val="auto"/>
              </w:rPr>
            </w:pPr>
            <w:r>
              <w:rPr>
                <w:rFonts w:ascii="Times New Roman" w:cs="Times New Roman" w:eastAsia="Times New Roman" w:hAnsi="Times New Roman"/>
                <w:sz w:val="13"/>
                <w:szCs w:val="13"/>
                <w:color w:val="auto"/>
              </w:rPr>
              <w:t>Treasury stock acquired</w:t>
            </w: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00" w:type="dxa"/>
            <w:vAlign w:val="bottom"/>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w w:val="98"/>
              </w:rPr>
              <w:t>through surrender of shares</w:t>
            </w: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w:t>
            </w:r>
          </w:p>
        </w:tc>
        <w:tc>
          <w:tcPr>
            <w:tcW w:w="0" w:type="dxa"/>
            <w:vAlign w:val="bottom"/>
          </w:tcPr>
          <w:p>
            <w:pPr>
              <w:spacing w:after="0"/>
              <w:rPr>
                <w:sz w:val="1"/>
                <w:szCs w:val="1"/>
                <w:color w:val="auto"/>
              </w:rPr>
            </w:pPr>
          </w:p>
        </w:tc>
      </w:tr>
      <w:tr>
        <w:trPr>
          <w:trHeight w:val="176"/>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for tax withholding</w:t>
            </w:r>
          </w:p>
        </w:tc>
        <w:tc>
          <w:tcPr>
            <w:tcW w:w="8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600" w:type="dxa"/>
            <w:vAlign w:val="bottom"/>
          </w:tcPr>
          <w:p>
            <w:pPr>
              <w:ind w:left="180"/>
              <w:spacing w:after="0" w:line="122" w:lineRule="exact"/>
              <w:rPr>
                <w:sz w:val="20"/>
                <w:szCs w:val="20"/>
                <w:color w:val="auto"/>
              </w:rPr>
            </w:pPr>
            <w:r>
              <w:rPr>
                <w:rFonts w:ascii="Times New Roman" w:cs="Times New Roman" w:eastAsia="Times New Roman" w:hAnsi="Times New Roman"/>
                <w:sz w:val="13"/>
                <w:szCs w:val="13"/>
                <w:color w:val="auto"/>
              </w:rPr>
              <w:t>Issuance of stock through</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00" w:type="dxa"/>
            <w:vAlign w:val="bottom"/>
          </w:tcPr>
          <w:p>
            <w:pPr>
              <w:ind w:left="180"/>
              <w:spacing w:after="0" w:line="122" w:lineRule="exact"/>
              <w:rPr>
                <w:sz w:val="20"/>
                <w:szCs w:val="20"/>
                <w:color w:val="auto"/>
              </w:rPr>
            </w:pPr>
            <w:r>
              <w:rPr>
                <w:rFonts w:ascii="Times New Roman" w:cs="Times New Roman" w:eastAsia="Times New Roman" w:hAnsi="Times New Roman"/>
                <w:sz w:val="13"/>
                <w:szCs w:val="13"/>
                <w:color w:val="auto"/>
              </w:rPr>
              <w:t>share-based compensation</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1,166</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9,694</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0"/>
                <w:szCs w:val="10"/>
                <w:color w:val="auto"/>
              </w:rPr>
            </w:pPr>
          </w:p>
        </w:tc>
        <w:tc>
          <w:tcPr>
            <w:tcW w:w="740" w:type="dxa"/>
            <w:vAlign w:val="bottom"/>
            <w:gridSpan w:val="2"/>
            <w:vMerge w:val="restart"/>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9,695</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9,695</w:t>
            </w:r>
          </w:p>
        </w:tc>
        <w:tc>
          <w:tcPr>
            <w:tcW w:w="0" w:type="dxa"/>
            <w:vAlign w:val="bottom"/>
          </w:tcPr>
          <w:p>
            <w:pPr>
              <w:spacing w:after="0"/>
              <w:rPr>
                <w:sz w:val="1"/>
                <w:szCs w:val="1"/>
                <w:color w:val="auto"/>
              </w:rPr>
            </w:pPr>
          </w:p>
        </w:tc>
      </w:tr>
      <w:tr>
        <w:trPr>
          <w:trHeight w:val="170"/>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plans</w:t>
            </w: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Share-based compensation</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5,707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5,707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5,707</w:t>
            </w:r>
          </w:p>
        </w:tc>
        <w:tc>
          <w:tcPr>
            <w:tcW w:w="0" w:type="dxa"/>
            <w:vAlign w:val="bottom"/>
          </w:tcPr>
          <w:p>
            <w:pPr>
              <w:spacing w:after="0"/>
              <w:rPr>
                <w:sz w:val="1"/>
                <w:szCs w:val="1"/>
                <w:color w:val="auto"/>
              </w:rPr>
            </w:pPr>
          </w:p>
        </w:tc>
      </w:tr>
      <w:tr>
        <w:trPr>
          <w:trHeight w:val="121"/>
        </w:trPr>
        <w:tc>
          <w:tcPr>
            <w:tcW w:w="1600" w:type="dxa"/>
            <w:vAlign w:val="bottom"/>
          </w:tcPr>
          <w:p>
            <w:pPr>
              <w:ind w:left="180"/>
              <w:spacing w:after="0" w:line="122" w:lineRule="exact"/>
              <w:rPr>
                <w:sz w:val="20"/>
                <w:szCs w:val="20"/>
                <w:color w:val="auto"/>
              </w:rPr>
            </w:pPr>
            <w:r>
              <w:rPr>
                <w:rFonts w:ascii="Times New Roman" w:cs="Times New Roman" w:eastAsia="Times New Roman" w:hAnsi="Times New Roman"/>
                <w:sz w:val="13"/>
                <w:szCs w:val="13"/>
                <w:color w:val="auto"/>
              </w:rPr>
              <w:t>Subsidiary dividends to</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0"/>
                <w:szCs w:val="10"/>
                <w:color w:val="auto"/>
              </w:rPr>
            </w:pPr>
          </w:p>
        </w:tc>
        <w:tc>
          <w:tcPr>
            <w:tcW w:w="740" w:type="dxa"/>
            <w:vAlign w:val="bottom"/>
            <w:gridSpan w:val="2"/>
            <w:vMerge w:val="restart"/>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(451)</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(451)</w:t>
            </w:r>
          </w:p>
        </w:tc>
        <w:tc>
          <w:tcPr>
            <w:tcW w:w="0" w:type="dxa"/>
            <w:vAlign w:val="bottom"/>
          </w:tcPr>
          <w:p>
            <w:pPr>
              <w:spacing w:after="0"/>
              <w:rPr>
                <w:sz w:val="1"/>
                <w:szCs w:val="1"/>
                <w:color w:val="auto"/>
              </w:rPr>
            </w:pPr>
          </w:p>
        </w:tc>
      </w:tr>
      <w:tr>
        <w:trPr>
          <w:trHeight w:val="170"/>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noncontrolling interests</w:t>
            </w: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1600" w:type="dxa"/>
            <w:vAlign w:val="bottom"/>
            <w:tcBorders>
              <w:top w:val="single" w:sz="8" w:color="CCEEFF"/>
            </w:tcBorders>
            <w:shd w:val="clear" w:color="auto" w:fill="CCEEFF"/>
          </w:tcPr>
          <w:p>
            <w:pPr>
              <w:ind w:left="180"/>
              <w:spacing w:after="0" w:line="107" w:lineRule="exact"/>
              <w:rPr>
                <w:sz w:val="20"/>
                <w:szCs w:val="20"/>
                <w:color w:val="auto"/>
              </w:rPr>
            </w:pPr>
            <w:r>
              <w:rPr>
                <w:rFonts w:ascii="Times New Roman" w:cs="Times New Roman" w:eastAsia="Times New Roman" w:hAnsi="Times New Roman"/>
                <w:sz w:val="12"/>
                <w:szCs w:val="12"/>
                <w:b w:val="1"/>
                <w:bCs w:val="1"/>
                <w:color w:val="auto"/>
              </w:rPr>
              <w:t>Balance at September 30,</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288,043</w:t>
            </w: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w:t>
            </w:r>
          </w:p>
        </w:tc>
        <w:tc>
          <w:tcPr>
            <w:tcW w:w="1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1,943,140</w:t>
            </w:r>
          </w:p>
        </w:tc>
        <w:tc>
          <w:tcPr>
            <w:tcW w:w="10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tcBorders>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445,541</w:t>
            </w: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23,309</w:t>
            </w:r>
          </w:p>
        </w:tc>
        <w:tc>
          <w:tcPr>
            <w:tcW w:w="10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(46,088)</w:t>
            </w:r>
          </w:p>
        </w:tc>
        <w:tc>
          <w:tcPr>
            <w:tcW w:w="12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(217,660)</w:t>
            </w: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2,194,618</w:t>
            </w:r>
          </w:p>
        </w:tc>
        <w:tc>
          <w:tcPr>
            <w:tcW w:w="1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28,119</w:t>
            </w:r>
          </w:p>
        </w:tc>
        <w:tc>
          <w:tcPr>
            <w:tcW w:w="10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2,222,737</w:t>
            </w:r>
          </w:p>
        </w:tc>
        <w:tc>
          <w:tcPr>
            <w:tcW w:w="0" w:type="dxa"/>
            <w:vAlign w:val="bottom"/>
          </w:tcPr>
          <w:p>
            <w:pPr>
              <w:spacing w:after="0"/>
              <w:rPr>
                <w:sz w:val="1"/>
                <w:szCs w:val="1"/>
                <w:color w:val="auto"/>
              </w:rPr>
            </w:pPr>
          </w:p>
        </w:tc>
      </w:tr>
      <w:tr>
        <w:trPr>
          <w:trHeight w:val="169"/>
        </w:trPr>
        <w:tc>
          <w:tcPr>
            <w:tcW w:w="1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2020</w:t>
            </w: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vMerge w:val="continue"/>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vMerge w:val="continue"/>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9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vMerge w:val="continue"/>
            <w:shd w:val="clear" w:color="auto" w:fill="CCEEFF"/>
          </w:tcPr>
          <w:p>
            <w:pPr>
              <w:spacing w:after="0"/>
              <w:rPr>
                <w:sz w:val="14"/>
                <w:szCs w:val="14"/>
                <w:color w:val="auto"/>
              </w:rPr>
            </w:pP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9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vMerge w:val="continue"/>
            <w:shd w:val="clear" w:color="auto" w:fill="CCEEFF"/>
          </w:tcPr>
          <w:p>
            <w:pPr>
              <w:spacing w:after="0"/>
              <w:rPr>
                <w:sz w:val="14"/>
                <w:szCs w:val="14"/>
                <w:color w:val="auto"/>
              </w:rPr>
            </w:pPr>
          </w:p>
        </w:tc>
        <w:tc>
          <w:tcPr>
            <w:tcW w:w="70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00" w:type="dxa"/>
            <w:vAlign w:val="bottom"/>
          </w:tcPr>
          <w:p>
            <w:pPr>
              <w:spacing w:after="0"/>
              <w:rPr>
                <w:sz w:val="10"/>
                <w:szCs w:val="10"/>
                <w:color w:val="auto"/>
              </w:rPr>
            </w:pPr>
          </w:p>
        </w:tc>
        <w:tc>
          <w:tcPr>
            <w:tcW w:w="1720" w:type="dxa"/>
            <w:vAlign w:val="bottom"/>
            <w:gridSpan w:val="5"/>
          </w:tcPr>
          <w:p>
            <w:pPr>
              <w:ind w:left="440"/>
              <w:spacing w:after="0" w:line="122"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680" w:type="dxa"/>
            <w:vAlign w:val="bottom"/>
            <w:gridSpan w:val="5"/>
          </w:tcPr>
          <w:p>
            <w:pPr>
              <w:ind w:left="440"/>
              <w:spacing w:after="0" w:line="122" w:lineRule="exact"/>
              <w:rPr>
                <w:sz w:val="20"/>
                <w:szCs w:val="20"/>
                <w:color w:val="auto"/>
              </w:rPr>
            </w:pPr>
            <w:r>
              <w:rPr>
                <w:rFonts w:ascii="Times New Roman" w:cs="Times New Roman" w:eastAsia="Times New Roman" w:hAnsi="Times New Roman"/>
                <w:sz w:val="11"/>
                <w:szCs w:val="11"/>
                <w:b w:val="1"/>
                <w:bCs w:val="1"/>
                <w:color w:val="auto"/>
              </w:rPr>
              <w:t>Treasury Stock</w:t>
            </w:r>
          </w:p>
        </w:tc>
        <w:tc>
          <w:tcPr>
            <w:tcW w:w="120" w:type="dxa"/>
            <w:vAlign w:val="bottom"/>
          </w:tcPr>
          <w:p>
            <w:pPr>
              <w:spacing w:after="0"/>
              <w:rPr>
                <w:sz w:val="10"/>
                <w:szCs w:val="10"/>
                <w:color w:val="auto"/>
              </w:rPr>
            </w:pPr>
          </w:p>
        </w:tc>
        <w:tc>
          <w:tcPr>
            <w:tcW w:w="9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Total Amkor</w:t>
            </w:r>
          </w:p>
        </w:tc>
        <w:tc>
          <w:tcPr>
            <w:tcW w:w="120" w:type="dxa"/>
            <w:vAlign w:val="bottom"/>
          </w:tcPr>
          <w:p>
            <w:pPr>
              <w:spacing w:after="0"/>
              <w:rPr>
                <w:sz w:val="10"/>
                <w:szCs w:val="10"/>
                <w:color w:val="auto"/>
              </w:rPr>
            </w:pPr>
          </w:p>
        </w:tc>
        <w:tc>
          <w:tcPr>
            <w:tcW w:w="100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Noncontrolling</w:t>
            </w: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60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3"/>
            <w:vMerge w:val="restart"/>
          </w:tcPr>
          <w:p>
            <w:pPr>
              <w:jc w:val="center"/>
              <w:ind w:right="120"/>
              <w:spacing w:after="0" w:line="95" w:lineRule="exact"/>
              <w:rPr>
                <w:sz w:val="20"/>
                <w:szCs w:val="20"/>
                <w:color w:val="auto"/>
              </w:rPr>
            </w:pPr>
            <w:r>
              <w:rPr>
                <w:rFonts w:ascii="Times New Roman" w:cs="Times New Roman" w:eastAsia="Times New Roman" w:hAnsi="Times New Roman"/>
                <w:sz w:val="10"/>
                <w:szCs w:val="10"/>
                <w:b w:val="1"/>
                <w:bCs w:val="1"/>
                <w:color w:val="auto"/>
              </w:rPr>
              <w:t>Additional Paid-</w:t>
            </w:r>
          </w:p>
        </w:tc>
        <w:tc>
          <w:tcPr>
            <w:tcW w:w="160" w:type="dxa"/>
            <w:vAlign w:val="bottom"/>
          </w:tcPr>
          <w:p>
            <w:pPr>
              <w:spacing w:after="0"/>
              <w:rPr>
                <w:sz w:val="4"/>
                <w:szCs w:val="4"/>
                <w:color w:val="auto"/>
              </w:rPr>
            </w:pPr>
          </w:p>
        </w:tc>
        <w:tc>
          <w:tcPr>
            <w:tcW w:w="840" w:type="dxa"/>
            <w:vAlign w:val="bottom"/>
            <w:gridSpan w:val="2"/>
            <w:vMerge w:val="restart"/>
          </w:tcPr>
          <w:p>
            <w:pPr>
              <w:ind w:left="80"/>
              <w:spacing w:after="0" w:line="95" w:lineRule="exact"/>
              <w:rPr>
                <w:sz w:val="20"/>
                <w:szCs w:val="20"/>
                <w:color w:val="auto"/>
              </w:rPr>
            </w:pPr>
            <w:r>
              <w:rPr>
                <w:rFonts w:ascii="Times New Roman" w:cs="Times New Roman" w:eastAsia="Times New Roman" w:hAnsi="Times New Roman"/>
                <w:sz w:val="10"/>
                <w:szCs w:val="10"/>
                <w:b w:val="1"/>
                <w:bCs w:val="1"/>
                <w:color w:val="auto"/>
              </w:rPr>
              <w:t>Retained</w:t>
            </w:r>
          </w:p>
        </w:tc>
        <w:tc>
          <w:tcPr>
            <w:tcW w:w="120" w:type="dxa"/>
            <w:vAlign w:val="bottom"/>
          </w:tcPr>
          <w:p>
            <w:pPr>
              <w:spacing w:after="0"/>
              <w:rPr>
                <w:sz w:val="4"/>
                <w:szCs w:val="4"/>
                <w:color w:val="auto"/>
              </w:rPr>
            </w:pPr>
          </w:p>
        </w:tc>
        <w:tc>
          <w:tcPr>
            <w:tcW w:w="1040" w:type="dxa"/>
            <w:vAlign w:val="bottom"/>
            <w:gridSpan w:val="2"/>
            <w:vMerge w:val="restart"/>
          </w:tcPr>
          <w:p>
            <w:pPr>
              <w:jc w:val="center"/>
              <w:ind w:right="240"/>
              <w:spacing w:after="0" w:line="95"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vMerge w:val="restart"/>
          </w:tcPr>
          <w:p>
            <w:pPr>
              <w:jc w:val="center"/>
              <w:ind w:right="220"/>
              <w:spacing w:after="0" w:line="95"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120" w:type="dxa"/>
            <w:vAlign w:val="bottom"/>
          </w:tcPr>
          <w:p>
            <w:pPr>
              <w:spacing w:after="0"/>
              <w:rPr>
                <w:sz w:val="4"/>
                <w:szCs w:val="4"/>
                <w:color w:val="auto"/>
              </w:rPr>
            </w:pPr>
          </w:p>
        </w:tc>
        <w:tc>
          <w:tcPr>
            <w:tcW w:w="1000" w:type="dxa"/>
            <w:vAlign w:val="bottom"/>
            <w:gridSpan w:val="2"/>
            <w:vMerge w:val="restart"/>
          </w:tcPr>
          <w:p>
            <w:pPr>
              <w:jc w:val="center"/>
              <w:ind w:right="200"/>
              <w:spacing w:after="0" w:line="95" w:lineRule="exact"/>
              <w:rPr>
                <w:sz w:val="20"/>
                <w:szCs w:val="20"/>
                <w:color w:val="auto"/>
              </w:rPr>
            </w:pPr>
            <w:r>
              <w:rPr>
                <w:rFonts w:ascii="Times New Roman" w:cs="Times New Roman" w:eastAsia="Times New Roman" w:hAnsi="Times New Roman"/>
                <w:sz w:val="10"/>
                <w:szCs w:val="10"/>
                <w:b w:val="1"/>
                <w:bCs w:val="1"/>
                <w:color w:val="auto"/>
              </w:rPr>
              <w:t>Interest in</w:t>
            </w:r>
          </w:p>
        </w:tc>
        <w:tc>
          <w:tcPr>
            <w:tcW w:w="200" w:type="dxa"/>
            <w:vAlign w:val="bottom"/>
          </w:tcPr>
          <w:p>
            <w:pPr>
              <w:spacing w:after="0"/>
              <w:rPr>
                <w:sz w:val="4"/>
                <w:szCs w:val="4"/>
                <w:color w:val="auto"/>
              </w:rPr>
            </w:pPr>
          </w:p>
        </w:tc>
        <w:tc>
          <w:tcPr>
            <w:tcW w:w="700" w:type="dxa"/>
            <w:vAlign w:val="bottom"/>
            <w:vMerge w:val="restart"/>
          </w:tcPr>
          <w:p>
            <w:pPr>
              <w:jc w:val="right"/>
              <w:ind w:right="258"/>
              <w:spacing w:after="0" w:line="95" w:lineRule="exact"/>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8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line="20" w:lineRule="exact"/>
              <w:rPr>
                <w:sz w:val="1"/>
                <w:szCs w:val="1"/>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Par Value</w:t>
            </w:r>
          </w:p>
        </w:tc>
        <w:tc>
          <w:tcPr>
            <w:tcW w:w="1000" w:type="dxa"/>
            <w:vAlign w:val="bottom"/>
            <w:gridSpan w:val="3"/>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vMerge w:val="continue"/>
          </w:tcPr>
          <w:p>
            <w:pPr>
              <w:spacing w:after="0" w:line="20" w:lineRule="exact"/>
              <w:rPr>
                <w:sz w:val="1"/>
                <w:szCs w:val="1"/>
                <w:color w:val="auto"/>
              </w:rPr>
            </w:pPr>
          </w:p>
        </w:tc>
        <w:tc>
          <w:tcPr>
            <w:tcW w:w="7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80" w:type="dxa"/>
            <w:vAlign w:val="bottom"/>
          </w:tcPr>
          <w:p>
            <w:pPr>
              <w:spacing w:after="0" w:line="20" w:lineRule="exact"/>
              <w:rPr>
                <w:sz w:val="1"/>
                <w:szCs w:val="1"/>
                <w:color w:val="auto"/>
              </w:rPr>
            </w:pPr>
          </w:p>
        </w:tc>
        <w:tc>
          <w:tcPr>
            <w:tcW w:w="7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Cost</w:t>
            </w:r>
          </w:p>
        </w:tc>
        <w:tc>
          <w:tcPr>
            <w:tcW w:w="12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600" w:type="dxa"/>
            <w:vAlign w:val="bottom"/>
          </w:tcPr>
          <w:p>
            <w:pPr>
              <w:spacing w:after="0"/>
              <w:rPr>
                <w:sz w:val="13"/>
                <w:szCs w:val="13"/>
                <w:color w:val="auto"/>
              </w:rPr>
            </w:pPr>
          </w:p>
        </w:tc>
        <w:tc>
          <w:tcPr>
            <w:tcW w:w="860" w:type="dxa"/>
            <w:vAlign w:val="bottom"/>
            <w:tcBorders>
              <w:bottom w:val="single" w:sz="8" w:color="auto"/>
            </w:tcBorders>
            <w:gridSpan w:val="2"/>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9"/>
              </w:rPr>
              <w:t>In Capital</w:t>
            </w: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6"/>
              </w:rPr>
              <w:t>Income (Loss)</w:t>
            </w:r>
          </w:p>
        </w:tc>
        <w:tc>
          <w:tcPr>
            <w:tcW w:w="760" w:type="dxa"/>
            <w:vAlign w:val="bottom"/>
            <w:tcBorders>
              <w:bottom w:val="single" w:sz="8" w:color="auto"/>
            </w:tcBorders>
            <w:gridSpan w:val="2"/>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Subsidiaries</w:t>
            </w: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52"/>
        </w:trPr>
        <w:tc>
          <w:tcPr>
            <w:tcW w:w="1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gridSpan w:val="4"/>
          </w:tcPr>
          <w:p>
            <w:pPr>
              <w:ind w:left="64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Balance at June 30, 2019</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285,510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1,913,103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80,860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27,317</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(45,978)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(216,254)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1,805,311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25,865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1,831,176</w:t>
            </w:r>
          </w:p>
        </w:tc>
        <w:tc>
          <w:tcPr>
            <w:tcW w:w="0" w:type="dxa"/>
            <w:vAlign w:val="bottom"/>
          </w:tcPr>
          <w:p>
            <w:pPr>
              <w:spacing w:after="0"/>
              <w:rPr>
                <w:sz w:val="1"/>
                <w:szCs w:val="1"/>
                <w:color w:val="auto"/>
              </w:rPr>
            </w:pPr>
          </w:p>
        </w:tc>
      </w:tr>
      <w:tr>
        <w:trPr>
          <w:trHeight w:val="170"/>
        </w:trPr>
        <w:tc>
          <w:tcPr>
            <w:tcW w:w="1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54,070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54,070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54,486</w:t>
            </w:r>
          </w:p>
        </w:tc>
        <w:tc>
          <w:tcPr>
            <w:tcW w:w="0" w:type="dxa"/>
            <w:vAlign w:val="bottom"/>
          </w:tcPr>
          <w:p>
            <w:pPr>
              <w:spacing w:after="0"/>
              <w:rPr>
                <w:sz w:val="1"/>
                <w:szCs w:val="1"/>
                <w:color w:val="auto"/>
              </w:rPr>
            </w:pPr>
          </w:p>
        </w:tc>
      </w:tr>
      <w:tr>
        <w:trPr>
          <w:trHeight w:val="127"/>
        </w:trPr>
        <w:tc>
          <w:tcPr>
            <w:tcW w:w="1600" w:type="dxa"/>
            <w:vAlign w:val="bottom"/>
            <w:shd w:val="clear" w:color="auto" w:fill="CCEEFF"/>
          </w:tcPr>
          <w:p>
            <w:pPr>
              <w:ind w:left="180"/>
              <w:spacing w:after="0" w:line="128" w:lineRule="exact"/>
              <w:rPr>
                <w:sz w:val="20"/>
                <w:szCs w:val="20"/>
                <w:color w:val="auto"/>
              </w:rPr>
            </w:pPr>
            <w:r>
              <w:rPr>
                <w:rFonts w:ascii="Times New Roman" w:cs="Times New Roman" w:eastAsia="Times New Roman" w:hAnsi="Times New Roman"/>
                <w:sz w:val="13"/>
                <w:szCs w:val="13"/>
                <w:color w:val="auto"/>
              </w:rPr>
              <w:t>Other comprehensive</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12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0" w:type="dxa"/>
            <w:vAlign w:val="bottom"/>
          </w:tcPr>
          <w:p>
            <w:pPr>
              <w:spacing w:after="0"/>
              <w:rPr>
                <w:sz w:val="1"/>
                <w:szCs w:val="1"/>
                <w:color w:val="auto"/>
              </w:rPr>
            </w:pPr>
          </w:p>
        </w:tc>
      </w:tr>
      <w:tr>
        <w:trPr>
          <w:trHeight w:val="176"/>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income (loss)</w:t>
            </w:r>
          </w:p>
        </w:tc>
        <w:tc>
          <w:tcPr>
            <w:tcW w:w="8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600" w:type="dxa"/>
            <w:vAlign w:val="bottom"/>
          </w:tcPr>
          <w:p>
            <w:pPr>
              <w:ind w:left="180"/>
              <w:spacing w:after="0" w:line="122" w:lineRule="exact"/>
              <w:rPr>
                <w:sz w:val="20"/>
                <w:szCs w:val="20"/>
                <w:color w:val="auto"/>
              </w:rPr>
            </w:pPr>
            <w:r>
              <w:rPr>
                <w:rFonts w:ascii="Times New Roman" w:cs="Times New Roman" w:eastAsia="Times New Roman" w:hAnsi="Times New Roman"/>
                <w:sz w:val="13"/>
                <w:szCs w:val="13"/>
                <w:color w:val="auto"/>
              </w:rPr>
              <w:t>Treasury stock acquired</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00" w:type="dxa"/>
            <w:vAlign w:val="bottom"/>
          </w:tcPr>
          <w:p>
            <w:pPr>
              <w:ind w:left="180"/>
              <w:spacing w:after="0" w:line="122" w:lineRule="exact"/>
              <w:rPr>
                <w:sz w:val="20"/>
                <w:szCs w:val="20"/>
                <w:color w:val="auto"/>
              </w:rPr>
            </w:pPr>
            <w:r>
              <w:rPr>
                <w:rFonts w:ascii="Times New Roman" w:cs="Times New Roman" w:eastAsia="Times New Roman" w:hAnsi="Times New Roman"/>
                <w:sz w:val="13"/>
                <w:szCs w:val="13"/>
                <w:color w:val="auto"/>
                <w:w w:val="98"/>
              </w:rPr>
              <w:t>through surrender of shares</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0" w:type="dxa"/>
            <w:vAlign w:val="bottom"/>
          </w:tcPr>
          <w:p>
            <w:pPr>
              <w:spacing w:after="0"/>
              <w:rPr>
                <w:sz w:val="1"/>
                <w:szCs w:val="1"/>
                <w:color w:val="auto"/>
              </w:rPr>
            </w:pPr>
          </w:p>
        </w:tc>
      </w:tr>
      <w:tr>
        <w:trPr>
          <w:trHeight w:val="170"/>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for tax withholding</w:t>
            </w: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600" w:type="dxa"/>
            <w:vAlign w:val="bottom"/>
            <w:shd w:val="clear" w:color="auto" w:fill="CCEEFF"/>
          </w:tcPr>
          <w:p>
            <w:pPr>
              <w:ind w:left="180"/>
              <w:spacing w:after="0" w:line="128" w:lineRule="exact"/>
              <w:rPr>
                <w:sz w:val="20"/>
                <w:szCs w:val="20"/>
                <w:color w:val="auto"/>
              </w:rPr>
            </w:pPr>
            <w:r>
              <w:rPr>
                <w:rFonts w:ascii="Times New Roman" w:cs="Times New Roman" w:eastAsia="Times New Roman" w:hAnsi="Times New Roman"/>
                <w:sz w:val="13"/>
                <w:szCs w:val="13"/>
                <w:color w:val="auto"/>
              </w:rPr>
              <w:t>Issuance of stock through</w:t>
            </w: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600" w:type="dxa"/>
            <w:vAlign w:val="bottom"/>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share-based compensation</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434</w:t>
            </w: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435</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435</w:t>
            </w:r>
          </w:p>
        </w:tc>
        <w:tc>
          <w:tcPr>
            <w:tcW w:w="0" w:type="dxa"/>
            <w:vAlign w:val="bottom"/>
          </w:tcPr>
          <w:p>
            <w:pPr>
              <w:spacing w:after="0"/>
              <w:rPr>
                <w:sz w:val="1"/>
                <w:szCs w:val="1"/>
                <w:color w:val="auto"/>
              </w:rPr>
            </w:pPr>
          </w:p>
        </w:tc>
      </w:tr>
      <w:tr>
        <w:trPr>
          <w:trHeight w:val="176"/>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plans</w:t>
            </w: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Share-based compensation</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1,944</w:t>
            </w:r>
          </w:p>
        </w:tc>
        <w:tc>
          <w:tcPr>
            <w:tcW w:w="0" w:type="dxa"/>
            <w:vAlign w:val="bottom"/>
          </w:tcPr>
          <w:p>
            <w:pPr>
              <w:spacing w:after="0"/>
              <w:rPr>
                <w:sz w:val="1"/>
                <w:szCs w:val="1"/>
                <w:color w:val="auto"/>
              </w:rPr>
            </w:pPr>
          </w:p>
        </w:tc>
      </w:tr>
      <w:tr>
        <w:trPr>
          <w:trHeight w:val="127"/>
        </w:trPr>
        <w:tc>
          <w:tcPr>
            <w:tcW w:w="1600" w:type="dxa"/>
            <w:vAlign w:val="bottom"/>
            <w:shd w:val="clear" w:color="auto" w:fill="CCEEFF"/>
          </w:tcPr>
          <w:p>
            <w:pPr>
              <w:ind w:left="180"/>
              <w:spacing w:after="0" w:line="128" w:lineRule="exact"/>
              <w:rPr>
                <w:sz w:val="20"/>
                <w:szCs w:val="20"/>
                <w:color w:val="auto"/>
              </w:rPr>
            </w:pPr>
            <w:r>
              <w:rPr>
                <w:rFonts w:ascii="Times New Roman" w:cs="Times New Roman" w:eastAsia="Times New Roman" w:hAnsi="Times New Roman"/>
                <w:sz w:val="13"/>
                <w:szCs w:val="13"/>
                <w:color w:val="auto"/>
              </w:rPr>
              <w:t>Subsidiary dividends to</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0" w:type="dxa"/>
            <w:vAlign w:val="bottom"/>
          </w:tcPr>
          <w:p>
            <w:pPr>
              <w:spacing w:after="0"/>
              <w:rPr>
                <w:sz w:val="1"/>
                <w:szCs w:val="1"/>
                <w:color w:val="auto"/>
              </w:rPr>
            </w:pPr>
          </w:p>
        </w:tc>
      </w:tr>
      <w:tr>
        <w:trPr>
          <w:trHeight w:val="176"/>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noncontrolling interests</w:t>
            </w:r>
          </w:p>
        </w:tc>
        <w:tc>
          <w:tcPr>
            <w:tcW w:w="8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1600" w:type="dxa"/>
            <w:vAlign w:val="bottom"/>
          </w:tcPr>
          <w:p>
            <w:pPr>
              <w:ind w:left="180"/>
              <w:spacing w:after="0" w:line="102" w:lineRule="exact"/>
              <w:rPr>
                <w:sz w:val="20"/>
                <w:szCs w:val="20"/>
                <w:color w:val="auto"/>
              </w:rPr>
            </w:pPr>
            <w:r>
              <w:rPr>
                <w:rFonts w:ascii="Times New Roman" w:cs="Times New Roman" w:eastAsia="Times New Roman" w:hAnsi="Times New Roman"/>
                <w:sz w:val="10"/>
                <w:szCs w:val="10"/>
                <w:b w:val="1"/>
                <w:bCs w:val="1"/>
                <w:color w:val="auto"/>
              </w:rPr>
              <w:t>Balance at September 30,</w:t>
            </w: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285,607</w:t>
            </w:r>
          </w:p>
        </w:tc>
        <w:tc>
          <w:tcPr>
            <w:tcW w:w="100" w:type="dxa"/>
            <w:vAlign w:val="bottom"/>
          </w:tcPr>
          <w:p>
            <w:pPr>
              <w:spacing w:after="0"/>
              <w:rPr>
                <w:sz w:val="8"/>
                <w:szCs w:val="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286</w:t>
            </w:r>
          </w:p>
        </w:tc>
        <w:tc>
          <w:tcPr>
            <w:tcW w:w="120" w:type="dxa"/>
            <w:vAlign w:val="bottom"/>
          </w:tcPr>
          <w:p>
            <w:pPr>
              <w:spacing w:after="0"/>
              <w:rPr>
                <w:sz w:val="8"/>
                <w:szCs w:val="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1,915,481</w:t>
            </w:r>
          </w:p>
        </w:tc>
        <w:tc>
          <w:tcPr>
            <w:tcW w:w="120" w:type="dxa"/>
            <w:vAlign w:val="bottom"/>
          </w:tcPr>
          <w:p>
            <w:pPr>
              <w:spacing w:after="0"/>
              <w:rPr>
                <w:sz w:val="8"/>
                <w:szCs w:val="8"/>
                <w:color w:val="auto"/>
              </w:rPr>
            </w:pPr>
          </w:p>
        </w:tc>
        <w:tc>
          <w:tcPr>
            <w:tcW w:w="160" w:type="dxa"/>
            <w:vAlign w:val="bottom"/>
            <w:tcBorders>
              <w:top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134,930</w:t>
            </w:r>
          </w:p>
        </w:tc>
        <w:tc>
          <w:tcPr>
            <w:tcW w:w="120" w:type="dxa"/>
            <w:vAlign w:val="bottom"/>
          </w:tcPr>
          <w:p>
            <w:pPr>
              <w:spacing w:after="0"/>
              <w:rPr>
                <w:sz w:val="8"/>
                <w:szCs w:val="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27,243</w:t>
            </w:r>
          </w:p>
        </w:tc>
        <w:tc>
          <w:tcPr>
            <w:tcW w:w="120" w:type="dxa"/>
            <w:vAlign w:val="bottom"/>
          </w:tcPr>
          <w:p>
            <w:pPr>
              <w:spacing w:after="0"/>
              <w:rPr>
                <w:sz w:val="8"/>
                <w:szCs w:val="8"/>
                <w:color w:val="auto"/>
              </w:rPr>
            </w:pP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(45,983)</w:t>
            </w:r>
          </w:p>
        </w:tc>
        <w:tc>
          <w:tcPr>
            <w:tcW w:w="120" w:type="dxa"/>
            <w:vAlign w:val="bottom"/>
          </w:tcPr>
          <w:p>
            <w:pPr>
              <w:spacing w:after="0"/>
              <w:rPr>
                <w:sz w:val="8"/>
                <w:szCs w:val="8"/>
                <w:color w:val="auto"/>
              </w:rPr>
            </w:pPr>
          </w:p>
        </w:tc>
        <w:tc>
          <w:tcPr>
            <w:tcW w:w="180" w:type="dxa"/>
            <w:vAlign w:val="bottom"/>
            <w:tcBorders>
              <w:top w:val="single" w:sz="8" w:color="auto"/>
            </w:tcBorders>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(216,301)</w:t>
            </w:r>
          </w:p>
        </w:tc>
        <w:tc>
          <w:tcPr>
            <w:tcW w:w="100" w:type="dxa"/>
            <w:vAlign w:val="bottom"/>
          </w:tcPr>
          <w:p>
            <w:pPr>
              <w:spacing w:after="0"/>
              <w:rPr>
                <w:sz w:val="8"/>
                <w:szCs w:val="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1,861,639</w:t>
            </w:r>
          </w:p>
        </w:tc>
        <w:tc>
          <w:tcPr>
            <w:tcW w:w="100" w:type="dxa"/>
            <w:vAlign w:val="bottom"/>
          </w:tcPr>
          <w:p>
            <w:pPr>
              <w:spacing w:after="0"/>
              <w:rPr>
                <w:sz w:val="8"/>
                <w:szCs w:val="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25,981</w:t>
            </w:r>
          </w:p>
        </w:tc>
        <w:tc>
          <w:tcPr>
            <w:tcW w:w="100" w:type="dxa"/>
            <w:vAlign w:val="bottom"/>
          </w:tcPr>
          <w:p>
            <w:pPr>
              <w:spacing w:after="0"/>
              <w:rPr>
                <w:sz w:val="8"/>
                <w:szCs w:val="8"/>
                <w:color w:val="auto"/>
              </w:rPr>
            </w:pPr>
          </w:p>
        </w:tc>
        <w:tc>
          <w:tcPr>
            <w:tcW w:w="200" w:type="dxa"/>
            <w:vAlign w:val="bottom"/>
            <w:tcBorders>
              <w:top w:val="single" w:sz="8" w:color="auto"/>
            </w:tcBorders>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1,887,620</w:t>
            </w:r>
          </w:p>
        </w:tc>
        <w:tc>
          <w:tcPr>
            <w:tcW w:w="0" w:type="dxa"/>
            <w:vAlign w:val="bottom"/>
          </w:tcPr>
          <w:p>
            <w:pPr>
              <w:spacing w:after="0"/>
              <w:rPr>
                <w:sz w:val="1"/>
                <w:szCs w:val="1"/>
                <w:color w:val="auto"/>
              </w:rPr>
            </w:pPr>
          </w:p>
        </w:tc>
      </w:tr>
      <w:tr>
        <w:trPr>
          <w:trHeight w:val="153"/>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2019</w:t>
            </w:r>
          </w:p>
        </w:tc>
        <w:tc>
          <w:tcPr>
            <w:tcW w:w="76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vMerge w:val="continue"/>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vMerge w:val="continue"/>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vMerge w:val="continue"/>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600" w:type="dxa"/>
            <w:vAlign w:val="bottom"/>
          </w:tcPr>
          <w:p>
            <w:pPr>
              <w:ind w:left="180"/>
              <w:spacing w:after="0" w:line="122" w:lineRule="exact"/>
              <w:rPr>
                <w:sz w:val="20"/>
                <w:szCs w:val="20"/>
                <w:color w:val="auto"/>
              </w:rPr>
            </w:pPr>
            <w:r>
              <w:rPr>
                <w:rFonts w:ascii="Times New Roman" w:cs="Times New Roman" w:eastAsia="Times New Roman" w:hAnsi="Times New Roman"/>
                <w:sz w:val="13"/>
                <w:szCs w:val="13"/>
                <w:b w:val="1"/>
                <w:bCs w:val="1"/>
                <w:color w:val="auto"/>
              </w:rPr>
              <w:t>Balance at December 31,</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285,352</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285</w:t>
            </w:r>
          </w:p>
        </w:tc>
        <w:tc>
          <w:tcPr>
            <w:tcW w:w="12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1,909,425</w:t>
            </w:r>
          </w:p>
        </w:tc>
        <w:tc>
          <w:tcPr>
            <w:tcW w:w="120" w:type="dxa"/>
            <w:vAlign w:val="bottom"/>
          </w:tcPr>
          <w:p>
            <w:pPr>
              <w:spacing w:after="0"/>
              <w:rPr>
                <w:sz w:val="10"/>
                <w:szCs w:val="10"/>
                <w:color w:val="auto"/>
              </w:rPr>
            </w:pPr>
          </w:p>
        </w:tc>
        <w:tc>
          <w:tcPr>
            <w:tcW w:w="16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113,189</w:t>
            </w:r>
          </w:p>
        </w:tc>
        <w:tc>
          <w:tcPr>
            <w:tcW w:w="12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23,812</w:t>
            </w: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(45,967)</w:t>
            </w:r>
          </w:p>
        </w:tc>
        <w:tc>
          <w:tcPr>
            <w:tcW w:w="120" w:type="dxa"/>
            <w:vAlign w:val="bottom"/>
          </w:tcPr>
          <w:p>
            <w:pPr>
              <w:spacing w:after="0"/>
              <w:rPr>
                <w:sz w:val="10"/>
                <w:szCs w:val="10"/>
                <w:color w:val="auto"/>
              </w:rPr>
            </w:pPr>
          </w:p>
        </w:tc>
        <w:tc>
          <w:tcPr>
            <w:tcW w:w="18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(216,171)</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1,830,540</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25,360</w:t>
            </w:r>
          </w:p>
        </w:tc>
        <w:tc>
          <w:tcPr>
            <w:tcW w:w="100" w:type="dxa"/>
            <w:vAlign w:val="bottom"/>
          </w:tcPr>
          <w:p>
            <w:pPr>
              <w:spacing w:after="0"/>
              <w:rPr>
                <w:sz w:val="10"/>
                <w:szCs w:val="10"/>
                <w:color w:val="auto"/>
              </w:rPr>
            </w:pPr>
          </w:p>
        </w:tc>
        <w:tc>
          <w:tcPr>
            <w:tcW w:w="20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1,855,900</w:t>
            </w:r>
          </w:p>
        </w:tc>
        <w:tc>
          <w:tcPr>
            <w:tcW w:w="0" w:type="dxa"/>
            <w:vAlign w:val="bottom"/>
          </w:tcPr>
          <w:p>
            <w:pPr>
              <w:spacing w:after="0"/>
              <w:rPr>
                <w:sz w:val="1"/>
                <w:szCs w:val="1"/>
                <w:color w:val="auto"/>
              </w:rPr>
            </w:pPr>
          </w:p>
        </w:tc>
      </w:tr>
      <w:tr>
        <w:trPr>
          <w:trHeight w:val="171"/>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2018</w:t>
            </w: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21,741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21,741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22,812</w:t>
            </w:r>
          </w:p>
        </w:tc>
        <w:tc>
          <w:tcPr>
            <w:tcW w:w="0" w:type="dxa"/>
            <w:vAlign w:val="bottom"/>
          </w:tcPr>
          <w:p>
            <w:pPr>
              <w:spacing w:after="0"/>
              <w:rPr>
                <w:sz w:val="1"/>
                <w:szCs w:val="1"/>
                <w:color w:val="auto"/>
              </w:rPr>
            </w:pPr>
          </w:p>
        </w:tc>
      </w:tr>
      <w:tr>
        <w:trPr>
          <w:trHeight w:val="122"/>
        </w:trPr>
        <w:tc>
          <w:tcPr>
            <w:tcW w:w="1600" w:type="dxa"/>
            <w:vAlign w:val="bottom"/>
          </w:tcPr>
          <w:p>
            <w:pPr>
              <w:ind w:left="180"/>
              <w:spacing w:after="0" w:line="122" w:lineRule="exact"/>
              <w:rPr>
                <w:sz w:val="20"/>
                <w:szCs w:val="20"/>
                <w:color w:val="auto"/>
              </w:rPr>
            </w:pPr>
            <w:r>
              <w:rPr>
                <w:rFonts w:ascii="Times New Roman" w:cs="Times New Roman" w:eastAsia="Times New Roman" w:hAnsi="Times New Roman"/>
                <w:sz w:val="13"/>
                <w:szCs w:val="13"/>
                <w:color w:val="auto"/>
              </w:rPr>
              <w:t>Other comprehensive</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3,431</w:t>
            </w:r>
          </w:p>
        </w:tc>
        <w:tc>
          <w:tcPr>
            <w:tcW w:w="120" w:type="dxa"/>
            <w:vAlign w:val="bottom"/>
          </w:tcPr>
          <w:p>
            <w:pPr>
              <w:spacing w:after="0"/>
              <w:rPr>
                <w:sz w:val="10"/>
                <w:szCs w:val="10"/>
                <w:color w:val="auto"/>
              </w:rPr>
            </w:pPr>
          </w:p>
        </w:tc>
        <w:tc>
          <w:tcPr>
            <w:tcW w:w="7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0"/>
                <w:szCs w:val="10"/>
                <w:color w:val="auto"/>
              </w:rPr>
            </w:pPr>
          </w:p>
        </w:tc>
        <w:tc>
          <w:tcPr>
            <w:tcW w:w="7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3,431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3,431</w:t>
            </w:r>
          </w:p>
        </w:tc>
        <w:tc>
          <w:tcPr>
            <w:tcW w:w="0" w:type="dxa"/>
            <w:vAlign w:val="bottom"/>
          </w:tcPr>
          <w:p>
            <w:pPr>
              <w:spacing w:after="0"/>
              <w:rPr>
                <w:sz w:val="1"/>
                <w:szCs w:val="1"/>
                <w:color w:val="auto"/>
              </w:rPr>
            </w:pPr>
          </w:p>
        </w:tc>
      </w:tr>
      <w:tr>
        <w:trPr>
          <w:trHeight w:val="170"/>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income (loss)</w:t>
            </w: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600" w:type="dxa"/>
            <w:vAlign w:val="bottom"/>
            <w:shd w:val="clear" w:color="auto" w:fill="CCEEFF"/>
          </w:tcPr>
          <w:p>
            <w:pPr>
              <w:ind w:left="180"/>
              <w:spacing w:after="0" w:line="128" w:lineRule="exact"/>
              <w:rPr>
                <w:sz w:val="20"/>
                <w:szCs w:val="20"/>
                <w:color w:val="auto"/>
              </w:rPr>
            </w:pPr>
            <w:r>
              <w:rPr>
                <w:rFonts w:ascii="Times New Roman" w:cs="Times New Roman" w:eastAsia="Times New Roman" w:hAnsi="Times New Roman"/>
                <w:sz w:val="13"/>
                <w:szCs w:val="13"/>
                <w:color w:val="auto"/>
              </w:rPr>
              <w:t>Treasury stock acquired</w:t>
            </w: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600" w:type="dxa"/>
            <w:vAlign w:val="bottom"/>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w w:val="98"/>
              </w:rPr>
              <w:t>through surrender of shares</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0" w:type="dxa"/>
            <w:vAlign w:val="bottom"/>
          </w:tcPr>
          <w:p>
            <w:pPr>
              <w:spacing w:after="0"/>
              <w:rPr>
                <w:sz w:val="1"/>
                <w:szCs w:val="1"/>
                <w:color w:val="auto"/>
              </w:rPr>
            </w:pPr>
          </w:p>
        </w:tc>
      </w:tr>
      <w:tr>
        <w:trPr>
          <w:trHeight w:val="176"/>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for tax withholding</w:t>
            </w:r>
          </w:p>
        </w:tc>
        <w:tc>
          <w:tcPr>
            <w:tcW w:w="8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600" w:type="dxa"/>
            <w:vAlign w:val="bottom"/>
          </w:tcPr>
          <w:p>
            <w:pPr>
              <w:ind w:left="180"/>
              <w:spacing w:after="0" w:line="122" w:lineRule="exact"/>
              <w:rPr>
                <w:sz w:val="20"/>
                <w:szCs w:val="20"/>
                <w:color w:val="auto"/>
              </w:rPr>
            </w:pPr>
            <w:r>
              <w:rPr>
                <w:rFonts w:ascii="Times New Roman" w:cs="Times New Roman" w:eastAsia="Times New Roman" w:hAnsi="Times New Roman"/>
                <w:sz w:val="13"/>
                <w:szCs w:val="13"/>
                <w:color w:val="auto"/>
              </w:rPr>
              <w:t>Issuance of stock through</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00" w:type="dxa"/>
            <w:vAlign w:val="bottom"/>
          </w:tcPr>
          <w:p>
            <w:pPr>
              <w:ind w:left="180"/>
              <w:spacing w:after="0" w:line="122" w:lineRule="exact"/>
              <w:rPr>
                <w:sz w:val="20"/>
                <w:szCs w:val="20"/>
                <w:color w:val="auto"/>
              </w:rPr>
            </w:pPr>
            <w:r>
              <w:rPr>
                <w:rFonts w:ascii="Times New Roman" w:cs="Times New Roman" w:eastAsia="Times New Roman" w:hAnsi="Times New Roman"/>
                <w:sz w:val="13"/>
                <w:szCs w:val="13"/>
                <w:color w:val="auto"/>
              </w:rPr>
              <w:t>share-based compensation</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255</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870</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0"/>
                <w:szCs w:val="10"/>
                <w:color w:val="auto"/>
              </w:rPr>
            </w:pPr>
          </w:p>
        </w:tc>
        <w:tc>
          <w:tcPr>
            <w:tcW w:w="7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871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871</w:t>
            </w:r>
          </w:p>
        </w:tc>
        <w:tc>
          <w:tcPr>
            <w:tcW w:w="0" w:type="dxa"/>
            <w:vAlign w:val="bottom"/>
          </w:tcPr>
          <w:p>
            <w:pPr>
              <w:spacing w:after="0"/>
              <w:rPr>
                <w:sz w:val="1"/>
                <w:szCs w:val="1"/>
                <w:color w:val="auto"/>
              </w:rPr>
            </w:pPr>
          </w:p>
        </w:tc>
      </w:tr>
      <w:tr>
        <w:trPr>
          <w:trHeight w:val="170"/>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plans</w:t>
            </w: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Share-based compensation</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5,186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5,186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5,186</w:t>
            </w:r>
          </w:p>
        </w:tc>
        <w:tc>
          <w:tcPr>
            <w:tcW w:w="0" w:type="dxa"/>
            <w:vAlign w:val="bottom"/>
          </w:tcPr>
          <w:p>
            <w:pPr>
              <w:spacing w:after="0"/>
              <w:rPr>
                <w:sz w:val="1"/>
                <w:szCs w:val="1"/>
                <w:color w:val="auto"/>
              </w:rPr>
            </w:pPr>
          </w:p>
        </w:tc>
      </w:tr>
      <w:tr>
        <w:trPr>
          <w:trHeight w:val="122"/>
        </w:trPr>
        <w:tc>
          <w:tcPr>
            <w:tcW w:w="1600" w:type="dxa"/>
            <w:vAlign w:val="bottom"/>
          </w:tcPr>
          <w:p>
            <w:pPr>
              <w:ind w:left="180"/>
              <w:spacing w:after="0" w:line="122" w:lineRule="exact"/>
              <w:rPr>
                <w:sz w:val="20"/>
                <w:szCs w:val="20"/>
                <w:color w:val="auto"/>
              </w:rPr>
            </w:pPr>
            <w:r>
              <w:rPr>
                <w:rFonts w:ascii="Times New Roman" w:cs="Times New Roman" w:eastAsia="Times New Roman" w:hAnsi="Times New Roman"/>
                <w:sz w:val="13"/>
                <w:szCs w:val="13"/>
                <w:color w:val="auto"/>
              </w:rPr>
              <w:t>Subsidiary dividends to</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0"/>
                <w:szCs w:val="10"/>
                <w:color w:val="auto"/>
              </w:rPr>
            </w:pPr>
          </w:p>
        </w:tc>
        <w:tc>
          <w:tcPr>
            <w:tcW w:w="7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(450)</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(450)</w:t>
            </w:r>
          </w:p>
        </w:tc>
        <w:tc>
          <w:tcPr>
            <w:tcW w:w="0" w:type="dxa"/>
            <w:vAlign w:val="bottom"/>
          </w:tcPr>
          <w:p>
            <w:pPr>
              <w:spacing w:after="0"/>
              <w:rPr>
                <w:sz w:val="1"/>
                <w:szCs w:val="1"/>
                <w:color w:val="auto"/>
              </w:rPr>
            </w:pPr>
          </w:p>
        </w:tc>
      </w:tr>
      <w:tr>
        <w:trPr>
          <w:trHeight w:val="170"/>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noncontrolling interests</w:t>
            </w: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1600" w:type="dxa"/>
            <w:vAlign w:val="bottom"/>
            <w:tcBorders>
              <w:top w:val="single" w:sz="8" w:color="CCEEFF"/>
            </w:tcBorders>
            <w:shd w:val="clear" w:color="auto" w:fill="CCEEFF"/>
          </w:tcPr>
          <w:p>
            <w:pPr>
              <w:ind w:left="180"/>
              <w:spacing w:after="0" w:line="107" w:lineRule="exact"/>
              <w:rPr>
                <w:sz w:val="20"/>
                <w:szCs w:val="20"/>
                <w:color w:val="auto"/>
              </w:rPr>
            </w:pPr>
            <w:r>
              <w:rPr>
                <w:rFonts w:ascii="Times New Roman" w:cs="Times New Roman" w:eastAsia="Times New Roman" w:hAnsi="Times New Roman"/>
                <w:sz w:val="12"/>
                <w:szCs w:val="12"/>
                <w:b w:val="1"/>
                <w:bCs w:val="1"/>
                <w:color w:val="auto"/>
              </w:rPr>
              <w:t>Balance at September 30,</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285,607</w:t>
            </w: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w:t>
            </w:r>
          </w:p>
        </w:tc>
        <w:tc>
          <w:tcPr>
            <w:tcW w:w="1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1,915,481</w:t>
            </w:r>
          </w:p>
        </w:tc>
        <w:tc>
          <w:tcPr>
            <w:tcW w:w="1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134,930</w:t>
            </w:r>
          </w:p>
        </w:tc>
        <w:tc>
          <w:tcPr>
            <w:tcW w:w="1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27,243</w:t>
            </w:r>
          </w:p>
        </w:tc>
        <w:tc>
          <w:tcPr>
            <w:tcW w:w="12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(45,983)</w:t>
            </w:r>
          </w:p>
        </w:tc>
        <w:tc>
          <w:tcPr>
            <w:tcW w:w="12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(216,301)</w:t>
            </w: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1,861,639</w:t>
            </w: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25,981</w:t>
            </w:r>
          </w:p>
        </w:tc>
        <w:tc>
          <w:tcPr>
            <w:tcW w:w="10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1,887,620</w:t>
            </w:r>
          </w:p>
        </w:tc>
        <w:tc>
          <w:tcPr>
            <w:tcW w:w="0" w:type="dxa"/>
            <w:vAlign w:val="bottom"/>
          </w:tcPr>
          <w:p>
            <w:pPr>
              <w:spacing w:after="0"/>
              <w:rPr>
                <w:sz w:val="1"/>
                <w:szCs w:val="1"/>
                <w:color w:val="auto"/>
              </w:rPr>
            </w:pPr>
          </w:p>
        </w:tc>
      </w:tr>
      <w:tr>
        <w:trPr>
          <w:trHeight w:val="168"/>
        </w:trPr>
        <w:tc>
          <w:tcPr>
            <w:tcW w:w="1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2019</w:t>
            </w: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62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vMerge w:val="continue"/>
            <w:shd w:val="clear" w:color="auto" w:fill="CCEEFF"/>
          </w:tcPr>
          <w:p>
            <w:pPr>
              <w:spacing w:after="0"/>
              <w:rPr>
                <w:sz w:val="14"/>
                <w:szCs w:val="14"/>
                <w:color w:val="auto"/>
              </w:rPr>
            </w:pPr>
          </w:p>
        </w:tc>
        <w:tc>
          <w:tcPr>
            <w:tcW w:w="72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92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vMerge w:val="continue"/>
            <w:shd w:val="clear" w:color="auto" w:fill="CCEEFF"/>
          </w:tcPr>
          <w:p>
            <w:pPr>
              <w:spacing w:after="0"/>
              <w:rPr>
                <w:sz w:val="14"/>
                <w:szCs w:val="14"/>
                <w:color w:val="auto"/>
              </w:rPr>
            </w:pP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9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vMerge w:val="continue"/>
            <w:shd w:val="clear" w:color="auto" w:fill="CCEEFF"/>
          </w:tcPr>
          <w:p>
            <w:pPr>
              <w:spacing w:after="0"/>
              <w:rPr>
                <w:sz w:val="14"/>
                <w:szCs w:val="14"/>
                <w:color w:val="auto"/>
              </w:rPr>
            </w:pPr>
          </w:p>
        </w:tc>
        <w:tc>
          <w:tcPr>
            <w:tcW w:w="70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188"/>
        </w:trPr>
        <w:tc>
          <w:tcPr>
            <w:tcW w:w="8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83"/>
        </w:trPr>
        <w:tc>
          <w:tcPr>
            <w:tcW w:w="8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213,534</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22,812</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377,722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398,013</w:t>
            </w:r>
          </w:p>
        </w:tc>
        <w:tc>
          <w:tcPr>
            <w:tcW w:w="0" w:type="dxa"/>
            <w:vAlign w:val="bottom"/>
          </w:tcPr>
          <w:p>
            <w:pPr>
              <w:spacing w:after="0"/>
              <w:rPr>
                <w:sz w:val="1"/>
                <w:szCs w:val="1"/>
                <w:color w:val="auto"/>
              </w:rPr>
            </w:pPr>
          </w:p>
        </w:tc>
      </w:tr>
      <w:tr>
        <w:trPr>
          <w:trHeight w:val="229"/>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operating activities and non-cash items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51,533</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(177,576)</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(189,026)</w:t>
            </w:r>
          </w:p>
        </w:tc>
        <w:tc>
          <w:tcPr>
            <w:tcW w:w="0" w:type="dxa"/>
            <w:vAlign w:val="bottom"/>
          </w:tcPr>
          <w:p>
            <w:pPr>
              <w:spacing w:after="0"/>
              <w:rPr>
                <w:sz w:val="1"/>
                <w:szCs w:val="1"/>
                <w:color w:val="auto"/>
              </w:rPr>
            </w:pPr>
          </w:p>
        </w:tc>
      </w:tr>
      <w:tr>
        <w:trPr>
          <w:trHeight w:val="223"/>
        </w:trPr>
        <w:tc>
          <w:tcPr>
            <w:tcW w:w="81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434,048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283,332</w:t>
            </w: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 for property, plant and equipment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(275,531)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(328,497)</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8,495</w:t>
            </w:r>
          </w:p>
        </w:tc>
        <w:tc>
          <w:tcPr>
            <w:tcW w:w="0" w:type="dxa"/>
            <w:vAlign w:val="bottom"/>
          </w:tcPr>
          <w:p>
            <w:pPr>
              <w:spacing w:after="0"/>
              <w:rPr>
                <w:sz w:val="1"/>
                <w:szCs w:val="1"/>
                <w:color w:val="auto"/>
              </w:rPr>
            </w:pPr>
          </w:p>
        </w:tc>
      </w:tr>
      <w:tr>
        <w:trPr>
          <w:trHeight w:val="230"/>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insurance recovery for property, plant and equipment</w:t>
            </w: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for short-term investments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(475,696)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(5,935)</w:t>
            </w:r>
          </w:p>
        </w:tc>
        <w:tc>
          <w:tcPr>
            <w:tcW w:w="0" w:type="dxa"/>
            <w:vAlign w:val="bottom"/>
          </w:tcPr>
          <w:p>
            <w:pPr>
              <w:spacing w:after="0"/>
              <w:rPr>
                <w:sz w:val="1"/>
                <w:szCs w:val="1"/>
                <w:color w:val="auto"/>
              </w:rPr>
            </w:pPr>
          </w:p>
        </w:tc>
      </w:tr>
      <w:tr>
        <w:trPr>
          <w:trHeight w:val="229"/>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sale of short-term investments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37,633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maturities of short-term investments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86,216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6,469</w:t>
            </w:r>
          </w:p>
        </w:tc>
        <w:tc>
          <w:tcPr>
            <w:tcW w:w="0" w:type="dxa"/>
            <w:vAlign w:val="bottom"/>
          </w:tcPr>
          <w:p>
            <w:pPr>
              <w:spacing w:after="0"/>
              <w:rPr>
                <w:sz w:val="1"/>
                <w:szCs w:val="1"/>
                <w:color w:val="auto"/>
              </w:rPr>
            </w:pPr>
          </w:p>
        </w:tc>
      </w:tr>
      <w:tr>
        <w:trPr>
          <w:trHeight w:val="229"/>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(611,337)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(318,817)</w:t>
            </w:r>
          </w:p>
        </w:tc>
        <w:tc>
          <w:tcPr>
            <w:tcW w:w="0" w:type="dxa"/>
            <w:vAlign w:val="bottom"/>
          </w:tcPr>
          <w:p>
            <w:pPr>
              <w:spacing w:after="0"/>
              <w:rPr>
                <w:sz w:val="1"/>
                <w:szCs w:val="1"/>
                <w:color w:val="auto"/>
              </w:rPr>
            </w:pPr>
          </w:p>
        </w:tc>
      </w:tr>
      <w:tr>
        <w:trPr>
          <w:trHeight w:val="22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revolving credit facilities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312,000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172,700</w:t>
            </w:r>
          </w:p>
        </w:tc>
        <w:tc>
          <w:tcPr>
            <w:tcW w:w="0" w:type="dxa"/>
            <w:vAlign w:val="bottom"/>
          </w:tcPr>
          <w:p>
            <w:pPr>
              <w:spacing w:after="0"/>
              <w:rPr>
                <w:sz w:val="1"/>
                <w:szCs w:val="1"/>
                <w:color w:val="auto"/>
              </w:rPr>
            </w:pPr>
          </w:p>
        </w:tc>
      </w:tr>
      <w:tr>
        <w:trPr>
          <w:trHeight w:val="229"/>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 of revolving credit facilities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(332,000)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(92,700)</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short-term debt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86,769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51,434</w:t>
            </w:r>
          </w:p>
        </w:tc>
        <w:tc>
          <w:tcPr>
            <w:tcW w:w="0" w:type="dxa"/>
            <w:vAlign w:val="bottom"/>
          </w:tcPr>
          <w:p>
            <w:pPr>
              <w:spacing w:after="0"/>
              <w:rPr>
                <w:sz w:val="1"/>
                <w:szCs w:val="1"/>
                <w:color w:val="auto"/>
              </w:rPr>
            </w:pPr>
          </w:p>
        </w:tc>
      </w:tr>
      <w:tr>
        <w:trPr>
          <w:trHeight w:val="230"/>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 of short-term debt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(76,004)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(42,067)</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225,985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714,375</w:t>
            </w:r>
          </w:p>
        </w:tc>
        <w:tc>
          <w:tcPr>
            <w:tcW w:w="0" w:type="dxa"/>
            <w:vAlign w:val="bottom"/>
          </w:tcPr>
          <w:p>
            <w:pPr>
              <w:spacing w:after="0"/>
              <w:rPr>
                <w:sz w:val="1"/>
                <w:szCs w:val="1"/>
                <w:color w:val="auto"/>
              </w:rPr>
            </w:pPr>
          </w:p>
        </w:tc>
      </w:tr>
      <w:tr>
        <w:trPr>
          <w:trHeight w:val="229"/>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 of long-term debt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(370,426)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(847,155)</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of finance lease obligations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(4,358)</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(153,162)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(49,734)</w:t>
            </w:r>
          </w:p>
        </w:tc>
        <w:tc>
          <w:tcPr>
            <w:tcW w:w="0" w:type="dxa"/>
            <w:vAlign w:val="bottom"/>
          </w:tcPr>
          <w:p>
            <w:pPr>
              <w:spacing w:after="0"/>
              <w:rPr>
                <w:sz w:val="1"/>
                <w:szCs w:val="1"/>
                <w:color w:val="auto"/>
              </w:rPr>
            </w:pPr>
          </w:p>
        </w:tc>
      </w:tr>
      <w:tr>
        <w:trPr>
          <w:trHeight w:val="223"/>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fluctuations on cash, cash equivalents and restricted cash</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(327,755)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(83,834)</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898,532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688,051</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570,777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604,217</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Property, plant and equipment included in capital expenditures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328,354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157,959</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tab/>
        <w:t>Interim Financial Statements</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Basis of Presentation. </w:t>
      </w:r>
      <w:r>
        <w:rPr>
          <w:rFonts w:ascii="Times New Roman" w:cs="Times New Roman" w:eastAsia="Times New Roman" w:hAnsi="Times New Roman"/>
          <w:sz w:val="18"/>
          <w:szCs w:val="18"/>
          <w:color w:val="auto"/>
        </w:rPr>
        <w:t>The Consolidated Financial Statements and related disclosures as of September 30, 2020, and for the three and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2020 and 2019, are unaudited, pursuant to the rules and regulations of the United States Securities and Exchange Commission (“SEC”). The December 31, 2019 Consolidated Balance Sheet data was derived from audited financial statements but does not include all disclosures required by accounting principles generally accepted in the United States of America (“U.S.”). Certain information and footnote disclosures normally included in financial statements prepared in accordance with U.S. generally accepted accounting principles (“U.S. GAAP”) have been condensed or omitted pursuant to such rules and regulations. In our opinion, these financial statements include all adjustments (consisting only of normal recurring adjustments) necessary for the fair statement of the results for the interim periods. These financial statements should be read in conjunction with the financial statements included in our Annual Report for the year ended December 31, 2019, filed on Form 10-K with the SEC on February 19, 2020. The results of operations for the three and nine months ended September 30, 2020 are not necessarily indicative of the results to be expected for the full year. Unless the context otherwise requires, all references to “Amkor,” “we,” “us” or “our” are to Amkor Technology, Inc. and our subsidiaries. Certain prior year amounts have been reclassified to conform to current year presentation.</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The Consolidated Financial Statements have been prepared in conformity with U.S. GAAP, using management’s best estimates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judgments where appropriate. These estimates and judgments affect the reported amounts of assets and liabilities and disclosure of contingent assets and liabilities at the date of the financial statements. The estimates and judgments will also affect the reported amounts for certain revenues and expenses during the reporting period. Actual results could differ materially from these estimates and judgments, including the impact of Covid-19 and any worsening of the global business and economic environment.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The balance of goodwill in our Consolidated Balance Sheets reflects adjustments for foreign currency translation.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Unbilled Receivables</w:t>
      </w:r>
      <w:r>
        <w:rPr>
          <w:rFonts w:ascii="Times New Roman" w:cs="Times New Roman" w:eastAsia="Times New Roman" w:hAnsi="Times New Roman"/>
          <w:sz w:val="18"/>
          <w:szCs w:val="18"/>
          <w:color w:val="auto"/>
        </w:rPr>
        <w:t>. Total unbilled receivables as of September 30, 2020 and December 31, 2019 were $150.3 million and $125.4 million, respectively.</w:t>
      </w:r>
    </w:p>
    <w:p>
      <w:pPr>
        <w:spacing w:after="0" w:line="17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i w:val="1"/>
          <w:iCs w:val="1"/>
          <w:color w:val="auto"/>
        </w:rPr>
        <w:t xml:space="preserve">Contract Liability. </w:t>
      </w:r>
      <w:r>
        <w:rPr>
          <w:rFonts w:ascii="Times New Roman" w:cs="Times New Roman" w:eastAsia="Times New Roman" w:hAnsi="Times New Roman"/>
          <w:sz w:val="18"/>
          <w:szCs w:val="18"/>
          <w:color w:val="auto"/>
        </w:rPr>
        <w:t>The company often receives cash payments from customers in advance of the company’s performance. In such cases, we record deferred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until the performance obligation is satisfied, which represents a contract liability and is included in accrued expenses and other non-current liabilities in the consolidated balance sheets. These contract liabilities are classified as either current or long-term based on the timing of when the company expects to recognize revenue. Contract liabilities were $50.1 million and $17.5 million as of September 30, 2020 and December 31, 2019, respectively. As of September 30, 2020 and December 31, 2019, the short-term portion of the liability was $27.0 million and $16.2 million, respectively. Revenue recognized during the nine months ended September 30, 2020 and 2019 that was included in the contract liability balance at the beginning of the period was $12.5 million and $14.5 million, respectively.</w:t>
      </w:r>
    </w:p>
    <w:p>
      <w:pPr>
        <w:spacing w:after="0" w:line="37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Net Sales by Product Group and End Market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by product group consist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00" w:type="dxa"/>
            <w:vAlign w:val="bottom"/>
          </w:tcPr>
          <w:p>
            <w:pPr>
              <w:spacing w:after="0"/>
              <w:rPr>
                <w:sz w:val="16"/>
                <w:szCs w:val="16"/>
                <w:color w:val="auto"/>
              </w:rPr>
            </w:pPr>
          </w:p>
        </w:tc>
        <w:tc>
          <w:tcPr>
            <w:tcW w:w="3020" w:type="dxa"/>
            <w:vAlign w:val="bottom"/>
            <w:gridSpan w:val="4"/>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188"/>
        </w:trPr>
        <w:tc>
          <w:tcPr>
            <w:tcW w:w="472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83"/>
        </w:trPr>
        <w:tc>
          <w:tcPr>
            <w:tcW w:w="4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15"/>
                <w:szCs w:val="15"/>
                <w:color w:val="auto"/>
              </w:rPr>
            </w:pPr>
          </w:p>
        </w:tc>
      </w:tr>
      <w:tr>
        <w:trPr>
          <w:trHeight w:val="229"/>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Advanced products (1)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899,293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2,333,810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1,444,059</w:t>
            </w:r>
          </w:p>
        </w:tc>
      </w:tr>
      <w:tr>
        <w:trPr>
          <w:trHeight w:val="230"/>
        </w:trPr>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Mainstream products (2)</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454,730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494,942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1,345,738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1,430,127</w:t>
            </w:r>
          </w:p>
        </w:tc>
      </w:tr>
      <w:tr>
        <w:trPr>
          <w:trHeight w:val="248"/>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1,354,023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1,083,917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3,679,548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2,874,186</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products include flip chip and wafer-level processing and related test services.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Mainstream products include wirebond packaging and related test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by end market consist of the following</w:t>
      </w:r>
      <w:r>
        <w:rPr>
          <w:rFonts w:ascii="Times New Roman" w:cs="Times New Roman" w:eastAsia="Times New Roman" w:hAnsi="Times New Roman"/>
          <w:sz w:val="18"/>
          <w:szCs w:val="18"/>
          <w:b w:val="1"/>
          <w:bCs w:val="1"/>
          <w:color w:val="auto"/>
        </w:rPr>
        <w: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20" w:type="dxa"/>
            <w:vAlign w:val="bottom"/>
            <w:gridSpan w:val="9"/>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w:t>
            </w:r>
          </w:p>
        </w:tc>
        <w:tc>
          <w:tcPr>
            <w:tcW w:w="260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Nine Months Ended September</w:t>
            </w:r>
          </w:p>
        </w:tc>
        <w:tc>
          <w:tcPr>
            <w:tcW w:w="0" w:type="dxa"/>
            <w:vAlign w:val="bottom"/>
          </w:tcPr>
          <w:p>
            <w:pPr>
              <w:spacing w:after="0"/>
              <w:rPr>
                <w:sz w:val="1"/>
                <w:szCs w:val="1"/>
                <w:color w:val="auto"/>
              </w:rPr>
            </w:pPr>
          </w:p>
        </w:tc>
      </w:tr>
      <w:tr>
        <w:trPr>
          <w:trHeight w:val="189"/>
        </w:trPr>
        <w:tc>
          <w:tcPr>
            <w:tcW w:w="4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30,</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30,</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40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Communications (handheld devices, smartphones, tablets)</w:t>
            </w:r>
          </w:p>
        </w:tc>
        <w:tc>
          <w:tcPr>
            <w:tcW w:w="9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175"/>
        </w:trPr>
        <w:tc>
          <w:tcPr>
            <w:tcW w:w="57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Consumer (connected home, set-top boxes, televisions, visual imaging,</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tcPr>
          <w:p>
            <w:pPr>
              <w:spacing w:after="0"/>
              <w:rPr>
                <w:sz w:val="15"/>
                <w:szCs w:val="15"/>
                <w:color w:val="auto"/>
              </w:rPr>
            </w:pPr>
          </w:p>
        </w:tc>
        <w:tc>
          <w:tcPr>
            <w:tcW w:w="1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30"/>
        </w:trPr>
        <w:tc>
          <w:tcPr>
            <w:tcW w:w="4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wearables)</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7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Automotive, industrial and other (driver assist, infotainment, performance,</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20" w:type="dxa"/>
            <w:vAlign w:val="bottom"/>
            <w:shd w:val="clear" w:color="auto" w:fill="CCEEFF"/>
          </w:tcPr>
          <w:p>
            <w:pPr>
              <w:spacing w:after="0"/>
              <w:rPr>
                <w:sz w:val="15"/>
                <w:szCs w:val="15"/>
                <w:color w:val="auto"/>
              </w:rPr>
            </w:pPr>
          </w:p>
        </w:tc>
        <w:tc>
          <w:tcPr>
            <w:tcW w:w="12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safety)</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3"/>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Computing (data center, infrastructure, PC/laptop, storage)</w:t>
            </w: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3.  Other Income and Expense</w:t>
            </w: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474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and expense consist of the following:</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4740" w:type="dxa"/>
            <w:vAlign w:val="bottom"/>
          </w:tcPr>
          <w:p>
            <w:pPr>
              <w:spacing w:after="0"/>
              <w:rPr>
                <w:sz w:val="24"/>
                <w:szCs w:val="24"/>
                <w:color w:val="auto"/>
              </w:rPr>
            </w:pPr>
          </w:p>
        </w:tc>
        <w:tc>
          <w:tcPr>
            <w:tcW w:w="3300" w:type="dxa"/>
            <w:vAlign w:val="bottom"/>
            <w:gridSpan w:val="9"/>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3200" w:type="dxa"/>
            <w:vAlign w:val="bottom"/>
            <w:gridSpan w:val="8"/>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188"/>
        </w:trPr>
        <w:tc>
          <w:tcPr>
            <w:tcW w:w="4740" w:type="dxa"/>
            <w:vAlign w:val="bottom"/>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gridSpan w:val="3"/>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Borders>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83"/>
        </w:trPr>
        <w:tc>
          <w:tcPr>
            <w:tcW w:w="4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96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3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(4,931)</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(gain) loss, net</w:t>
            </w:r>
          </w:p>
        </w:tc>
        <w:tc>
          <w:tcPr>
            <w:tcW w:w="96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3,069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debt retirement</w:t>
            </w:r>
          </w:p>
        </w:tc>
        <w:tc>
          <w:tcPr>
            <w:tcW w:w="9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8,535</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of $33.5 million for the nine months ended September 30, 2020 reflects income taxes, foreign withholding taxes and minimum taxes.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monitor on an ongoing basis our ability to utilize our deferred tax assets and whether there is a need for a related valuation allowance. In evaluating our ability to recover our deferred tax assets in the jurisdictions from which they arise, we consider all available positive and negative evidence, including scheduled reversals of deferred tax liabilities, projected future taxable income, tax-planning strategies and results of recent operations.</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maintain a valuation allowance on certain U.S. and foreign deferred tax assets. Such valuation allowances are released as the related tax benefits are realized or when sufficient evidence exists to conclude that it is more likely than not that the deferred tax assets will be realized. We have recorded a valuation allowance against our interest expense carryforward as a result of the limitation of deductibility of interest expense contained in the Tax Act. Realization of the carryforward is dependent on generating sufficient taxable income to overcome the interest limitation provisions. Although utilization of this carryforward is not assured, in light of our current earnings and recent estimates of future taxable income, management believes there is a reasonable possibility that sufficient positive evidence may become available within the next 12 months to allow us to reach a conclusion that the valuation allowance will no longer be needed. Release of the valuation allowance would result in a decrease to income tax expense for the period the release is recorded.</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Unrecognized tax benefits represent reserves for potential tax deficiencies or reductions in tax benefits that could result from federal, state or foreign tax audits. Gross unrecognized tax benefits increased from $26.2 million at December 31, 2019 to $30.0 million as of September 30, 2020, primarily due to increases related to income attribution, offset by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decreases from the lapse of statutes of limitations. All of our unrecognized tax benefits would reduce our effective tax rate if recognized. Our unrecognized tax benefits are subject to change for effective settlement of examinations, changes in the recognition threshold of tax positions, the expiration of statutes of limitations and other factors.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tax returns that are open to examination in various jurisdictions for tax years 2012-2019. The open years contain matters that could be subject to differing interpretations of applicable tax laws and regulations related to the amount and/or timing of income, deductions and tax credits. There can be no assurance that the outcome of the examinations will be favorable. In certain circumstances where we elect to appeal the results of an examination, we may be required to make tax assessment payments to proceed with the administrative appeal process.</w:t>
      </w:r>
    </w:p>
    <w:p>
      <w:pPr>
        <w:spacing w:after="0" w:line="36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Basic earnings per share (“EPS”) is computed by dividing net income attributable to Amkor common stockholders by the weighted-average number of common shares outstanding during the period. The weighted-average number of common shares outstanding is reduced for treasury stock.</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Diluted EPS is computed based on the weighted-average number of common shares outstanding plus the effect of dilutive potential common shares outstanding during the period. Dilutive potential common shares include outstanding stock options and unvested restricted shares.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computation of basic and diluted EPS: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00" w:type="dxa"/>
            <w:vAlign w:val="bottom"/>
          </w:tcPr>
          <w:p>
            <w:pPr>
              <w:spacing w:after="0"/>
              <w:rPr>
                <w:sz w:val="16"/>
                <w:szCs w:val="16"/>
                <w:color w:val="auto"/>
              </w:rPr>
            </w:pPr>
          </w:p>
        </w:tc>
        <w:tc>
          <w:tcPr>
            <w:tcW w:w="3000" w:type="dxa"/>
            <w:vAlign w:val="bottom"/>
            <w:gridSpan w:val="4"/>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188"/>
        </w:trPr>
        <w:tc>
          <w:tcPr>
            <w:tcW w:w="474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28"/>
        </w:trPr>
        <w:tc>
          <w:tcPr>
            <w:tcW w:w="4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920" w:type="dxa"/>
            <w:vAlign w:val="bottom"/>
            <w:gridSpan w:val="5"/>
          </w:tcPr>
          <w:p>
            <w:pPr>
              <w:jc w:val="center"/>
              <w:ind w:right="48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2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except per share data)</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740" w:type="dxa"/>
            <w:vAlign w:val="bottom"/>
            <w:tcBorders>
              <w:bottom w:val="single" w:sz="8" w:color="CCEEFF"/>
            </w:tcBorders>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Net income attributable to Amkor common stockholders</w:t>
            </w:r>
          </w:p>
        </w:tc>
        <w:tc>
          <w:tcPr>
            <w:tcW w:w="1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92,151</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54,070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211,464</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21,741</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 - basic</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241,675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241,232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239,503</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Stock options and restricted share awards</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155"/>
        </w:trPr>
        <w:tc>
          <w:tcPr>
            <w:tcW w:w="47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Weighted-average number of common shares outstanding -</w:t>
            </w:r>
          </w:p>
        </w:tc>
        <w:tc>
          <w:tcPr>
            <w:tcW w:w="18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242,592</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239,937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241,937</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239,858</w:t>
            </w:r>
          </w:p>
        </w:tc>
        <w:tc>
          <w:tcPr>
            <w:tcW w:w="0" w:type="dxa"/>
            <w:vAlign w:val="bottom"/>
          </w:tcPr>
          <w:p>
            <w:pPr>
              <w:spacing w:after="0"/>
              <w:rPr>
                <w:sz w:val="1"/>
                <w:szCs w:val="1"/>
                <w:color w:val="auto"/>
              </w:rPr>
            </w:pPr>
          </w:p>
        </w:tc>
      </w:tr>
      <w:tr>
        <w:trPr>
          <w:trHeight w:val="203"/>
        </w:trPr>
        <w:tc>
          <w:tcPr>
            <w:tcW w:w="47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Amkor per common share:</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potential shares of common stock that were excluded from diluted EPS because the effect of including these potential shares was anti-dilutive: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40" w:type="dxa"/>
            <w:vAlign w:val="bottom"/>
          </w:tcPr>
          <w:p>
            <w:pPr>
              <w:spacing w:after="0"/>
              <w:rPr>
                <w:sz w:val="16"/>
                <w:szCs w:val="16"/>
                <w:color w:val="auto"/>
              </w:rPr>
            </w:pPr>
          </w:p>
        </w:tc>
        <w:tc>
          <w:tcPr>
            <w:tcW w:w="330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320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188"/>
        </w:trPr>
        <w:tc>
          <w:tcPr>
            <w:tcW w:w="4740" w:type="dxa"/>
            <w:vAlign w:val="bottom"/>
          </w:tcPr>
          <w:p>
            <w:pPr>
              <w:spacing w:after="0"/>
              <w:rPr>
                <w:sz w:val="16"/>
                <w:szCs w:val="16"/>
                <w:color w:val="auto"/>
              </w:rPr>
            </w:pPr>
          </w:p>
        </w:tc>
        <w:tc>
          <w:tcPr>
            <w:tcW w:w="106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2020</w:t>
            </w:r>
          </w:p>
        </w:tc>
        <w:tc>
          <w:tcPr>
            <w:tcW w:w="82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880" w:type="dxa"/>
            <w:vAlign w:val="bottom"/>
            <w:tcBorders>
              <w:top w:val="single" w:sz="8" w:color="auto"/>
              <w:bottom w:val="single" w:sz="8" w:color="auto"/>
            </w:tcBorders>
          </w:tcPr>
          <w:p>
            <w:pPr>
              <w:jc w:val="right"/>
              <w:ind w:right="88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3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83"/>
        </w:trPr>
        <w:tc>
          <w:tcPr>
            <w:tcW w:w="4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300" w:type="dxa"/>
            <w:vAlign w:val="bottom"/>
            <w:gridSpan w:val="3"/>
          </w:tcPr>
          <w:p>
            <w:pPr>
              <w:jc w:val="right"/>
              <w:ind w:right="140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20" w:type="dxa"/>
            <w:vAlign w:val="bottom"/>
          </w:tcPr>
          <w:p>
            <w:pPr>
              <w:spacing w:after="0"/>
              <w:rPr>
                <w:sz w:val="15"/>
                <w:szCs w:val="15"/>
                <w:color w:val="auto"/>
              </w:rPr>
            </w:pPr>
          </w:p>
        </w:tc>
      </w:tr>
      <w:tr>
        <w:trPr>
          <w:trHeight w:val="229"/>
        </w:trPr>
        <w:tc>
          <w:tcPr>
            <w:tcW w:w="5800" w:type="dxa"/>
            <w:vAlign w:val="bottom"/>
            <w:gridSpan w:val="2"/>
            <w:shd w:val="clear" w:color="auto" w:fill="CCEEFF"/>
          </w:tcPr>
          <w:p>
            <w:pPr>
              <w:jc w:val="right"/>
              <w:ind w:right="2728"/>
              <w:spacing w:after="0"/>
              <w:rPr>
                <w:sz w:val="20"/>
                <w:szCs w:val="20"/>
                <w:color w:val="auto"/>
              </w:rPr>
            </w:pPr>
            <w:r>
              <w:rPr>
                <w:rFonts w:ascii="Times New Roman" w:cs="Times New Roman" w:eastAsia="Times New Roman" w:hAnsi="Times New Roman"/>
                <w:sz w:val="18"/>
                <w:szCs w:val="18"/>
                <w:color w:val="auto"/>
                <w:w w:val="99"/>
              </w:rPr>
              <w:t>Stock options and restricted share awards</w:t>
            </w:r>
          </w:p>
        </w:tc>
        <w:tc>
          <w:tcPr>
            <w:tcW w:w="8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858</w:t>
            </w:r>
          </w:p>
        </w:tc>
        <w:tc>
          <w:tcPr>
            <w:tcW w:w="13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6,347</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342"/>
              <w:spacing w:after="0"/>
              <w:rPr>
                <w:sz w:val="20"/>
                <w:szCs w:val="20"/>
                <w:color w:val="auto"/>
              </w:rPr>
            </w:pPr>
            <w:r>
              <w:rPr>
                <w:rFonts w:ascii="Times New Roman" w:cs="Times New Roman" w:eastAsia="Times New Roman" w:hAnsi="Times New Roman"/>
                <w:sz w:val="18"/>
                <w:szCs w:val="18"/>
                <w:color w:val="auto"/>
              </w:rPr>
              <w:t>2,943</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Accumulated Other Comprehensive Income (Loss)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accumulated other comprehensive income (loss), net of tax, consist of the following: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880" w:type="dxa"/>
            <w:vAlign w:val="bottom"/>
          </w:tcPr>
          <w:p>
            <w:pPr>
              <w:spacing w:after="0"/>
              <w:rPr>
                <w:sz w:val="11"/>
                <w:szCs w:val="11"/>
                <w:color w:val="auto"/>
              </w:rPr>
            </w:pPr>
          </w:p>
        </w:tc>
        <w:tc>
          <w:tcPr>
            <w:tcW w:w="1680" w:type="dxa"/>
            <w:vAlign w:val="bottom"/>
            <w:gridSpan w:val="2"/>
          </w:tcPr>
          <w:p>
            <w:pPr>
              <w:jc w:val="center"/>
              <w:ind w:right="17"/>
              <w:spacing w:after="0" w:line="135" w:lineRule="exact"/>
              <w:rPr>
                <w:sz w:val="20"/>
                <w:szCs w:val="20"/>
                <w:color w:val="auto"/>
              </w:rPr>
            </w:pPr>
            <w:r>
              <w:rPr>
                <w:rFonts w:ascii="Times New Roman" w:cs="Times New Roman" w:eastAsia="Times New Roman" w:hAnsi="Times New Roman"/>
                <w:sz w:val="14"/>
                <w:szCs w:val="14"/>
                <w:b w:val="1"/>
                <w:bCs w:val="1"/>
                <w:color w:val="auto"/>
              </w:rPr>
              <w:t>(Losses) on Available-</w:t>
            </w:r>
          </w:p>
        </w:tc>
        <w:tc>
          <w:tcPr>
            <w:tcW w:w="200" w:type="dxa"/>
            <w:vAlign w:val="bottom"/>
          </w:tcPr>
          <w:p>
            <w:pPr>
              <w:spacing w:after="0"/>
              <w:rPr>
                <w:sz w:val="11"/>
                <w:szCs w:val="11"/>
                <w:color w:val="auto"/>
              </w:rPr>
            </w:pPr>
          </w:p>
        </w:tc>
        <w:tc>
          <w:tcPr>
            <w:tcW w:w="14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160" w:type="dxa"/>
            <w:vAlign w:val="bottom"/>
          </w:tcPr>
          <w:p>
            <w:pPr>
              <w:spacing w:after="0"/>
              <w:rPr>
                <w:sz w:val="11"/>
                <w:szCs w:val="11"/>
                <w:color w:val="auto"/>
              </w:rPr>
            </w:pPr>
          </w:p>
        </w:tc>
        <w:tc>
          <w:tcPr>
            <w:tcW w:w="14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tcPr>
          <w:p>
            <w:pPr>
              <w:jc w:val="center"/>
              <w:ind w:right="217"/>
              <w:spacing w:after="0" w:line="135" w:lineRule="exact"/>
              <w:rPr>
                <w:sz w:val="20"/>
                <w:szCs w:val="20"/>
                <w:color w:val="auto"/>
              </w:rPr>
            </w:pPr>
            <w:r>
              <w:rPr>
                <w:rFonts w:ascii="Times New Roman" w:cs="Times New Roman" w:eastAsia="Times New Roman" w:hAnsi="Times New Roman"/>
                <w:sz w:val="14"/>
                <w:szCs w:val="14"/>
                <w:b w:val="1"/>
                <w:bCs w:val="1"/>
                <w:color w:val="auto"/>
              </w:rPr>
              <w:t>for-Sale Debt</w:t>
            </w:r>
          </w:p>
        </w:tc>
        <w:tc>
          <w:tcPr>
            <w:tcW w:w="20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8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Investments (1)</w:t>
            </w: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Pension (2)</w:t>
            </w: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80" w:type="dxa"/>
            <w:vAlign w:val="bottom"/>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Accumulated other comprehensive income (loss) at December</w:t>
            </w:r>
          </w:p>
        </w:tc>
        <w:tc>
          <w:tcPr>
            <w:tcW w:w="200" w:type="dxa"/>
            <w:vAlign w:val="bottom"/>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(4,820)</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23,935</w:t>
            </w:r>
          </w:p>
        </w:tc>
        <w:tc>
          <w:tcPr>
            <w:tcW w:w="12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19,115</w:t>
            </w: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31, 2019</w:t>
            </w:r>
          </w:p>
        </w:tc>
        <w:tc>
          <w:tcPr>
            <w:tcW w:w="200" w:type="dxa"/>
            <w:vAlign w:val="bottom"/>
            <w:vMerge w:val="continue"/>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00" w:type="dxa"/>
            <w:vAlign w:val="bottom"/>
          </w:tcPr>
          <w:p>
            <w:pPr>
              <w:spacing w:after="0"/>
              <w:rPr>
                <w:sz w:val="19"/>
                <w:szCs w:val="19"/>
                <w:color w:val="auto"/>
              </w:rPr>
            </w:pPr>
          </w:p>
        </w:tc>
        <w:tc>
          <w:tcPr>
            <w:tcW w:w="148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168</w:t>
            </w:r>
          </w:p>
        </w:tc>
        <w:tc>
          <w:tcPr>
            <w:tcW w:w="2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4,135</w:t>
            </w:r>
          </w:p>
        </w:tc>
        <w:tc>
          <w:tcPr>
            <w:tcW w:w="0" w:type="dxa"/>
            <w:vAlign w:val="bottom"/>
          </w:tcPr>
          <w:p>
            <w:pPr>
              <w:spacing w:after="0"/>
              <w:rPr>
                <w:sz w:val="1"/>
                <w:szCs w:val="1"/>
                <w:color w:val="auto"/>
              </w:rPr>
            </w:pPr>
          </w:p>
        </w:tc>
      </w:tr>
      <w:tr>
        <w:trPr>
          <w:trHeight w:val="175"/>
        </w:trPr>
        <w:tc>
          <w:tcPr>
            <w:tcW w:w="4880" w:type="dxa"/>
            <w:vAlign w:val="bottom"/>
            <w:shd w:val="clear" w:color="auto" w:fill="CCEEFF"/>
          </w:tcPr>
          <w:p>
            <w:pPr>
              <w:ind w:left="38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20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income (loss)</w:t>
            </w:r>
          </w:p>
        </w:tc>
        <w:tc>
          <w:tcPr>
            <w:tcW w:w="200" w:type="dxa"/>
            <w:vAlign w:val="bottom"/>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8"/>
                <w:szCs w:val="18"/>
                <w:color w:val="auto"/>
              </w:rPr>
              <w:t>193</w:t>
            </w:r>
          </w:p>
        </w:tc>
        <w:tc>
          <w:tcPr>
            <w:tcW w:w="2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1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4,194</w:t>
            </w:r>
          </w:p>
        </w:tc>
        <w:tc>
          <w:tcPr>
            <w:tcW w:w="0" w:type="dxa"/>
            <w:vAlign w:val="bottom"/>
          </w:tcPr>
          <w:p>
            <w:pPr>
              <w:spacing w:after="0"/>
              <w:rPr>
                <w:sz w:val="1"/>
                <w:szCs w:val="1"/>
                <w:color w:val="auto"/>
              </w:rPr>
            </w:pPr>
          </w:p>
        </w:tc>
      </w:tr>
      <w:tr>
        <w:trPr>
          <w:trHeight w:val="156"/>
        </w:trPr>
        <w:tc>
          <w:tcPr>
            <w:tcW w:w="4880" w:type="dxa"/>
            <w:vAlign w:val="bottom"/>
            <w:shd w:val="clear" w:color="auto" w:fill="CCEEFF"/>
          </w:tcPr>
          <w:p>
            <w:pPr>
              <w:ind w:left="260"/>
              <w:spacing w:after="0" w:line="156" w:lineRule="exact"/>
              <w:rPr>
                <w:sz w:val="20"/>
                <w:szCs w:val="20"/>
                <w:color w:val="auto"/>
              </w:rPr>
            </w:pPr>
            <w:r>
              <w:rPr>
                <w:rFonts w:ascii="Times New Roman" w:cs="Times New Roman" w:eastAsia="Times New Roman" w:hAnsi="Times New Roman"/>
                <w:sz w:val="18"/>
                <w:szCs w:val="18"/>
                <w:color w:val="auto"/>
              </w:rPr>
              <w:t>Accumulated other comprehensive income (loss) at September</w:t>
            </w:r>
          </w:p>
        </w:tc>
        <w:tc>
          <w:tcPr>
            <w:tcW w:w="200" w:type="dxa"/>
            <w:vAlign w:val="bottom"/>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193</w:t>
            </w: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(4,786)</w:t>
            </w:r>
          </w:p>
        </w:tc>
        <w:tc>
          <w:tcPr>
            <w:tcW w:w="12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27,902</w:t>
            </w:r>
          </w:p>
        </w:tc>
        <w:tc>
          <w:tcPr>
            <w:tcW w:w="12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23,309</w:t>
            </w:r>
          </w:p>
        </w:tc>
        <w:tc>
          <w:tcPr>
            <w:tcW w:w="0" w:type="dxa"/>
            <w:vAlign w:val="bottom"/>
          </w:tcPr>
          <w:p>
            <w:pPr>
              <w:spacing w:after="0"/>
              <w:rPr>
                <w:sz w:val="1"/>
                <w:szCs w:val="1"/>
                <w:color w:val="auto"/>
              </w:rPr>
            </w:pPr>
          </w:p>
        </w:tc>
      </w:tr>
      <w:tr>
        <w:trPr>
          <w:trHeight w:val="223"/>
        </w:trPr>
        <w:tc>
          <w:tcPr>
            <w:tcW w:w="4880" w:type="dxa"/>
            <w:vAlign w:val="bottom"/>
            <w:tcBorders>
              <w:bottom w:val="single" w:sz="8" w:color="CCEEFF"/>
            </w:tcBorders>
            <w:shd w:val="clear" w:color="auto" w:fill="CCEEFF"/>
          </w:tcPr>
          <w:p>
            <w:pPr>
              <w:ind w:left="260"/>
              <w:spacing w:after="0" w:line="202" w:lineRule="exact"/>
              <w:rPr>
                <w:sz w:val="20"/>
                <w:szCs w:val="20"/>
                <w:color w:val="auto"/>
              </w:rPr>
            </w:pPr>
            <w:r>
              <w:rPr>
                <w:rFonts w:ascii="Times New Roman" w:cs="Times New Roman" w:eastAsia="Times New Roman" w:hAnsi="Times New Roman"/>
                <w:sz w:val="18"/>
                <w:szCs w:val="18"/>
                <w:color w:val="auto"/>
              </w:rPr>
              <w:t>30, 2020</w:t>
            </w: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48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4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Defined Benefit Pension</w:t>
            </w:r>
          </w:p>
        </w:tc>
        <w:tc>
          <w:tcPr>
            <w:tcW w:w="160" w:type="dxa"/>
            <w:vAlign w:val="bottom"/>
          </w:tcPr>
          <w:p>
            <w:pPr>
              <w:spacing w:after="0"/>
              <w:rPr>
                <w:sz w:val="24"/>
                <w:szCs w:val="24"/>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340" w:type="dxa"/>
            <w:vAlign w:val="bottom"/>
          </w:tcPr>
          <w:p>
            <w:pPr>
              <w:spacing w:after="0"/>
              <w:rPr>
                <w:sz w:val="24"/>
                <w:szCs w:val="24"/>
                <w:color w:val="auto"/>
              </w:rPr>
            </w:pPr>
          </w:p>
        </w:tc>
        <w:tc>
          <w:tcPr>
            <w:tcW w:w="110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(2)</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gridSpan w:val="2"/>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Accumulated other comprehensive income (loss) at December 31,</w:t>
            </w:r>
          </w:p>
        </w:tc>
        <w:tc>
          <w:tcPr>
            <w:tcW w:w="148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21,153</w:t>
            </w:r>
          </w:p>
        </w:tc>
        <w:tc>
          <w:tcPr>
            <w:tcW w:w="12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23,812</w:t>
            </w: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2018</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3,745</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3,745</w:t>
            </w:r>
          </w:p>
        </w:tc>
        <w:tc>
          <w:tcPr>
            <w:tcW w:w="0" w:type="dxa"/>
            <w:vAlign w:val="bottom"/>
          </w:tcPr>
          <w:p>
            <w:pPr>
              <w:spacing w:after="0"/>
              <w:rPr>
                <w:sz w:val="1"/>
                <w:szCs w:val="1"/>
                <w:color w:val="auto"/>
              </w:rPr>
            </w:pPr>
          </w:p>
        </w:tc>
      </w:tr>
      <w:tr>
        <w:trPr>
          <w:trHeight w:val="175"/>
        </w:trPr>
        <w:tc>
          <w:tcPr>
            <w:tcW w:w="4880" w:type="dxa"/>
            <w:vAlign w:val="bottom"/>
            <w:shd w:val="clear" w:color="auto" w:fill="CCEEFF"/>
          </w:tcPr>
          <w:p>
            <w:pPr>
              <w:ind w:left="38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2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income (loss)</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vMerge w:val="continue"/>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3,745</w:t>
            </w:r>
          </w:p>
        </w:tc>
        <w:tc>
          <w:tcPr>
            <w:tcW w:w="1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3,431</w:t>
            </w:r>
          </w:p>
        </w:tc>
        <w:tc>
          <w:tcPr>
            <w:tcW w:w="0" w:type="dxa"/>
            <w:vAlign w:val="bottom"/>
          </w:tcPr>
          <w:p>
            <w:pPr>
              <w:spacing w:after="0"/>
              <w:rPr>
                <w:sz w:val="1"/>
                <w:szCs w:val="1"/>
                <w:color w:val="auto"/>
              </w:rPr>
            </w:pPr>
          </w:p>
        </w:tc>
      </w:tr>
      <w:tr>
        <w:trPr>
          <w:trHeight w:val="155"/>
        </w:trPr>
        <w:tc>
          <w:tcPr>
            <w:tcW w:w="5080" w:type="dxa"/>
            <w:vAlign w:val="bottom"/>
            <w:gridSpan w:val="2"/>
            <w:shd w:val="clear" w:color="auto" w:fill="CCEEFF"/>
          </w:tcPr>
          <w:p>
            <w:pPr>
              <w:ind w:left="260"/>
              <w:spacing w:after="0" w:line="156" w:lineRule="exact"/>
              <w:rPr>
                <w:sz w:val="20"/>
                <w:szCs w:val="20"/>
                <w:color w:val="auto"/>
              </w:rPr>
            </w:pPr>
            <w:r>
              <w:rPr>
                <w:rFonts w:ascii="Times New Roman" w:cs="Times New Roman" w:eastAsia="Times New Roman" w:hAnsi="Times New Roman"/>
                <w:sz w:val="18"/>
                <w:szCs w:val="18"/>
                <w:color w:val="auto"/>
              </w:rPr>
              <w:t>Accumulated other comprehensive income (loss) at September 30,</w:t>
            </w:r>
          </w:p>
        </w:tc>
        <w:tc>
          <w:tcPr>
            <w:tcW w:w="148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12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24,898</w:t>
            </w:r>
          </w:p>
        </w:tc>
        <w:tc>
          <w:tcPr>
            <w:tcW w:w="12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27,243</w:t>
            </w:r>
          </w:p>
        </w:tc>
        <w:tc>
          <w:tcPr>
            <w:tcW w:w="0" w:type="dxa"/>
            <w:vAlign w:val="bottom"/>
          </w:tcPr>
          <w:p>
            <w:pPr>
              <w:spacing w:after="0"/>
              <w:rPr>
                <w:sz w:val="1"/>
                <w:szCs w:val="1"/>
                <w:color w:val="auto"/>
              </w:rPr>
            </w:pPr>
          </w:p>
        </w:tc>
      </w:tr>
      <w:tr>
        <w:trPr>
          <w:trHeight w:val="223"/>
        </w:trPr>
        <w:tc>
          <w:tcPr>
            <w:tcW w:w="4880" w:type="dxa"/>
            <w:vAlign w:val="bottom"/>
            <w:tcBorders>
              <w:bottom w:val="single" w:sz="8" w:color="CCEEFF"/>
            </w:tcBorders>
            <w:shd w:val="clear" w:color="auto" w:fill="CCEEFF"/>
          </w:tcPr>
          <w:p>
            <w:pPr>
              <w:ind w:left="260"/>
              <w:spacing w:after="0" w:line="202" w:lineRule="exact"/>
              <w:rPr>
                <w:sz w:val="20"/>
                <w:szCs w:val="20"/>
                <w:color w:val="auto"/>
              </w:rPr>
            </w:pPr>
            <w:r>
              <w:rPr>
                <w:rFonts w:ascii="Times New Roman" w:cs="Times New Roman" w:eastAsia="Times New Roman" w:hAnsi="Times New Roman"/>
                <w:sz w:val="18"/>
                <w:szCs w:val="18"/>
                <w:color w:val="auto"/>
              </w:rPr>
              <w:t>2019</w:t>
            </w:r>
          </w:p>
        </w:tc>
        <w:tc>
          <w:tcPr>
            <w:tcW w:w="2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580" w:hanging="248"/>
        <w:spacing w:after="0"/>
        <w:tabs>
          <w:tab w:leader="none" w:pos="5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reclassified out of accumulated other comprehensive income (loss) are included as other (income) expense, net (Note 3).</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591"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reclassified out of accumulated other comprehensive income (loss) are included as a component of net periodic pension cost (Note 12) or other (income) expense, net (Note 3).</w:t>
      </w:r>
    </w:p>
    <w:p>
      <w:pPr>
        <w:spacing w:after="0" w:line="34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classify our short-term investments in fixed income securities as available-for-sale debt investments, except for one foreign government security classified as held-to-maturity and recorded at amortized cost. All of our available-for-sale debt investments as of September 30, 2020 are available to fund current operations and are recorded at fair value (Note 13). Unrealized gains and losses on our available-for-sale debt investments are included as a separate component of accumulated other comprehensive income (loss), net of tax. Realized gains and losses on our available-for-sale debt investments and declines in value judged to be an impairment are included in other (income) expense, net. The cost of short-term investments matured or sold is based on the average cost method.</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determining if and when a decline in value below the adjusted cost of our available-for-sale debt investments is an impairment, we evaluate on an ongoing basis the market conditions, trends of earnings, financial condition, credit ratings, any underlying collateral and other key measures for our short-term investments. An impairment is considered if (i) we have the intent to sell the security, (ii) it is more likely than not that we will be required to sell the security before recovery of the entire amortized cost basis or (iii) we do not expect to recover the entire amortized cost basis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security. If impairment is considered on condition (i) or (ii) above, the entire difference between the amortized cost and the fair value of the debt security is recognized in earnings. If impairment is considered based on condition (iii), the amount representing credit losses will be recognized in earnings and as an allowance for credit losses. The amount relating to all other factors will be recognized in other comprehensive income.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equivalents and available-for-sale debt investments: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35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2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Fair Value Level</w:t>
            </w:r>
          </w:p>
        </w:tc>
        <w:tc>
          <w:tcPr>
            <w:tcW w:w="0" w:type="dxa"/>
            <w:vAlign w:val="bottom"/>
          </w:tcPr>
          <w:p>
            <w:pPr>
              <w:spacing w:after="0"/>
              <w:rPr>
                <w:sz w:val="1"/>
                <w:szCs w:val="1"/>
                <w:color w:val="auto"/>
              </w:rPr>
            </w:pPr>
          </w:p>
        </w:tc>
      </w:tr>
      <w:tr>
        <w:trPr>
          <w:trHeight w:val="115"/>
        </w:trPr>
        <w:tc>
          <w:tcPr>
            <w:tcW w:w="3500" w:type="dxa"/>
            <w:vAlign w:val="bottom"/>
          </w:tcPr>
          <w:p>
            <w:pPr>
              <w:spacing w:after="0"/>
              <w:rPr>
                <w:sz w:val="10"/>
                <w:szCs w:val="10"/>
                <w:color w:val="auto"/>
              </w:rPr>
            </w:pPr>
          </w:p>
        </w:tc>
        <w:tc>
          <w:tcPr>
            <w:tcW w:w="12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60" w:type="dxa"/>
            <w:vAlign w:val="bottom"/>
            <w:gridSpan w:val="3"/>
            <w:vMerge w:val="continue"/>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12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220" w:type="dxa"/>
            <w:vAlign w:val="bottom"/>
          </w:tcPr>
          <w:p>
            <w:pPr>
              <w:spacing w:after="0"/>
              <w:rPr>
                <w:sz w:val="10"/>
                <w:szCs w:val="10"/>
                <w:color w:val="auto"/>
              </w:rPr>
            </w:pP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0"/>
                <w:szCs w:val="10"/>
                <w:color w:val="auto"/>
              </w:rPr>
            </w:pPr>
          </w:p>
        </w:tc>
        <w:tc>
          <w:tcPr>
            <w:tcW w:w="94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0" w:type="dxa"/>
            <w:vAlign w:val="bottom"/>
          </w:tcPr>
          <w:p>
            <w:pPr>
              <w:spacing w:after="0"/>
              <w:rPr>
                <w:sz w:val="1"/>
                <w:szCs w:val="1"/>
                <w:color w:val="auto"/>
              </w:rPr>
            </w:pPr>
          </w:p>
        </w:tc>
      </w:tr>
      <w:tr>
        <w:trPr>
          <w:trHeight w:val="112"/>
        </w:trPr>
        <w:tc>
          <w:tcPr>
            <w:tcW w:w="350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Pr>
          <w:p>
            <w:pPr>
              <w:spacing w:after="0"/>
              <w:rPr>
                <w:sz w:val="9"/>
                <w:szCs w:val="9"/>
                <w:color w:val="auto"/>
              </w:rPr>
            </w:pPr>
          </w:p>
        </w:tc>
        <w:tc>
          <w:tcPr>
            <w:tcW w:w="10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Losses (1)</w:t>
            </w:r>
          </w:p>
        </w:tc>
        <w:tc>
          <w:tcPr>
            <w:tcW w:w="126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350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gridSpan w:val="2"/>
            <w:vMerge w:val="continue"/>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gridSpan w:val="2"/>
            <w:vMerge w:val="continue"/>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3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Certificate of deposits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0" w:type="dxa"/>
            <w:vAlign w:val="bottom"/>
          </w:tcPr>
          <w:p>
            <w:pPr>
              <w:spacing w:after="0"/>
              <w:rPr>
                <w:sz w:val="1"/>
                <w:szCs w:val="1"/>
                <w:color w:val="auto"/>
              </w:rPr>
            </w:pPr>
          </w:p>
        </w:tc>
      </w:tr>
      <w:tr>
        <w:trPr>
          <w:trHeight w:val="229"/>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13,881</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161,837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161,837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Mortgage backed securities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Municipal bonds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4,557</w:t>
            </w:r>
          </w:p>
        </w:tc>
        <w:tc>
          <w:tcPr>
            <w:tcW w:w="0" w:type="dxa"/>
            <w:vAlign w:val="bottom"/>
          </w:tcPr>
          <w:p>
            <w:pPr>
              <w:spacing w:after="0"/>
              <w:rPr>
                <w:sz w:val="1"/>
                <w:szCs w:val="1"/>
                <w:color w:val="auto"/>
              </w:rPr>
            </w:pPr>
          </w:p>
        </w:tc>
      </w:tr>
      <w:tr>
        <w:trPr>
          <w:trHeight w:val="223"/>
        </w:trPr>
        <w:tc>
          <w:tcPr>
            <w:tcW w:w="3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cash equivalents</w:t>
            </w:r>
          </w:p>
        </w:tc>
        <w:tc>
          <w:tcPr>
            <w:tcW w:w="3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192,525</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192,550</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165,140</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27,410</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Asset-backed securities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32,283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32,308</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Certificate of deposits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38,593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38,593</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152,668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152,817</w:t>
            </w:r>
          </w:p>
        </w:tc>
        <w:tc>
          <w:tcPr>
            <w:tcW w:w="0" w:type="dxa"/>
            <w:vAlign w:val="bottom"/>
          </w:tcPr>
          <w:p>
            <w:pPr>
              <w:spacing w:after="0"/>
              <w:rPr>
                <w:sz w:val="1"/>
                <w:szCs w:val="1"/>
                <w:color w:val="auto"/>
              </w:rPr>
            </w:pPr>
          </w:p>
        </w:tc>
      </w:tr>
      <w:tr>
        <w:trPr>
          <w:trHeight w:val="229"/>
        </w:trPr>
        <w:tc>
          <w:tcPr>
            <w:tcW w:w="3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Mortgage backed securities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Municipal bonds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12,113</w:t>
            </w:r>
          </w:p>
        </w:tc>
        <w:tc>
          <w:tcPr>
            <w:tcW w:w="0" w:type="dxa"/>
            <w:vAlign w:val="bottom"/>
          </w:tcPr>
          <w:p>
            <w:pPr>
              <w:spacing w:after="0"/>
              <w:rPr>
                <w:sz w:val="1"/>
                <w:szCs w:val="1"/>
                <w:color w:val="auto"/>
              </w:rPr>
            </w:pPr>
          </w:p>
        </w:tc>
      </w:tr>
      <w:tr>
        <w:trPr>
          <w:trHeight w:val="230"/>
        </w:trPr>
        <w:tc>
          <w:tcPr>
            <w:tcW w:w="3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45,474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45,489</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U.S. government bonds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54,475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Variable rate demand notes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23"/>
        </w:trPr>
        <w:tc>
          <w:tcPr>
            <w:tcW w:w="350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351,359</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351,570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68,809</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282,761</w:t>
            </w:r>
          </w:p>
        </w:tc>
        <w:tc>
          <w:tcPr>
            <w:tcW w:w="0" w:type="dxa"/>
            <w:vAlign w:val="bottom"/>
          </w:tcPr>
          <w:p>
            <w:pPr>
              <w:spacing w:after="0"/>
              <w:rPr>
                <w:sz w:val="1"/>
                <w:szCs w:val="1"/>
                <w:color w:val="auto"/>
              </w:rPr>
            </w:pPr>
          </w:p>
        </w:tc>
      </w:tr>
      <w:tr>
        <w:trPr>
          <w:trHeight w:val="223"/>
        </w:trPr>
        <w:tc>
          <w:tcPr>
            <w:tcW w:w="3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543,884</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544,120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233,949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310,171</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660" w:hanging="328"/>
        <w:spacing w:after="0" w:line="282" w:lineRule="auto"/>
        <w:tabs>
          <w:tab w:leader="none" w:pos="6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unrealized losses have been in a continuous loss position for less than 12 months. We do not intend to sell the investments in an unrealized loss position, and it is not more likely than not that we will be required to sell these investments before recovery of their amortized cost bases.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contractual maturities of our cash equivalents and available-for-sale debt investments as of September 30, 2020:</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4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34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8"/>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Within 1 year</w:t>
            </w:r>
          </w:p>
        </w:tc>
        <w:tc>
          <w:tcPr>
            <w:tcW w:w="16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514,535</w:t>
            </w:r>
          </w:p>
        </w:tc>
        <w:tc>
          <w:tcPr>
            <w:tcW w:w="120" w:type="dxa"/>
            <w:vAlign w:val="bottom"/>
            <w:shd w:val="clear" w:color="auto" w:fill="CCEEFF"/>
          </w:tcPr>
          <w:p>
            <w:pPr>
              <w:spacing w:after="0"/>
              <w:rPr>
                <w:sz w:val="19"/>
                <w:szCs w:val="19"/>
                <w:color w:val="auto"/>
              </w:rPr>
            </w:pP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514,748</w:t>
            </w:r>
          </w:p>
        </w:tc>
      </w:tr>
      <w:tr>
        <w:trPr>
          <w:trHeight w:val="23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After 1 year through 5 years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27,151</w:t>
            </w:r>
          </w:p>
        </w:tc>
        <w:tc>
          <w:tcPr>
            <w:tcW w:w="12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27,172</w:t>
            </w: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After 5 years through 10 years</w:t>
            </w:r>
          </w:p>
        </w:tc>
        <w:tc>
          <w:tcPr>
            <w:tcW w:w="16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120" w:type="dxa"/>
            <w:vAlign w:val="bottom"/>
            <w:shd w:val="clear" w:color="auto" w:fill="CCEEFF"/>
          </w:tcPr>
          <w:p>
            <w:pPr>
              <w:spacing w:after="0"/>
              <w:rPr>
                <w:sz w:val="19"/>
                <w:szCs w:val="19"/>
                <w:color w:val="auto"/>
              </w:rPr>
            </w:pPr>
          </w:p>
        </w:tc>
        <w:tc>
          <w:tcPr>
            <w:tcW w:w="2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w:t>
            </w:r>
          </w:p>
        </w:tc>
      </w:tr>
      <w:tr>
        <w:trPr>
          <w:trHeight w:val="223"/>
        </w:trPr>
        <w:tc>
          <w:tcPr>
            <w:tcW w:w="8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543,884</w:t>
            </w:r>
          </w:p>
        </w:tc>
        <w:tc>
          <w:tcPr>
            <w:tcW w:w="12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544,120</w:t>
            </w:r>
          </w:p>
        </w:tc>
      </w:tr>
      <w:tr>
        <w:trPr>
          <w:trHeight w:val="20"/>
        </w:trPr>
        <w:tc>
          <w:tcPr>
            <w:tcW w:w="644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Actual maturities can differ from contractual maturities due to various factors including the issuers may have the right to call or prepay obligations without call or prepayment penalties, and we view our available-for-sale debt investments as available for current operations.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2020, the amortized cost and the fair market value of our held-to-maturity security (Level 1) maturing within a year is $4.6 million.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debt investments as of December 31, 2019:</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5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188"/>
        </w:trPr>
        <w:tc>
          <w:tcPr>
            <w:tcW w:w="9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0"/>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 money market funds (Level 1) (1)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384,474</w:t>
            </w:r>
          </w:p>
        </w:tc>
      </w:tr>
      <w:tr>
        <w:trPr>
          <w:trHeight w:val="234"/>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 government bond (Level 2) (2)</w:t>
            </w: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6,348</w:t>
            </w:r>
          </w:p>
        </w:tc>
      </w:tr>
    </w:tbl>
    <w:p>
      <w:pPr>
        <w:spacing w:after="0" w:line="139" w:lineRule="exact"/>
        <w:rPr>
          <w:sz w:val="20"/>
          <w:szCs w:val="20"/>
          <w:color w:val="auto"/>
        </w:rPr>
      </w:pPr>
    </w:p>
    <w:p>
      <w:pPr>
        <w:jc w:val="both"/>
        <w:ind w:left="660" w:hanging="328"/>
        <w:spacing w:after="0" w:line="266" w:lineRule="auto"/>
        <w:tabs>
          <w:tab w:leader="none" w:pos="65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equivalent money market funds (Level 1) at December 31, 2019 have been corrected to include $286.7 million of cash equivalents that were excluded in previously reported amounts. There was no change to total cash and cash equivalents reported on our consolidated balance sheet. We determined this was immaterial to the prior period but have presented the balance as revised for comparability.</w:t>
      </w:r>
    </w:p>
    <w:p>
      <w:pPr>
        <w:spacing w:after="0" w:line="12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the security is $6.3 million.</w:t>
      </w:r>
    </w:p>
    <w:p>
      <w:pPr>
        <w:spacing w:after="0" w:line="200" w:lineRule="exact"/>
        <w:rPr>
          <w:rFonts w:ascii="Times New Roman" w:cs="Times New Roman" w:eastAsia="Times New Roman" w:hAnsi="Times New Roman"/>
          <w:sz w:val="18"/>
          <w:szCs w:val="18"/>
          <w:color w:val="auto"/>
        </w:rPr>
      </w:pPr>
    </w:p>
    <w:p>
      <w:pPr>
        <w:spacing w:after="0" w:line="37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Factoring of Accounts Receivable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certain accounts receivable, we use non-recourse factoring arrangements with third-party financial institutions to manage our working capital and cash flows. Under this program, we sell receivables to a financial institution for cash at a discount to the face amount. As part of the factoring arrangements, we perform certain collection and administrative functions for the receivables sold. For the three and nine months ended September 30, 2020, we sold receivables totaling $103.9 million and $368.4 million, net of discounts and fees of $0.6 million and $2.2 million, respectively. For the three and nine months ended September 30, 2019, we sold receivables totaling $175.4 million and $480.2 million, net of discounts and fees of $1.1 million and $3.3 million, respectively.</w:t>
      </w:r>
    </w:p>
    <w:p>
      <w:pPr>
        <w:spacing w:after="0" w:line="37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Property, Plant and Equipment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consist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188"/>
        </w:trPr>
        <w:tc>
          <w:tcPr>
            <w:tcW w:w="7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0" w:type="dxa"/>
            <w:vAlign w:val="bottom"/>
            <w:gridSpan w:val="4"/>
          </w:tcPr>
          <w:p>
            <w:pPr>
              <w:jc w:val="right"/>
              <w:ind w:right="125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219,785</w:t>
            </w: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1,619,450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1,571,653</w:t>
            </w: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5,665,943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5,303,729</w:t>
            </w: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assets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34,158</w:t>
            </w: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and computer equipment</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220,264</w:t>
            </w: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fixtures and other equipment</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19,740</w:t>
            </w: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12,593</w:t>
            </w:r>
          </w:p>
        </w:tc>
      </w:tr>
      <w:tr>
        <w:trPr>
          <w:trHeight w:val="223"/>
        </w:trPr>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7,816,761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7,381,922</w:t>
            </w: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(5,256,566)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(4,977,072)</w:t>
            </w:r>
          </w:p>
        </w:tc>
      </w:tr>
      <w:tr>
        <w:trPr>
          <w:trHeight w:val="223"/>
        </w:trPr>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2,560,195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2,404,850</w:t>
            </w:r>
          </w:p>
        </w:tc>
      </w:tr>
      <w:tr>
        <w:trPr>
          <w:trHeight w:val="20"/>
        </w:trPr>
        <w:tc>
          <w:tcPr>
            <w:tcW w:w="7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depreciation expense: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60" w:type="dxa"/>
            <w:vAlign w:val="bottom"/>
          </w:tcPr>
          <w:p>
            <w:pPr>
              <w:spacing w:after="0"/>
              <w:rPr>
                <w:sz w:val="16"/>
                <w:szCs w:val="16"/>
                <w:color w:val="auto"/>
              </w:rPr>
            </w:pPr>
          </w:p>
        </w:tc>
      </w:tr>
      <w:tr>
        <w:trPr>
          <w:trHeight w:val="188"/>
        </w:trPr>
        <w:tc>
          <w:tcPr>
            <w:tcW w:w="6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6"/>
                <w:szCs w:val="16"/>
                <w:color w:val="auto"/>
              </w:rPr>
            </w:pPr>
          </w:p>
        </w:tc>
      </w:tr>
      <w:tr>
        <w:trPr>
          <w:trHeight w:val="183"/>
        </w:trPr>
        <w:tc>
          <w:tcPr>
            <w:tcW w:w="6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20" w:type="dxa"/>
            <w:vAlign w:val="bottom"/>
            <w:gridSpan w:val="6"/>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29"/>
        </w:trPr>
        <w:tc>
          <w:tcPr>
            <w:tcW w:w="60" w:type="dxa"/>
            <w:vAlign w:val="bottom"/>
          </w:tcPr>
          <w:p>
            <w:pPr>
              <w:spacing w:after="0"/>
              <w:rPr>
                <w:sz w:val="19"/>
                <w:szCs w:val="19"/>
                <w:color w:val="auto"/>
              </w:rPr>
            </w:pPr>
          </w:p>
        </w:tc>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129,530</w:t>
            </w:r>
          </w:p>
        </w:tc>
        <w:tc>
          <w:tcPr>
            <w:tcW w:w="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128,846</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377,254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396,984</w:t>
            </w:r>
          </w:p>
        </w:tc>
        <w:tc>
          <w:tcPr>
            <w:tcW w:w="60" w:type="dxa"/>
            <w:vAlign w:val="bottom"/>
          </w:tcPr>
          <w:p>
            <w:pPr>
              <w:spacing w:after="0"/>
              <w:rPr>
                <w:sz w:val="19"/>
                <w:szCs w:val="19"/>
                <w:color w:val="auto"/>
              </w:rPr>
            </w:pPr>
          </w:p>
        </w:tc>
      </w:tr>
      <w:tr>
        <w:trPr>
          <w:trHeight w:val="783"/>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10.  Accrued Expenses</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78"/>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 consist of the following:</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73"/>
        </w:trPr>
        <w:tc>
          <w:tcPr>
            <w:tcW w:w="6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60" w:type="dxa"/>
            <w:vAlign w:val="bottom"/>
            <w:tcBorders>
              <w:bottom w:val="single" w:sz="8" w:color="auto"/>
            </w:tcBorders>
          </w:tcPr>
          <w:p>
            <w:pPr>
              <w:spacing w:after="0"/>
              <w:rPr>
                <w:sz w:val="24"/>
                <w:szCs w:val="24"/>
                <w:color w:val="auto"/>
              </w:rPr>
            </w:pPr>
          </w:p>
        </w:tc>
      </w:tr>
      <w:tr>
        <w:trPr>
          <w:trHeight w:val="188"/>
        </w:trPr>
        <w:tc>
          <w:tcPr>
            <w:tcW w:w="6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0" w:type="dxa"/>
            <w:vAlign w:val="bottom"/>
            <w:gridSpan w:val="4"/>
          </w:tcPr>
          <w:p>
            <w:pPr>
              <w:jc w:val="right"/>
              <w:ind w:right="117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6"/>
                <w:szCs w:val="16"/>
                <w:color w:val="auto"/>
              </w:rPr>
            </w:pPr>
          </w:p>
        </w:tc>
      </w:tr>
      <w:tr>
        <w:trPr>
          <w:trHeight w:val="229"/>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 and benefits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115,693</w:t>
            </w:r>
          </w:p>
        </w:tc>
        <w:tc>
          <w:tcPr>
            <w:tcW w:w="60" w:type="dxa"/>
            <w:vAlign w:val="bottom"/>
            <w:shd w:val="clear" w:color="auto" w:fill="CCEEFF"/>
          </w:tcPr>
          <w:p>
            <w:pPr>
              <w:spacing w:after="0"/>
              <w:rPr>
                <w:sz w:val="19"/>
                <w:szCs w:val="19"/>
                <w:color w:val="auto"/>
              </w:rPr>
            </w:pPr>
          </w:p>
        </w:tc>
      </w:tr>
      <w:tr>
        <w:trPr>
          <w:trHeight w:val="257"/>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1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47,265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40,972</w:t>
            </w:r>
          </w:p>
        </w:tc>
        <w:tc>
          <w:tcPr>
            <w:tcW w:w="60" w:type="dxa"/>
            <w:vAlign w:val="bottom"/>
          </w:tcPr>
          <w:p>
            <w:pPr>
              <w:spacing w:after="0"/>
              <w:rPr>
                <w:sz w:val="22"/>
                <w:szCs w:val="22"/>
                <w:color w:val="auto"/>
              </w:rPr>
            </w:pPr>
          </w:p>
        </w:tc>
      </w:tr>
      <w:tr>
        <w:trPr>
          <w:trHeight w:val="23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and customer advances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16,177</w:t>
            </w:r>
          </w:p>
        </w:tc>
        <w:tc>
          <w:tcPr>
            <w:tcW w:w="60" w:type="dxa"/>
            <w:vAlign w:val="bottom"/>
            <w:shd w:val="clear" w:color="auto" w:fill="CCEEFF"/>
          </w:tcPr>
          <w:p>
            <w:pPr>
              <w:spacing w:after="0"/>
              <w:rPr>
                <w:sz w:val="19"/>
                <w:szCs w:val="19"/>
                <w:color w:val="auto"/>
              </w:rPr>
            </w:pPr>
          </w:p>
        </w:tc>
      </w:tr>
      <w:tr>
        <w:trPr>
          <w:trHeight w:val="229"/>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11,661</w:t>
            </w:r>
          </w:p>
        </w:tc>
        <w:tc>
          <w:tcPr>
            <w:tcW w:w="60" w:type="dxa"/>
            <w:vAlign w:val="bottom"/>
          </w:tcPr>
          <w:p>
            <w:pPr>
              <w:spacing w:after="0"/>
              <w:rPr>
                <w:sz w:val="19"/>
                <w:szCs w:val="19"/>
                <w:color w:val="auto"/>
              </w:rPr>
            </w:pPr>
          </w:p>
        </w:tc>
      </w:tr>
      <w:tr>
        <w:trPr>
          <w:trHeight w:val="229"/>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severance plan obligations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13,408</w:t>
            </w:r>
          </w:p>
        </w:tc>
        <w:tc>
          <w:tcPr>
            <w:tcW w:w="60" w:type="dxa"/>
            <w:vAlign w:val="bottom"/>
            <w:shd w:val="clear" w:color="auto" w:fill="CCEEFF"/>
          </w:tcPr>
          <w:p>
            <w:pPr>
              <w:spacing w:after="0"/>
              <w:rPr>
                <w:sz w:val="19"/>
                <w:szCs w:val="19"/>
                <w:color w:val="auto"/>
              </w:rPr>
            </w:pPr>
          </w:p>
        </w:tc>
      </w:tr>
      <w:tr>
        <w:trPr>
          <w:trHeight w:val="23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finance lease liabilities</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9,121</w:t>
            </w:r>
          </w:p>
        </w:tc>
        <w:tc>
          <w:tcPr>
            <w:tcW w:w="60" w:type="dxa"/>
            <w:vAlign w:val="bottom"/>
          </w:tcPr>
          <w:p>
            <w:pPr>
              <w:spacing w:after="0"/>
              <w:rPr>
                <w:sz w:val="19"/>
                <w:szCs w:val="19"/>
                <w:color w:val="auto"/>
              </w:rPr>
            </w:pPr>
          </w:p>
        </w:tc>
      </w:tr>
      <w:tr>
        <w:trPr>
          <w:trHeight w:val="229"/>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11,638</w:t>
            </w:r>
          </w:p>
        </w:tc>
        <w:tc>
          <w:tcPr>
            <w:tcW w:w="60" w:type="dxa"/>
            <w:vAlign w:val="bottom"/>
            <w:shd w:val="clear" w:color="auto" w:fill="CCEEFF"/>
          </w:tcPr>
          <w:p>
            <w:pPr>
              <w:spacing w:after="0"/>
              <w:rPr>
                <w:sz w:val="19"/>
                <w:szCs w:val="19"/>
                <w:color w:val="auto"/>
              </w:rPr>
            </w:pPr>
          </w:p>
        </w:tc>
      </w:tr>
      <w:tr>
        <w:trPr>
          <w:trHeight w:val="229"/>
        </w:trPr>
        <w:tc>
          <w:tcPr>
            <w:tcW w:w="4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1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55,354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48,556</w:t>
            </w:r>
          </w:p>
        </w:tc>
        <w:tc>
          <w:tcPr>
            <w:tcW w:w="60" w:type="dxa"/>
            <w:vAlign w:val="bottom"/>
            <w:tcBorders>
              <w:bottom w:val="single" w:sz="8" w:color="auto"/>
            </w:tcBorders>
          </w:tcPr>
          <w:p>
            <w:pPr>
              <w:spacing w:after="0"/>
              <w:rPr>
                <w:sz w:val="19"/>
                <w:szCs w:val="19"/>
                <w:color w:val="auto"/>
              </w:rPr>
            </w:pPr>
          </w:p>
        </w:tc>
      </w:tr>
      <w:tr>
        <w:trPr>
          <w:trHeight w:val="248"/>
        </w:trPr>
        <w:tc>
          <w:tcPr>
            <w:tcW w:w="6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accrued expenses</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267,226</w:t>
            </w:r>
          </w:p>
        </w:tc>
        <w:tc>
          <w:tcPr>
            <w:tcW w:w="60" w:type="dxa"/>
            <w:vAlign w:val="bottom"/>
            <w:tcBorders>
              <w:bottom w:val="single" w:sz="8" w:color="auto"/>
            </w:tcBorders>
            <w:shd w:val="clear" w:color="auto" w:fill="CCEEFF"/>
          </w:tcPr>
          <w:p>
            <w:pPr>
              <w:spacing w:after="0"/>
              <w:rPr>
                <w:sz w:val="21"/>
                <w:szCs w:val="2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4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11.</w:t>
        <w:tab/>
        <w:t>Debt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summary of short-term borrowings and long-term debt: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188"/>
        </w:trPr>
        <w:tc>
          <w:tcPr>
            <w:tcW w:w="8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80" w:type="dxa"/>
            <w:vAlign w:val="bottom"/>
            <w:gridSpan w:val="4"/>
          </w:tcPr>
          <w:p>
            <w:pPr>
              <w:jc w:val="right"/>
              <w:ind w:right="107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of Amkor Technology, Inc.:</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Senior notes: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6.625% Senior notes, due September 2027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525,000</w:t>
            </w:r>
          </w:p>
        </w:tc>
        <w:tc>
          <w:tcPr>
            <w:tcW w:w="0" w:type="dxa"/>
            <w:vAlign w:val="bottom"/>
          </w:tcPr>
          <w:p>
            <w:pPr>
              <w:spacing w:after="0"/>
              <w:rPr>
                <w:sz w:val="1"/>
                <w:szCs w:val="1"/>
                <w:color w:val="auto"/>
              </w:rPr>
            </w:pPr>
          </w:p>
        </w:tc>
      </w:tr>
      <w:tr>
        <w:trPr>
          <w:trHeight w:val="229"/>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of subsidiaries: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Amkor Technology Korea, Inc.:</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$30 million revolving credit facility, LIBOR plus the applicable bank rate (1)</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$30 million revolving credit facility, applicable bank rate plus 1.51% (2)</w:t>
            </w: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Term loan, fund floating rate plus 1.60%, due June 2020 (3)</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0" w:type="dxa"/>
            <w:vAlign w:val="bottom"/>
          </w:tcPr>
          <w:p>
            <w:pPr>
              <w:spacing w:after="0"/>
              <w:rPr>
                <w:sz w:val="1"/>
                <w:szCs w:val="1"/>
                <w:color w:val="auto"/>
              </w:rPr>
            </w:pPr>
          </w:p>
        </w:tc>
      </w:tr>
      <w:tr>
        <w:trPr>
          <w:trHeight w:val="229"/>
        </w:trPr>
        <w:tc>
          <w:tcPr>
            <w:tcW w:w="8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Term loan, fixed rate at 1.80%, due May 2021 (4)</w:t>
            </w: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Term loan, applicable bank rate plus 2.03%, due July 2022 (5)</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0" w:type="dxa"/>
            <w:vAlign w:val="bottom"/>
          </w:tcPr>
          <w:p>
            <w:pPr>
              <w:spacing w:after="0"/>
              <w:rPr>
                <w:sz w:val="1"/>
                <w:szCs w:val="1"/>
                <w:color w:val="auto"/>
              </w:rPr>
            </w:pPr>
          </w:p>
        </w:tc>
      </w:tr>
      <w:tr>
        <w:trPr>
          <w:trHeight w:val="229"/>
        </w:trPr>
        <w:tc>
          <w:tcPr>
            <w:tcW w:w="8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Term loan, applicable bank rate plus 2.03%, due September 2022 (6)</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Term loan, applicable bank rate plus 1.77%, due April 2023 (7)</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Term loan, LIBOR plus 2.56%, due December 2023 (8)</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Term loan, applicable bank rate plus 1.98%, due December 2028 (3)</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66,000</w:t>
            </w:r>
          </w:p>
        </w:tc>
        <w:tc>
          <w:tcPr>
            <w:tcW w:w="0" w:type="dxa"/>
            <w:vAlign w:val="bottom"/>
          </w:tcPr>
          <w:p>
            <w:pPr>
              <w:spacing w:after="0"/>
              <w:rPr>
                <w:sz w:val="1"/>
                <w:szCs w:val="1"/>
                <w:color w:val="auto"/>
              </w:rPr>
            </w:pPr>
          </w:p>
        </w:tc>
      </w:tr>
      <w:tr>
        <w:trPr>
          <w:trHeight w:val="230"/>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Amkor Technology Japan, Inc.:</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Short-term term loans, variable rate (9)</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7,071</w:t>
            </w:r>
          </w:p>
        </w:tc>
        <w:tc>
          <w:tcPr>
            <w:tcW w:w="0" w:type="dxa"/>
            <w:vAlign w:val="bottom"/>
          </w:tcPr>
          <w:p>
            <w:pPr>
              <w:spacing w:after="0"/>
              <w:rPr>
                <w:sz w:val="1"/>
                <w:szCs w:val="1"/>
                <w:color w:val="auto"/>
              </w:rPr>
            </w:pPr>
          </w:p>
        </w:tc>
      </w:tr>
      <w:tr>
        <w:trPr>
          <w:trHeight w:val="230"/>
        </w:trPr>
        <w:tc>
          <w:tcPr>
            <w:tcW w:w="8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Term loan, fixed rate at 0.86%, due June 2022</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23,018</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Term loan, fixed rate at 0.60%, due July 2022</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5,064</w:t>
            </w:r>
          </w:p>
        </w:tc>
        <w:tc>
          <w:tcPr>
            <w:tcW w:w="0" w:type="dxa"/>
            <w:vAlign w:val="bottom"/>
          </w:tcPr>
          <w:p>
            <w:pPr>
              <w:spacing w:after="0"/>
              <w:rPr>
                <w:sz w:val="1"/>
                <w:szCs w:val="1"/>
                <w:color w:val="auto"/>
              </w:rPr>
            </w:pPr>
          </w:p>
        </w:tc>
      </w:tr>
      <w:tr>
        <w:trPr>
          <w:trHeight w:val="229"/>
        </w:trPr>
        <w:tc>
          <w:tcPr>
            <w:tcW w:w="8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Term loan, fixed rate at 1.30%, due July 2023</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179,541</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Term loan, fixed rate at 1.35%, due December 2024 (8)</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262,407</w:t>
            </w:r>
          </w:p>
        </w:tc>
        <w:tc>
          <w:tcPr>
            <w:tcW w:w="0" w:type="dxa"/>
            <w:vAlign w:val="bottom"/>
          </w:tcPr>
          <w:p>
            <w:pPr>
              <w:spacing w:after="0"/>
              <w:rPr>
                <w:sz w:val="1"/>
                <w:szCs w:val="1"/>
                <w:color w:val="auto"/>
              </w:rPr>
            </w:pPr>
          </w:p>
        </w:tc>
      </w:tr>
      <w:tr>
        <w:trPr>
          <w:trHeight w:val="230"/>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Amkor Assembly &amp; Test (Shanghai) Co., Ltd.:</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Term loan, LIBOR plus 1.60%, due March 2022</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29,000</w:t>
            </w:r>
          </w:p>
        </w:tc>
        <w:tc>
          <w:tcPr>
            <w:tcW w:w="0" w:type="dxa"/>
            <w:vAlign w:val="bottom"/>
          </w:tcPr>
          <w:p>
            <w:pPr>
              <w:spacing w:after="0"/>
              <w:rPr>
                <w:sz w:val="1"/>
                <w:szCs w:val="1"/>
                <w:color w:val="auto"/>
              </w:rPr>
            </w:pPr>
          </w:p>
        </w:tc>
      </w:tr>
      <w:tr>
        <w:trPr>
          <w:trHeight w:val="230"/>
        </w:trPr>
        <w:tc>
          <w:tcPr>
            <w:tcW w:w="8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Term loan, LIBOR Plus 1.40%, due March 2022</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480"/>
              <w:spacing w:after="0" w:line="176" w:lineRule="exact"/>
              <w:rPr>
                <w:sz w:val="20"/>
                <w:szCs w:val="20"/>
                <w:color w:val="auto"/>
              </w:rPr>
            </w:pPr>
            <w:r>
              <w:rPr>
                <w:rFonts w:ascii="Times New Roman" w:cs="Times New Roman" w:eastAsia="Times New Roman" w:hAnsi="Times New Roman"/>
                <w:sz w:val="18"/>
                <w:szCs w:val="18"/>
                <w:color w:val="auto"/>
              </w:rPr>
              <w:t>$250.0 million senior secured revolving credit facility, LIBOR plus 1.25% - 1.75%, due July 2023</w:t>
            </w:r>
          </w:p>
        </w:tc>
        <w:tc>
          <w:tcPr>
            <w:tcW w:w="140" w:type="dxa"/>
            <w:vAlign w:val="bottom"/>
          </w:tcPr>
          <w:p>
            <w:pPr>
              <w:spacing w:after="0"/>
              <w:rPr>
                <w:sz w:val="15"/>
                <w:szCs w:val="15"/>
                <w:color w:val="auto"/>
              </w:rPr>
            </w:pPr>
          </w:p>
        </w:tc>
        <w:tc>
          <w:tcPr>
            <w:tcW w:w="15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(Singapore) (10)</w:t>
            </w:r>
          </w:p>
        </w:tc>
        <w:tc>
          <w:tcPr>
            <w:tcW w:w="140" w:type="dxa"/>
            <w:vAlign w:val="bottom"/>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Credit facility, TAIFX plus the applicable bank rate, due December 2024 (Taiwan) (11)</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223"/>
        </w:trPr>
        <w:tc>
          <w:tcPr>
            <w:tcW w:w="80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1,328,191</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1,460,351</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discount and deferred debt costs, net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(10,117)</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Short-term borrowings and current portion of long-term debt</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(136,526)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(144,479)</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1,182,573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1,305,755</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60" w:hanging="328"/>
        <w:spacing w:after="0" w:line="261" w:lineRule="auto"/>
        <w:tabs>
          <w:tab w:leader="none" w:pos="65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2019, we renewed our revolving credit facility agreement for a one-year term with availability of $30.0 million. Principal is payable at maturity, six months after draw of funds, and interest is payable monthly in arrears. During the nine months ended September 30, 2020, we borrowed $60.0 million and repaid the full $60.0 million. As of September 30, 2020, $30.0 million was available to be drawn. In October 2020, this revolving credit facility was renewed for one year with availability of $30.0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jc w:val="both"/>
        <w:ind w:left="660" w:hanging="328"/>
        <w:spacing w:after="0" w:line="266" w:lineRule="auto"/>
        <w:tabs>
          <w:tab w:leader="none" w:pos="65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2020, we entered into a revolving credit facility agreement with availability of $30.0 million which expires in December 2020. Principal is payable at maturity and interest is payable monthly in arrears, at an applicable bank rate plus 1.51%. During the nine months ended September 30, 2020, we borrowed the $30.0 million and repaid the full $30.0 million. As of September 30, 2020, $30.0 million was available to be drawn.</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2018, we entered into a term loan agreement pursuant to which we may borrow up to $90.0 million for capital expenditures. Principal is payable in semiannual installments and interest is payable quarterly in arrears (fixed at a weighted average of 4.21% as of September 30, 2020). During the nine months ended September 30, 2020, we drew down the remaining $24.0 million to repay our term loan due June 2020.</w:t>
      </w:r>
    </w:p>
    <w:p>
      <w:pPr>
        <w:spacing w:after="0" w:line="93" w:lineRule="exact"/>
        <w:rPr>
          <w:rFonts w:ascii="Times New Roman" w:cs="Times New Roman" w:eastAsia="Times New Roman" w:hAnsi="Times New Roman"/>
          <w:sz w:val="18"/>
          <w:szCs w:val="18"/>
          <w:color w:val="auto"/>
        </w:rPr>
      </w:pPr>
    </w:p>
    <w:p>
      <w:pPr>
        <w:jc w:val="both"/>
        <w:ind w:left="660" w:hanging="328"/>
        <w:spacing w:after="0" w:line="293" w:lineRule="auto"/>
        <w:tabs>
          <w:tab w:leader="none" w:pos="65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May 2020, we entered into a KRW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60 billion term loan agreement with the option to re-borrow the funds through May 2021. Principal is payable at maturity and interest is payable monthly in arrears, at a fixed rate of 1.80%. During the nine months ended September 30, 2020, we borrowed and repaid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60 billion ($48.4 million). As of September 30, 2020, </w:t>
      </w:r>
      <w:r>
        <w:rPr>
          <w:rFonts w:ascii="Arial" w:cs="Arial" w:eastAsia="Arial" w:hAnsi="Arial"/>
          <w:sz w:val="18"/>
          <w:szCs w:val="18"/>
          <w:color w:val="auto"/>
        </w:rPr>
        <w:t>₩</w:t>
      </w:r>
      <w:r>
        <w:rPr>
          <w:rFonts w:ascii="Times New Roman" w:cs="Times New Roman" w:eastAsia="Times New Roman" w:hAnsi="Times New Roman"/>
          <w:sz w:val="18"/>
          <w:szCs w:val="18"/>
          <w:color w:val="auto"/>
        </w:rPr>
        <w:t>60 billion was available to be drawn.</w:t>
      </w:r>
    </w:p>
    <w:p>
      <w:pPr>
        <w:spacing w:after="0" w:line="78"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2019, we entered into a $40.0 million term loan due July 2022. During the nine months ended September 30, 2020, we repaid the full $40.0 million term loan.</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2019, we entered into a $140.0 million term loan due September 2022. Principal is payable at maturity, and interest is payable quarterly in arrears (fixed at a weighted average of 2.68% as of September 30, 2020). During the nine months ended September 30, 2020, we borrowed the remaining $80.0 million available under this loan and repaid $40.0 million.</w:t>
      </w:r>
    </w:p>
    <w:p>
      <w:pPr>
        <w:spacing w:after="0" w:line="93" w:lineRule="exact"/>
        <w:rPr>
          <w:rFonts w:ascii="Times New Roman" w:cs="Times New Roman" w:eastAsia="Times New Roman" w:hAnsi="Times New Roman"/>
          <w:sz w:val="18"/>
          <w:szCs w:val="18"/>
          <w:color w:val="auto"/>
        </w:rPr>
      </w:pPr>
    </w:p>
    <w:p>
      <w:pPr>
        <w:ind w:left="660" w:right="20" w:hanging="328"/>
        <w:spacing w:after="0" w:line="336" w:lineRule="auto"/>
        <w:tabs>
          <w:tab w:leader="none" w:pos="65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April 2020, we entered into a KRW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150 billion term loan due April 2023. Principal is payable at maturity and interest is payable monthly in arrears (2.56% as of September 30, 2020). We immediately borrowed the full </w:t>
      </w:r>
      <w:r>
        <w:rPr>
          <w:rFonts w:ascii="Arial" w:cs="Arial" w:eastAsia="Arial" w:hAnsi="Arial"/>
          <w:sz w:val="18"/>
          <w:szCs w:val="18"/>
          <w:color w:val="auto"/>
        </w:rPr>
        <w:t>₩</w:t>
      </w:r>
      <w:r>
        <w:rPr>
          <w:rFonts w:ascii="Times New Roman" w:cs="Times New Roman" w:eastAsia="Times New Roman" w:hAnsi="Times New Roman"/>
          <w:sz w:val="18"/>
          <w:szCs w:val="18"/>
          <w:color w:val="auto"/>
        </w:rPr>
        <w:t>150 billion.</w:t>
      </w:r>
    </w:p>
    <w:p>
      <w:pPr>
        <w:spacing w:after="0" w:line="40"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2020, we used proceeds from our term loan due December 2024 to repay $120.0 million of our term loan due December 2023. During the nine months ended September 30, 2020, we repaid an additional $60.0 million on the term loan due December 2023.</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entered into various short-term term loans which mature semiannually. Principal and interest are payable in monthly installments. Interest as of September 30, 2020 is at TIBOR plus 0.15% to 0.30% (weighted average of 0.26% as of September 30, 2020). As of September 30, 2020, $4.7 million was available to be drawn.</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4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2018, our subsidiary, Amkor Technology Singapore Holding Pte, Ltd., entered into a $250.0 million senior secured revolving credit facility, which is guaranteed by Amkor Technology, Inc. The availability for our revolving credit facility is based on the amount of eligible accounts receivable. Principal is payable at maturity. Interest is payable monthly at LIBOR plus 1.25% to 1.75%. During the nine months ended September 30, 2020, we borrowed and repaid $150.0 million. As of September 30, 2020, $250.0 million was available to be drawn.</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4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2019, we entered into a $56.0 million borrowing arrangement. This arrangement includes a $20.0 million term loan and a $36.0 million revolving credit facility. During the nine months ended September 30, 2020, we borrowed $72.0 million and repaid $92.0 million. As of September 30, 2020, $36.0 million was available to be drawn.</w:t>
      </w:r>
    </w:p>
    <w:p>
      <w:pPr>
        <w:spacing w:after="0" w:line="12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Certain of our foreign debt is collateralized by the land, buildings, equipment and accounts receivable in the respective locations. The carrying value of all collateral exceeds the carrying amount of the collateralized debt.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debt of Amkor Technology, Inc. is structurally subordinated in right of payment to all existing and future debt and other liabilities of our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Amkor Technology, Inc. and Amkor Technology Singapore Holding Pte, Ltd. guarantee certain debt of our subsidiaries.</w:t>
      </w:r>
    </w:p>
    <w:p>
      <w:pPr>
        <w:spacing w:after="0" w:line="15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agreements governing our indebtedness contain affirmative and negative covenants which restrict our ability to pay dividends and could restrict our operations. These restrictions are determined in part by calculations based upon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cumulative net income or, in the case of our Singapore Revolver, borrowing availability. Dividend payments and stock repurchases are not currently restricted under our debt agreements.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were in compliance with all debt covenants at September 30, 2020.</w:t>
      </w:r>
    </w:p>
    <w:p>
      <w:pPr>
        <w:spacing w:after="0" w:line="200" w:lineRule="exact"/>
        <w:rPr>
          <w:sz w:val="20"/>
          <w:szCs w:val="20"/>
          <w:color w:val="auto"/>
        </w:rPr>
      </w:pPr>
    </w:p>
    <w:p>
      <w:pPr>
        <w:spacing w:after="0" w:line="37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Pension Plans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Defined Benefit Pension Plans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subsidiaries in Japan, Korea, Malaysia, the Philippines and Taiwan sponsor defined benefit pension plans. Charges to expense are based upon actuarial analyses. The components of net periodic pension cost for these defined benefit pension plans are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40" w:type="dxa"/>
            <w:vAlign w:val="bottom"/>
          </w:tcPr>
          <w:p>
            <w:pPr>
              <w:spacing w:after="0"/>
              <w:rPr>
                <w:sz w:val="16"/>
                <w:szCs w:val="16"/>
                <w:color w:val="auto"/>
              </w:rPr>
            </w:pPr>
          </w:p>
        </w:tc>
        <w:tc>
          <w:tcPr>
            <w:tcW w:w="330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00" w:type="dxa"/>
            <w:vAlign w:val="bottom"/>
          </w:tcPr>
          <w:p>
            <w:pPr>
              <w:spacing w:after="0"/>
              <w:rPr>
                <w:sz w:val="16"/>
                <w:szCs w:val="16"/>
                <w:color w:val="auto"/>
              </w:rPr>
            </w:pPr>
          </w:p>
        </w:tc>
        <w:tc>
          <w:tcPr>
            <w:tcW w:w="3000" w:type="dxa"/>
            <w:vAlign w:val="bottom"/>
            <w:gridSpan w:val="4"/>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188"/>
        </w:trPr>
        <w:tc>
          <w:tcPr>
            <w:tcW w:w="4740" w:type="dxa"/>
            <w:vAlign w:val="bottom"/>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8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83"/>
        </w:trPr>
        <w:tc>
          <w:tcPr>
            <w:tcW w:w="4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92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96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23,513</w:t>
            </w: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3,926</w:t>
            </w: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(4,798)</w:t>
            </w:r>
          </w:p>
        </w:tc>
      </w:tr>
      <w:tr>
        <w:trPr>
          <w:trHeight w:val="229"/>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Recognized actuarial gain</w:t>
            </w: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48"/>
        </w:trPr>
        <w:tc>
          <w:tcPr>
            <w:tcW w:w="47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periodic pension cost</w:t>
            </w: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22,359</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components of net periodic pension cost other than the service cost component are included in other (income) expense, net in our Consolidated Statements of Income.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Pension Plans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sponsor defined contribution pension plans in Korea, Malaysia, Taiwan and the U.S. The following table summarizes our defined contribution expense: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00" w:type="dxa"/>
            <w:vAlign w:val="bottom"/>
          </w:tcPr>
          <w:p>
            <w:pPr>
              <w:spacing w:after="0"/>
              <w:rPr>
                <w:sz w:val="16"/>
                <w:szCs w:val="16"/>
                <w:color w:val="auto"/>
              </w:rPr>
            </w:pPr>
          </w:p>
        </w:tc>
        <w:tc>
          <w:tcPr>
            <w:tcW w:w="3000" w:type="dxa"/>
            <w:vAlign w:val="bottom"/>
            <w:gridSpan w:val="3"/>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187"/>
        </w:trPr>
        <w:tc>
          <w:tcPr>
            <w:tcW w:w="474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400" w:type="dxa"/>
            <w:vAlign w:val="bottom"/>
            <w:tcBorders>
              <w:top w:val="single" w:sz="8" w:color="auto"/>
              <w:bottom w:val="single" w:sz="8" w:color="auto"/>
            </w:tcBorders>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2020</w:t>
            </w:r>
          </w:p>
        </w:tc>
        <w:tc>
          <w:tcPr>
            <w:tcW w:w="4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2020</w:t>
            </w:r>
          </w:p>
        </w:tc>
        <w:tc>
          <w:tcPr>
            <w:tcW w:w="4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83"/>
        </w:trPr>
        <w:tc>
          <w:tcPr>
            <w:tcW w:w="4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40" w:type="dxa"/>
            <w:vAlign w:val="bottom"/>
            <w:gridSpan w:val="4"/>
          </w:tcPr>
          <w:p>
            <w:pPr>
              <w:jc w:val="right"/>
              <w:ind w:right="108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Defined contribution expense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3,618</w:t>
            </w:r>
          </w:p>
        </w:tc>
        <w:tc>
          <w:tcPr>
            <w:tcW w:w="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2,952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12,159</w:t>
            </w:r>
          </w:p>
        </w:tc>
        <w:tc>
          <w:tcPr>
            <w:tcW w:w="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10,708</w:t>
            </w: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Korean Severance Plan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October 2020, some employees accepted our offer to convert their Korean severance and defined benefit pension plan participation to a defined contribution plan. This will result in the conversion of approximately $30 million of obligations from our Korean severance plan to a defined contribution plan, which is expected to be funded during the fourth quarter of 2020.</w:t>
      </w:r>
    </w:p>
    <w:p>
      <w:pPr>
        <w:spacing w:after="0" w:line="19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Level 1, defined as quoted market prices in active markets for identical assets or liabilities; Level 2, defined as inputs other than Level 1 that are observable, either directly or indirectly, such as quoted prices for similar assets or liabilities, quoted prices in markets that are not active, model-based valuation techniques for which all significant assumptions are observable in the market or other inputs that are observable or can be corroborated by observable market data for substantially the full term of the assets or liabilities; and Level 3, defined as unobservable inputs that are not corroborated by market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fair values of cash, accounts receivable, trade accounts payable, capital expenditures payable, and certain other current assets and accrued expenses, approximate carrying values because of their short-term nature. The carrying value of certain other non-current assets and liabilities approximates fair value. Our assets and liabilities recorded at fair value on a recurring basis include restricted cash money market funds and short-term investments, including investments classified as cash equivalents. We also review goodwill for impairment annually during the fourth quarter of each year. Cash equivalent money market funds and restricted cash money market funds are invested in U.S. money market funds and various U.S. and foreign bank operating and time deposit accounts, which are due on demand or carry a maturity date of less than three months when purchased. No restrictions have been imposed on us regarding withdrawal of balances with respect to our cash equivalents as a result of liquidity or other credit market issues affecting the money market funds we invest in or the counterparty financial institutions holding our deposits. Short-term investments, including money market funds (Note 7), are valued as follows:</w:t>
      </w:r>
    </w:p>
    <w:p>
      <w:pPr>
        <w:spacing w:after="0" w:line="134"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using quoted market prices in active markets for identical assets.</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using quoted market prices for similar instruments or non-binding market prices that are corroborated by observable market data. We use inputs such as actual trade data, benchmark yields, broker/dealer quotes, and other similar data, which are obtained from quoted market prices, and independent pricing vendors to determine the fair value of these assets and liabilities.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derivative financial instruments are valued using quoted market prices for similar assets. Counterparties to these derivative contracts are highly rated financial institutions.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measure certain assets and liabilities, including property, plant and equipment and goodwill, at fair value on a nonrecurring basis.</w:t>
      </w:r>
    </w:p>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measure the fair value of our debt for disclosure purposes. The following table presents the fair value of financial instruments that are not recorded at fair value on a recurring basis: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6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420" w:type="dxa"/>
            <w:vAlign w:val="bottom"/>
          </w:tcPr>
          <w:p>
            <w:pPr>
              <w:spacing w:after="0"/>
              <w:rPr>
                <w:sz w:val="16"/>
                <w:szCs w:val="16"/>
                <w:color w:val="auto"/>
              </w:rPr>
            </w:pPr>
          </w:p>
        </w:tc>
        <w:tc>
          <w:tcPr>
            <w:tcW w:w="2720" w:type="dxa"/>
            <w:vAlign w:val="bottom"/>
            <w:gridSpan w:val="4"/>
          </w:tcPr>
          <w:p>
            <w:pPr>
              <w:jc w:val="right"/>
              <w:ind w:right="895"/>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188"/>
        </w:trPr>
        <w:tc>
          <w:tcPr>
            <w:tcW w:w="486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00" w:type="dxa"/>
            <w:vAlign w:val="bottom"/>
            <w:tcBorders>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Carrying Value</w:t>
            </w:r>
          </w:p>
        </w:tc>
      </w:tr>
      <w:tr>
        <w:trPr>
          <w:trHeight w:val="183"/>
        </w:trPr>
        <w:tc>
          <w:tcPr>
            <w:tcW w:w="4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(Level 1)</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564,916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519,651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576,875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519,211</w:t>
            </w:r>
          </w:p>
        </w:tc>
      </w:tr>
      <w:tr>
        <w:trPr>
          <w:trHeight w:val="230"/>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Revolving credit facilities and term loans (Level 2)</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812,070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799,448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940,756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931,023</w:t>
            </w:r>
          </w:p>
        </w:tc>
      </w:tr>
      <w:tr>
        <w:trPr>
          <w:trHeight w:val="248"/>
        </w:trPr>
        <w:tc>
          <w:tcPr>
            <w:tcW w:w="4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debt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1,376,986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1,319,099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1,517,631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1,450,234</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estimated fair value of our senior notes is based primarily on quoted market prices reported on or near the respective balance sheet dates. The estimated fair value of our revolving credit facilities and term loans is calculated using a discounted cash flow analysis, which utilizes market-based assumptions including forward interest rates adjusted for credit risk.</w:t>
      </w:r>
    </w:p>
    <w:p>
      <w:pPr>
        <w:spacing w:after="0" w:line="36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generally warrant that our services will be performed in a professional and workmanlike manner and in compliance with our customers’ specifications.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accrue costs for known warranty issues. Historically, our warranty costs have been immaterial.</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involved in claims and legal proceedings and may become involved in other legal matters arising in the ordinary course of our business. We evaluate these claims and legal matters on a case-by-case basis to make a determination as to the impact, if any, on our business, liquidity, results of operations, financial condition or cash flows. Although the outcome of these matters is uncertain, we believe that the ultimate outcome of these claims and proceedings, individually and in the aggregate, will not have a material adverse impact to us. Our evaluation of the potential impact of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claims and legal proceedings on our business, liquidity, results of operations, financial condition or cash flows could change in the future.</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the accounting guidance for loss contingencies, including legal proceedings, lawsuits, pending claims and other legal matters, we accrue for a loss contingency when we conclude that the likelihood of a loss is probable and the amount of the loss can be reasonably estimated. We adjust our accruals from time to time as we receive additional information, but the loss we incur may be significantly greater than or less than the amount we have accrued. We disclose loss contingencies if we believe they are material and there is at least a reasonable possibility that a loss has been incurred. Attorney fees related to legal matters are expensed as incurred.</w:t>
      </w:r>
    </w:p>
    <w:p>
      <w:pPr>
        <w:spacing w:after="0" w:line="36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Restructuring and Other Exit Activities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our ongoing efforts to improve our manufacturing operations and manage costs, we regularly evaluate our staffing levels and facility requirements compared to business needs. The following table summarizes our exit activities associated with these efforts. “Charges” represents the initial charge related to the exit activity. “Cash Payments” consists of the utilization of “Charges.” “Non-cash Amounts” consists of translation adjustments.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Japan Consolidation Activities</w:t>
      </w:r>
    </w:p>
    <w:p>
      <w:pPr>
        <w:spacing w:after="0" w:line="17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During the three and nine months ended September 30, 2020, we recorded restructuring charges of $5.7 million and $9.5 million, respectively, associated with our Japan factory consolidation efforts. We recorded these charges to selling, general and administrative expenses within the Consolidated Statements of Income. All amounts accrued at September 30, 2020 are classified as current liabilities. We expect to complete these restructuring actions in the first half of fiscal 2021.</w:t>
      </w:r>
    </w:p>
    <w:tbl>
      <w:tblPr>
        <w:tblLayout w:type="fixed"/>
        <w:tblInd w:w="0" w:type="dxa"/>
        <w:tblCellMar>
          <w:top w:w="0" w:type="dxa"/>
          <w:left w:w="0" w:type="dxa"/>
          <w:bottom w:w="0" w:type="dxa"/>
          <w:right w:w="0" w:type="dxa"/>
        </w:tblCellMar>
      </w:tblPr>
      <w:tr>
        <w:trPr>
          <w:trHeight w:val="147"/>
        </w:trPr>
        <w:tc>
          <w:tcPr>
            <w:tcW w:w="4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Facility Costs (1)</w:t>
            </w:r>
          </w:p>
        </w:tc>
        <w:tc>
          <w:tcPr>
            <w:tcW w:w="120" w:type="dxa"/>
            <w:vAlign w:val="bottom"/>
          </w:tcPr>
          <w:p>
            <w:pPr>
              <w:spacing w:after="0"/>
              <w:rPr>
                <w:sz w:val="12"/>
                <w:szCs w:val="12"/>
                <w:color w:val="auto"/>
              </w:rPr>
            </w:pPr>
          </w:p>
        </w:tc>
        <w:tc>
          <w:tcPr>
            <w:tcW w:w="152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color w:val="auto"/>
              </w:rPr>
              <w:t>Employee Separation</w:t>
            </w:r>
          </w:p>
        </w:tc>
        <w:tc>
          <w:tcPr>
            <w:tcW w:w="140" w:type="dxa"/>
            <w:vAlign w:val="bottom"/>
          </w:tcPr>
          <w:p>
            <w:pPr>
              <w:spacing w:after="0"/>
              <w:rPr>
                <w:sz w:val="12"/>
                <w:szCs w:val="12"/>
                <w:color w:val="auto"/>
              </w:rPr>
            </w:pPr>
          </w:p>
        </w:tc>
        <w:tc>
          <w:tcPr>
            <w:tcW w:w="1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Other Exit Costs (2)</w:t>
            </w:r>
          </w:p>
        </w:tc>
        <w:tc>
          <w:tcPr>
            <w:tcW w:w="380" w:type="dxa"/>
            <w:vAlign w:val="bottom"/>
          </w:tcPr>
          <w:p>
            <w:pPr>
              <w:spacing w:after="0"/>
              <w:rPr>
                <w:sz w:val="12"/>
                <w:szCs w:val="12"/>
                <w:color w:val="auto"/>
              </w:rPr>
            </w:pPr>
          </w:p>
        </w:tc>
        <w:tc>
          <w:tcPr>
            <w:tcW w:w="1180" w:type="dxa"/>
            <w:vAlign w:val="bottom"/>
            <w:vMerge w:val="restart"/>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4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7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Accrual at December 31, 2019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w:t>
            </w:r>
          </w:p>
        </w:tc>
        <w:tc>
          <w:tcPr>
            <w:tcW w:w="0" w:type="dxa"/>
            <w:vAlign w:val="bottom"/>
          </w:tcPr>
          <w:p>
            <w:pPr>
              <w:spacing w:after="0"/>
              <w:rPr>
                <w:sz w:val="1"/>
                <w:szCs w:val="1"/>
                <w:color w:val="auto"/>
              </w:rPr>
            </w:pPr>
          </w:p>
        </w:tc>
      </w:tr>
      <w:tr>
        <w:trPr>
          <w:trHeight w:val="230"/>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Charges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9,483</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payments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(8,822)</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Non-cash amounts</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Accrual at September 30, 2020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cumulative charges incurred to date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17,437</w:t>
            </w:r>
          </w:p>
        </w:tc>
        <w:tc>
          <w:tcPr>
            <w:tcW w:w="0" w:type="dxa"/>
            <w:vAlign w:val="bottom"/>
          </w:tcPr>
          <w:p>
            <w:pPr>
              <w:spacing w:after="0"/>
              <w:rPr>
                <w:sz w:val="1"/>
                <w:szCs w:val="1"/>
                <w:color w:val="auto"/>
              </w:rPr>
            </w:pPr>
          </w:p>
        </w:tc>
      </w:tr>
      <w:tr>
        <w:trPr>
          <w:trHeight w:val="234"/>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additional charges to be incurred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640" w:hanging="308"/>
        <w:spacing w:after="0"/>
        <w:tabs>
          <w:tab w:leader="none" w:pos="6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costs primarily consist of equipment relocation costs directly resulting from the restructuring actions.</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exit costs primarily consist of employee relocation and training costs directly resulting from the restructuring actions.</w:t>
      </w:r>
    </w:p>
    <w:p>
      <w:pPr>
        <w:spacing w:after="0" w:line="200" w:lineRule="exact"/>
        <w:rPr>
          <w:rFonts w:ascii="Times New Roman" w:cs="Times New Roman" w:eastAsia="Times New Roman" w:hAnsi="Times New Roman"/>
          <w:sz w:val="18"/>
          <w:szCs w:val="18"/>
          <w:color w:val="auto"/>
        </w:rPr>
      </w:pPr>
    </w:p>
    <w:p>
      <w:pPr>
        <w:spacing w:after="0" w:line="264"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October 26, 2020, we announced that our Board of Directors approved the initiation of a regular quarterly cash dividend on our common stock. The initial quarterly dividend is $0.04 per share and is payable to stockholders of record on December 18, 2020. The initial quarterly dividend payment is expected to be approximately $9.7 million in the aggregate and will be paid on January 7, 2021.</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Amkor is one of the world’s leading providers of outsourced semiconductor packaging and test services. Our financial goals are sales growth and improved profitability. To achieve these goals, we are focused on generating increased value from our investments in advanced technologies, improving utilization of existing assets, executing our balanced growth strategy and selectively growing our scale and scope through strategic investments.</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an industry leader in developing and commercializing cost-effective advanced packaging and test technologies. We believe these advanced technology solutions provide strong value to our customers and that this is particularly true in the mobile communications market, where growth generally outpaces the overall semiconductor industry. Advanced packages are now the preferred choice in both the high-end and the mid-range segments of the smartphone market, which together account for a high portion of mobile phone semiconductor value. The demand for advanced packages is also being driven by second-wave mobile device customers, who are transitioning out of wirebond into wafer-level and flip-chip packages. Interest in advanced packages for automotive applications is growing as well, largely due to new, data-intensive applications, which require increased pin count and performance. We believe that our technology leadership and this technology transition create significant growth opportunities for us.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typically look for opportunities in the advanced packaging and test area where we can generate reasonably quick returns on investments made for customers seeking leading edge technologies. We also focus on developing a second wave of customers to fill the capacity that becomes available when leading edge customers transition to newer packaging and test equipment and platforms. In addition, we are seeking to add new customers and to deepen our engagement with existing customers. This includes an expanded emphasis on the automotive end market where semiconductor content continues to grow and in the analog area for our mainstream wirebond technologies.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identify attractive opportunities to grow our customer base and expand the markets we serve through joint ventures, acquisitions and other strategic investments. For example, in May 2017 we acquired Nanium, which has strengthened our position in the market for wafer-level fan-out packaging, and in December 2015, we completed the acquisition of our Japan operations. We believe that taking advantage of these opportunities helps to diversify our revenue streams, improve our profits, broaden our portfolio of services and maintain our technological leadership.</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supplier in the semiconductor industry, our business is cyclical and impacted by broad economic factors. Historically, there has been a strong correlation between world-wide gross domestic product levels, consumer spending and semiconductor industry cycles. The semiconductor industry has experienced significant and sometimes prolonged cyclical upturns and downturns in the past. While customer demand for our services was strong throughout the third quarter of 2020, particularly in the communications and consumer end markets, there remains a risk that the Covid-19 pandemic, as well as its related impact on the world economy, will affect our results of operations in the future.</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experienced only minor Covid-19 related disruptions to our operations. The full potential effect of the Covid-19 pandemic is unknown, and there is significant uncertainty related to the ultimate impact that the Covid-19 pandemic will have on our business, results of operations and financial condition. See Part II, Item 1A, including, “The Covid-19 Outbreak Has Impacted and May Continue to Impact the Supply Chain and Consumer Demand for Our Customers’ Products and Services, Which May Adversely Affect Our Business, Results of Operations, and Financial Condition” and “Dependence on the Highly Cyclical Semiconductor Industry - Our Packaging and Test Services Are Used in Volatile Industries and Industry Downturns, and Declines in Global Economic and Financial Conditions Could Harm Our Performance.”</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operate in a capital-intensive industry and have a significant level of debt. Servicing our current and future customers requires that we incur significant operating expenses and continue to make significant capital expenditures, which are generally made in advance of the related revenues and without firm customer commitments. We fund our operations, including capital expenditures and debt service requirements, with cash flows from operations, existing cash and cash equivalents, short-term investments, borrowings under available credit facilities and proceeds from any additional financing. Maintaining an appropriate level of liquidity is important to our business and depends on, among other considerations, the performance of our business, our capital expenditure levels, our ability to repay debt out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cash flows or proceeds from debt or equity financings and our investment strategy. As of September 30, 2020, we had cash and cash equivalents and short-term investments of $566.7 million and $356.2 million, respectively.</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net sales, gross profit, operating income, cash flows, liquidity and capital resources have historically fluctuated significantly from quarter to quarter as a result of many factors, including the seasonality of our business, the cyclical nature of the semiconductor industry and other factors discussed in Part II, Item 1A of this Quarterly Report on Form 10--Q.</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Summary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net sales increased $270.1 million or 24.9% to $1,354.0 million for the three months ended September 30, 2020 from $1,083.9 million for the three months ended September 30, 2019. This increase was due to higher sales of advanced products in the communications and consumer end markets, partially offset by a decline in the automotive end market.</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margin for the three months ended September 30, 2020 increased to 17.8% from 16.8% for the three months ended September 30, 2019. The increase in gross margin was primarily due to the increase in net sales, partially offset by changes in the mix of products sold toward products with higher material content.</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capital expenditures totaled $275.5 million for the nine months ended September 30, 2020, compared to $328.5 million for the nine months ended September 30, 2019. Our spending was primarily focused on investments in advanced packaging and test equipment.</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$434.0 million for the nine months ended September 30, 2020, compared to $283.3 million for the nine months ended September 30, 2019. This increase was primarily due to higher net sales and higher operating profit, partially offset by changes in our working capital.</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October 2020, our Board of Directors approved the initiation of a regular quarterly cash dividend on our common stock. The initial quarterly dividend is $0.04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operating data as a percentage of net sales for the periods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80" w:type="dxa"/>
            <w:vAlign w:val="bottom"/>
          </w:tcPr>
          <w:p>
            <w:pPr>
              <w:spacing w:after="0"/>
              <w:rPr>
                <w:sz w:val="16"/>
                <w:szCs w:val="16"/>
                <w:color w:val="auto"/>
              </w:rPr>
            </w:pPr>
          </w:p>
        </w:tc>
        <w:tc>
          <w:tcPr>
            <w:tcW w:w="342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334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188"/>
        </w:trPr>
        <w:tc>
          <w:tcPr>
            <w:tcW w:w="4480" w:type="dxa"/>
            <w:vAlign w:val="bottom"/>
            <w:tcBorders>
              <w:bottom w:val="single" w:sz="8" w:color="CCEEFF"/>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6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1600" w:type="dxa"/>
            <w:vAlign w:val="bottom"/>
            <w:tcBorders>
              <w:top w:val="single" w:sz="8" w:color="auto"/>
              <w:bottom w:val="single" w:sz="8" w:color="auto"/>
            </w:tcBorders>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620" w:type="dxa"/>
            <w:vAlign w:val="bottom"/>
            <w:tcBorders>
              <w:top w:val="single" w:sz="8" w:color="auto"/>
              <w:bottom w:val="single" w:sz="8" w:color="auto"/>
            </w:tcBorders>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1620" w:type="dxa"/>
            <w:vAlign w:val="bottom"/>
            <w:tcBorders>
              <w:top w:val="single" w:sz="8" w:color="auto"/>
              <w:bottom w:val="single" w:sz="8" w:color="auto"/>
            </w:tcBorders>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0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13"/>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Materials</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46.9 %</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40.4 %</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45.8 %</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39.0 %</w:t>
            </w:r>
          </w:p>
        </w:tc>
      </w:tr>
      <w:tr>
        <w:trPr>
          <w:trHeight w:val="219"/>
        </w:trPr>
        <w:tc>
          <w:tcPr>
            <w:tcW w:w="5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Labor</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12.8 %</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16.8 %</w:t>
            </w:r>
          </w:p>
        </w:tc>
      </w:tr>
      <w:tr>
        <w:trPr>
          <w:trHeight w:val="213"/>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manufacturing costs</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22.5 %</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27.0 %</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23.7 %</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29.4 %</w:t>
            </w:r>
          </w:p>
        </w:tc>
      </w:tr>
      <w:tr>
        <w:trPr>
          <w:trHeight w:val="219"/>
        </w:trPr>
        <w:tc>
          <w:tcPr>
            <w:tcW w:w="5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17.8 %</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14.8 %</w:t>
            </w:r>
          </w:p>
        </w:tc>
      </w:tr>
      <w:tr>
        <w:trPr>
          <w:trHeight w:val="213"/>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9.4 %</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7.3 %</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8.1 %</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4.0 %</w:t>
            </w:r>
          </w:p>
        </w:tc>
      </w:tr>
      <w:tr>
        <w:trPr>
          <w:trHeight w:val="219"/>
        </w:trPr>
        <w:tc>
          <w:tcPr>
            <w:tcW w:w="5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Amkor</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6.8 %</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9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gridSpan w:val="5"/>
          </w:tcPr>
          <w:p>
            <w:pPr>
              <w:jc w:val="right"/>
              <w:ind w:right="185"/>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gridSpan w:val="5"/>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680" w:type="dxa"/>
            <w:vAlign w:val="bottom"/>
            <w:tcBorders>
              <w:bottom w:val="single" w:sz="8" w:color="auto"/>
            </w:tcBorders>
          </w:tcPr>
          <w:p>
            <w:pPr>
              <w:spacing w:after="0"/>
              <w:rPr>
                <w:sz w:val="16"/>
                <w:szCs w:val="16"/>
                <w:color w:val="auto"/>
              </w:rPr>
            </w:pPr>
          </w:p>
        </w:tc>
      </w:tr>
      <w:tr>
        <w:trPr>
          <w:trHeight w:val="188"/>
        </w:trPr>
        <w:tc>
          <w:tcPr>
            <w:tcW w:w="19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Borders>
              <w:bottom w:val="single" w:sz="8" w:color="auto"/>
            </w:tcBorders>
          </w:tcPr>
          <w:p>
            <w:pPr>
              <w:spacing w:after="0"/>
              <w:rPr>
                <w:sz w:val="16"/>
                <w:szCs w:val="16"/>
                <w:color w:val="auto"/>
              </w:rPr>
            </w:pPr>
          </w:p>
        </w:tc>
      </w:tr>
      <w:tr>
        <w:trPr>
          <w:trHeight w:val="183"/>
        </w:trPr>
        <w:tc>
          <w:tcPr>
            <w:tcW w:w="1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140" w:type="dxa"/>
            <w:vAlign w:val="bottom"/>
            <w:gridSpan w:val="5"/>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16"/>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1,354,023</w:t>
            </w:r>
          </w:p>
        </w:tc>
        <w:tc>
          <w:tcPr>
            <w:tcW w:w="3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1,083,917</w:t>
            </w:r>
          </w:p>
        </w:tc>
        <w:tc>
          <w:tcPr>
            <w:tcW w:w="4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425"/>
              <w:spacing w:after="0"/>
              <w:rPr>
                <w:sz w:val="20"/>
                <w:szCs w:val="20"/>
                <w:color w:val="auto"/>
              </w:rPr>
            </w:pPr>
            <w:r>
              <w:rPr>
                <w:rFonts w:ascii="Times New Roman" w:cs="Times New Roman" w:eastAsia="Times New Roman" w:hAnsi="Times New Roman"/>
                <w:sz w:val="16"/>
                <w:szCs w:val="16"/>
                <w:color w:val="auto"/>
              </w:rPr>
              <w:t>270,106</w:t>
            </w: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24.9 %  $</w:t>
            </w:r>
          </w:p>
        </w:tc>
        <w:tc>
          <w:tcPr>
            <w:tcW w:w="88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3,679,548</w:t>
            </w:r>
          </w:p>
        </w:tc>
        <w:tc>
          <w:tcPr>
            <w:tcW w:w="3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2,874,186</w:t>
            </w:r>
          </w:p>
        </w:tc>
        <w:tc>
          <w:tcPr>
            <w:tcW w:w="4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424"/>
              <w:spacing w:after="0"/>
              <w:rPr>
                <w:sz w:val="20"/>
                <w:szCs w:val="20"/>
                <w:color w:val="auto"/>
              </w:rPr>
            </w:pPr>
            <w:r>
              <w:rPr>
                <w:rFonts w:ascii="Times New Roman" w:cs="Times New Roman" w:eastAsia="Times New Roman" w:hAnsi="Times New Roman"/>
                <w:sz w:val="16"/>
                <w:szCs w:val="16"/>
                <w:color w:val="auto"/>
              </w:rPr>
              <w:t>805,362</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28.0 %</w:t>
            </w:r>
          </w:p>
        </w:tc>
      </w:tr>
    </w:tbl>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net sales for the three and nine months ended September 30, 2020 compared to the three and nine months ended September 30, 2019 was due to higher sales of advanced products in the communications and consumer end markets, partially offset by a decline in the automotive end market. The communications end market benefited from the recovery in the smartphone market from the prior year inventory correction. Sales increased in the consumer end market due to the introduction of a new high-volume consumer product.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00" w:type="dxa"/>
            <w:vAlign w:val="bottom"/>
          </w:tcPr>
          <w:p>
            <w:pPr>
              <w:spacing w:after="0"/>
              <w:rPr>
                <w:sz w:val="16"/>
                <w:szCs w:val="16"/>
                <w:color w:val="auto"/>
              </w:rPr>
            </w:pPr>
          </w:p>
        </w:tc>
        <w:tc>
          <w:tcPr>
            <w:tcW w:w="4020" w:type="dxa"/>
            <w:vAlign w:val="bottom"/>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3920" w:type="dxa"/>
            <w:vAlign w:val="bottom"/>
            <w:gridSpan w:val="3"/>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188"/>
        </w:trPr>
        <w:tc>
          <w:tcPr>
            <w:tcW w:w="3300" w:type="dxa"/>
            <w:vAlign w:val="bottom"/>
          </w:tcPr>
          <w:p>
            <w:pPr>
              <w:spacing w:after="0"/>
              <w:rPr>
                <w:sz w:val="16"/>
                <w:szCs w:val="16"/>
                <w:color w:val="auto"/>
              </w:rPr>
            </w:pPr>
          </w:p>
        </w:tc>
        <w:tc>
          <w:tcPr>
            <w:tcW w:w="1520" w:type="dxa"/>
            <w:vAlign w:val="bottom"/>
            <w:tcBorders>
              <w:top w:val="single" w:sz="8" w:color="auto"/>
              <w:bottom w:val="single" w:sz="8" w:color="auto"/>
            </w:tcBorders>
          </w:tcPr>
          <w:p>
            <w:pPr>
              <w:jc w:val="right"/>
              <w:ind w:right="68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20" w:type="dxa"/>
            <w:vAlign w:val="bottom"/>
            <w:tcBorders>
              <w:top w:val="single" w:sz="8" w:color="auto"/>
              <w:bottom w:val="single" w:sz="8" w:color="auto"/>
            </w:tcBorders>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160" w:type="dxa"/>
            <w:vAlign w:val="bottom"/>
            <w:tcBorders>
              <w:top w:val="single" w:sz="8" w:color="auto"/>
              <w:bottom w:val="single" w:sz="8" w:color="auto"/>
            </w:tcBorders>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Borders>
              <w:bottom w:val="single" w:sz="8" w:color="auto"/>
            </w:tcBorders>
          </w:tcPr>
          <w:p>
            <w:pPr>
              <w:spacing w:after="0"/>
              <w:rPr>
                <w:sz w:val="16"/>
                <w:szCs w:val="16"/>
                <w:color w:val="auto"/>
              </w:rPr>
            </w:pPr>
          </w:p>
        </w:tc>
        <w:tc>
          <w:tcPr>
            <w:tcW w:w="1500" w:type="dxa"/>
            <w:vAlign w:val="bottom"/>
            <w:tcBorders>
              <w:top w:val="single" w:sz="8" w:color="auto"/>
              <w:bottom w:val="single" w:sz="8" w:color="auto"/>
            </w:tcBorders>
          </w:tcPr>
          <w:p>
            <w:pPr>
              <w:jc w:val="right"/>
              <w:ind w:right="68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300" w:type="dxa"/>
            <w:vAlign w:val="bottom"/>
            <w:tcBorders>
              <w:top w:val="single" w:sz="8" w:color="auto"/>
              <w:bottom w:val="single" w:sz="8" w:color="auto"/>
            </w:tcBorders>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120" w:type="dxa"/>
            <w:vAlign w:val="bottom"/>
            <w:tcBorders>
              <w:top w:val="single" w:sz="8" w:color="auto"/>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83"/>
        </w:trPr>
        <w:tc>
          <w:tcPr>
            <w:tcW w:w="33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780" w:type="dxa"/>
            <w:vAlign w:val="bottom"/>
            <w:gridSpan w:val="3"/>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3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16"/>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520" w:type="dxa"/>
            <w:vAlign w:val="bottom"/>
            <w:shd w:val="clear" w:color="auto" w:fill="CCEEFF"/>
          </w:tcPr>
          <w:p>
            <w:pPr>
              <w:jc w:val="right"/>
              <w:ind w:right="224"/>
              <w:spacing w:after="0"/>
              <w:rPr>
                <w:sz w:val="20"/>
                <w:szCs w:val="20"/>
                <w:color w:val="auto"/>
              </w:rPr>
            </w:pPr>
            <w:r>
              <w:rPr>
                <w:rFonts w:ascii="Times New Roman" w:cs="Times New Roman" w:eastAsia="Times New Roman" w:hAnsi="Times New Roman"/>
                <w:sz w:val="16"/>
                <w:szCs w:val="16"/>
                <w:color w:val="auto"/>
              </w:rPr>
              <w:t>$241,085</w:t>
            </w: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$182,240</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$58,845</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224"/>
              <w:spacing w:after="0"/>
              <w:rPr>
                <w:sz w:val="20"/>
                <w:szCs w:val="20"/>
                <w:color w:val="auto"/>
              </w:rPr>
            </w:pPr>
            <w:r>
              <w:rPr>
                <w:rFonts w:ascii="Times New Roman" w:cs="Times New Roman" w:eastAsia="Times New Roman" w:hAnsi="Times New Roman"/>
                <w:sz w:val="16"/>
                <w:szCs w:val="16"/>
                <w:color w:val="auto"/>
              </w:rPr>
              <w:t>$622,313</w:t>
            </w:r>
          </w:p>
        </w:tc>
        <w:tc>
          <w:tcPr>
            <w:tcW w:w="130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$426,455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$195,858</w:t>
            </w:r>
          </w:p>
        </w:tc>
      </w:tr>
      <w:tr>
        <w:trPr>
          <w:trHeight w:val="210"/>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1520" w:type="dxa"/>
            <w:vAlign w:val="bottom"/>
          </w:tcPr>
          <w:p>
            <w:pPr>
              <w:jc w:val="right"/>
              <w:ind w:right="224"/>
              <w:spacing w:after="0"/>
              <w:rPr>
                <w:sz w:val="20"/>
                <w:szCs w:val="20"/>
                <w:color w:val="auto"/>
              </w:rPr>
            </w:pPr>
            <w:r>
              <w:rPr>
                <w:rFonts w:ascii="Times New Roman" w:cs="Times New Roman" w:eastAsia="Times New Roman" w:hAnsi="Times New Roman"/>
                <w:sz w:val="16"/>
                <w:szCs w:val="16"/>
                <w:color w:val="auto"/>
              </w:rPr>
              <w:t>17.8 %</w:t>
            </w:r>
          </w:p>
        </w:tc>
        <w:tc>
          <w:tcPr>
            <w:tcW w:w="12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16.8 %</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20" w:type="dxa"/>
            <w:vAlign w:val="bottom"/>
          </w:tcPr>
          <w:p>
            <w:pPr>
              <w:spacing w:after="0"/>
              <w:rPr>
                <w:sz w:val="18"/>
                <w:szCs w:val="18"/>
                <w:color w:val="auto"/>
              </w:rPr>
            </w:pPr>
          </w:p>
        </w:tc>
        <w:tc>
          <w:tcPr>
            <w:tcW w:w="1500" w:type="dxa"/>
            <w:vAlign w:val="bottom"/>
          </w:tcPr>
          <w:p>
            <w:pPr>
              <w:jc w:val="right"/>
              <w:ind w:right="224"/>
              <w:spacing w:after="0"/>
              <w:rPr>
                <w:sz w:val="20"/>
                <w:szCs w:val="20"/>
                <w:color w:val="auto"/>
              </w:rPr>
            </w:pPr>
            <w:r>
              <w:rPr>
                <w:rFonts w:ascii="Times New Roman" w:cs="Times New Roman" w:eastAsia="Times New Roman" w:hAnsi="Times New Roman"/>
                <w:sz w:val="16"/>
                <w:szCs w:val="16"/>
                <w:color w:val="auto"/>
              </w:rPr>
              <w:t>16.9 %</w:t>
            </w:r>
          </w:p>
        </w:tc>
        <w:tc>
          <w:tcPr>
            <w:tcW w:w="130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14.8 %</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2.1 %</w:t>
            </w:r>
          </w:p>
        </w:tc>
      </w:tr>
    </w:tbl>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cost of sales consists principally of materials, labor, depreciation and manufacturing overhead. Since a substantial portion of the costs at our factories is fixed, there tends to be a strong relationship between our revenue levels and gross margin. Accordingly, relatively modest increases or decreases in revenue can have a significant effect on margin and on labor and other manufacturing costs as a percentage of revenue, depending upon product mix, utilization and seasonality.</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margin increased for the three and nine months ended September 30, 2020 compared to the three and nine months ended September 30, 2019, primarily due to the increase in net sales, partially offset by changes in the mix of products sold toward products with higher material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5"/>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5"/>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2019</w:t>
            </w: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1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Selling, general and</w:t>
            </w:r>
          </w:p>
        </w:tc>
        <w:tc>
          <w:tcPr>
            <w:tcW w:w="2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77,781</w:t>
            </w:r>
          </w:p>
        </w:tc>
        <w:tc>
          <w:tcPr>
            <w:tcW w:w="32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70,458</w:t>
            </w:r>
          </w:p>
        </w:tc>
        <w:tc>
          <w:tcPr>
            <w:tcW w:w="400" w:type="dxa"/>
            <w:vAlign w:val="bottom"/>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vMerge w:val="restart"/>
            <w:shd w:val="clear" w:color="auto" w:fill="CCEEFF"/>
          </w:tcPr>
          <w:p>
            <w:pPr>
              <w:jc w:val="right"/>
              <w:ind w:right="565"/>
              <w:spacing w:after="0"/>
              <w:rPr>
                <w:sz w:val="20"/>
                <w:szCs w:val="20"/>
                <w:color w:val="auto"/>
              </w:rPr>
            </w:pPr>
            <w:r>
              <w:rPr>
                <w:rFonts w:ascii="Times New Roman" w:cs="Times New Roman" w:eastAsia="Times New Roman" w:hAnsi="Times New Roman"/>
                <w:sz w:val="16"/>
                <w:szCs w:val="16"/>
                <w:color w:val="auto"/>
              </w:rPr>
              <w:t>7,323</w:t>
            </w:r>
          </w:p>
        </w:tc>
        <w:tc>
          <w:tcPr>
            <w:tcW w:w="102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10.4 %  $</w:t>
            </w:r>
          </w:p>
        </w:tc>
        <w:tc>
          <w:tcPr>
            <w:tcW w:w="840" w:type="dxa"/>
            <w:vAlign w:val="bottom"/>
            <w:vMerge w:val="restart"/>
            <w:shd w:val="clear" w:color="auto" w:fill="CCEEFF"/>
          </w:tcPr>
          <w:p>
            <w:pPr>
              <w:jc w:val="right"/>
              <w:ind w:right="65"/>
              <w:spacing w:after="0"/>
              <w:rPr>
                <w:sz w:val="20"/>
                <w:szCs w:val="20"/>
                <w:color w:val="auto"/>
              </w:rPr>
            </w:pPr>
            <w:r>
              <w:rPr>
                <w:rFonts w:ascii="Times New Roman" w:cs="Times New Roman" w:eastAsia="Times New Roman" w:hAnsi="Times New Roman"/>
                <w:sz w:val="16"/>
                <w:szCs w:val="16"/>
                <w:color w:val="auto"/>
              </w:rPr>
              <w:t>224,623</w:t>
            </w:r>
          </w:p>
        </w:tc>
        <w:tc>
          <w:tcPr>
            <w:tcW w:w="28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206,803</w:t>
            </w:r>
          </w:p>
        </w:tc>
        <w:tc>
          <w:tcPr>
            <w:tcW w:w="38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vMerge w:val="restart"/>
            <w:shd w:val="clear" w:color="auto" w:fill="CCEEFF"/>
          </w:tcPr>
          <w:p>
            <w:pPr>
              <w:jc w:val="right"/>
              <w:ind w:right="584"/>
              <w:spacing w:after="0"/>
              <w:rPr>
                <w:sz w:val="20"/>
                <w:szCs w:val="20"/>
                <w:color w:val="auto"/>
              </w:rPr>
            </w:pPr>
            <w:r>
              <w:rPr>
                <w:rFonts w:ascii="Times New Roman" w:cs="Times New Roman" w:eastAsia="Times New Roman" w:hAnsi="Times New Roman"/>
                <w:sz w:val="16"/>
                <w:szCs w:val="16"/>
                <w:color w:val="auto"/>
              </w:rPr>
              <w:t>17,820</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8.6 %</w:t>
            </w: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administrative</w:t>
            </w:r>
          </w:p>
        </w:tc>
        <w:tc>
          <w:tcPr>
            <w:tcW w:w="22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020" w:type="dxa"/>
            <w:vAlign w:val="bottom"/>
            <w:gridSpan w:val="3"/>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for the three and nine months ended September 30, 2020 increased compared to the three and nine months ended September 30, 2019, primarily due to costs incurred for our factory consolidation efforts in Japan and increased employee compensation costs. These increases were partially offset by our efforts to control expenses, particularly travel and professional fees. In addition, we had a gain from a sale of real estate in the second quarter of 2019 which lowered our expenses that period.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5"/>
          </w:tcPr>
          <w:p>
            <w:pPr>
              <w:jc w:val="right"/>
              <w:ind w:right="145"/>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gridSpan w:val="5"/>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680" w:type="dxa"/>
            <w:vAlign w:val="bottom"/>
            <w:tcBorders>
              <w:bottom w:val="single" w:sz="8" w:color="auto"/>
            </w:tcBorders>
          </w:tcPr>
          <w:p>
            <w:pPr>
              <w:spacing w:after="0"/>
              <w:rPr>
                <w:sz w:val="16"/>
                <w:szCs w:val="16"/>
                <w:color w:val="auto"/>
              </w:rPr>
            </w:pPr>
          </w:p>
        </w:tc>
      </w:tr>
      <w:tr>
        <w:trPr>
          <w:trHeight w:val="188"/>
        </w:trPr>
        <w:tc>
          <w:tcPr>
            <w:tcW w:w="2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Borders>
              <w:bottom w:val="single" w:sz="8" w:color="auto"/>
            </w:tcBorders>
          </w:tcPr>
          <w:p>
            <w:pPr>
              <w:spacing w:after="0"/>
              <w:rPr>
                <w:sz w:val="16"/>
                <w:szCs w:val="16"/>
                <w:color w:val="auto"/>
              </w:rPr>
            </w:pPr>
          </w:p>
        </w:tc>
      </w:tr>
      <w:tr>
        <w:trPr>
          <w:trHeight w:val="183"/>
        </w:trPr>
        <w:tc>
          <w:tcPr>
            <w:tcW w:w="2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1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16"/>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35,835</w:t>
            </w:r>
          </w:p>
        </w:tc>
        <w:tc>
          <w:tcPr>
            <w:tcW w:w="3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32,927</w:t>
            </w:r>
          </w:p>
        </w:tc>
        <w:tc>
          <w:tcPr>
            <w:tcW w:w="4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585"/>
              <w:spacing w:after="0"/>
              <w:rPr>
                <w:sz w:val="20"/>
                <w:szCs w:val="20"/>
                <w:color w:val="auto"/>
              </w:rPr>
            </w:pPr>
            <w:r>
              <w:rPr>
                <w:rFonts w:ascii="Times New Roman" w:cs="Times New Roman" w:eastAsia="Times New Roman" w:hAnsi="Times New Roman"/>
                <w:sz w:val="16"/>
                <w:szCs w:val="16"/>
                <w:color w:val="auto"/>
              </w:rPr>
              <w:t>2,908</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8.8% $</w:t>
            </w:r>
          </w:p>
        </w:tc>
        <w:tc>
          <w:tcPr>
            <w:tcW w:w="86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6"/>
                <w:szCs w:val="16"/>
                <w:color w:val="auto"/>
              </w:rPr>
              <w:t>99,624</w:t>
            </w:r>
          </w:p>
        </w:tc>
        <w:tc>
          <w:tcPr>
            <w:tcW w:w="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104,867</w:t>
            </w:r>
          </w:p>
        </w:tc>
        <w:tc>
          <w:tcPr>
            <w:tcW w:w="4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504"/>
              <w:spacing w:after="0"/>
              <w:rPr>
                <w:sz w:val="20"/>
                <w:szCs w:val="20"/>
                <w:color w:val="auto"/>
              </w:rPr>
            </w:pPr>
            <w:r>
              <w:rPr>
                <w:rFonts w:ascii="Times New Roman" w:cs="Times New Roman" w:eastAsia="Times New Roman" w:hAnsi="Times New Roman"/>
                <w:sz w:val="16"/>
                <w:szCs w:val="16"/>
                <w:color w:val="auto"/>
              </w:rPr>
              <w:t>(5,243)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r>
    </w:tbl>
    <w:p>
      <w:pPr>
        <w:spacing w:after="0" w:line="1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Research and development activities are focused on developing new packaging and test services and improving the efficiency and capabilities of our existing production processes. The costs related to our technology and product development projects are included in research and development expense until the project moves into production. Once production begins, the costs related to production become part of the cost of sales, including ongoing depreciation for the equipment previously held for research and development activities. Research and development expenses for the three months ended September 30, 2020 increased compared to the three months ended September 30, 2019 due to new development projects. Research and development expenses for the nine months ended September 30, 2020 decreased compared to the nine months ended September 30, 2019 due to projects that moved into production, partially offset by new development projects.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8"/>
          </w:tcPr>
          <w:p>
            <w:pPr>
              <w:ind w:left="66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8"/>
          </w:tcPr>
          <w:p>
            <w:pPr>
              <w:ind w:left="70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740" w:type="dxa"/>
            <w:vAlign w:val="bottom"/>
            <w:tcBorders>
              <w:bottom w:val="single" w:sz="8" w:color="auto"/>
            </w:tcBorders>
          </w:tcPr>
          <w:p>
            <w:pPr>
              <w:spacing w:after="0"/>
              <w:rPr>
                <w:sz w:val="16"/>
                <w:szCs w:val="16"/>
                <w:color w:val="auto"/>
              </w:rPr>
            </w:pPr>
          </w:p>
        </w:tc>
      </w:tr>
      <w:tr>
        <w:trPr>
          <w:trHeight w:val="188"/>
        </w:trPr>
        <w:tc>
          <w:tcPr>
            <w:tcW w:w="2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Borders>
              <w:bottom w:val="single" w:sz="8" w:color="auto"/>
            </w:tcBorders>
          </w:tcPr>
          <w:p>
            <w:pPr>
              <w:spacing w:after="0"/>
              <w:rPr>
                <w:sz w:val="16"/>
                <w:szCs w:val="16"/>
                <w:color w:val="auto"/>
              </w:rPr>
            </w:pPr>
          </w:p>
        </w:tc>
      </w:tr>
      <w:tr>
        <w:trPr>
          <w:trHeight w:val="183"/>
        </w:trPr>
        <w:tc>
          <w:tcPr>
            <w:tcW w:w="2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60" w:type="dxa"/>
            <w:vAlign w:val="bottom"/>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16"/>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16,988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49,461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54,914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(5,453)</w:t>
            </w: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213"/>
        </w:trPr>
        <w:tc>
          <w:tcPr>
            <w:tcW w:w="2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0.9 %</w:t>
            </w:r>
          </w:p>
        </w:tc>
      </w:tr>
      <w:tr>
        <w:trPr>
          <w:trHeight w:val="219"/>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(gain) loss, net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3,243</w:t>
            </w: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&gt;(100)%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6,301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7,882</w:t>
            </w: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&gt;(100)%</w:t>
            </w:r>
          </w:p>
        </w:tc>
      </w:tr>
      <w:tr>
        <w:trPr>
          <w:trHeight w:val="213"/>
        </w:trPr>
        <w:tc>
          <w:tcPr>
            <w:tcW w:w="2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debt retirement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&gt;100%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(7,616)</w:t>
            </w: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w:t>
            </w:r>
          </w:p>
        </w:tc>
      </w:tr>
      <w:tr>
        <w:trPr>
          <w:trHeight w:val="216"/>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w:t>
            </w:r>
          </w:p>
        </w:tc>
      </w:tr>
      <w:tr>
        <w:trPr>
          <w:trHeight w:val="212"/>
        </w:trPr>
        <w:tc>
          <w:tcPr>
            <w:tcW w:w="2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other expense, net</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18,819</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15,228</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3,591</w:t>
            </w: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23.6 %</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51,028</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55,555</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(4,527)</w:t>
            </w: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1"/>
        </w:trPr>
        <w:tc>
          <w:tcPr>
            <w:tcW w:w="2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decreased for the three and nine months ended September 30, 2020 compared to the three and nine months ended September 30, 2019, primarily due to the repayment of higher interest debt with the proceeds from our ¥28.5 billion ($260.6 million) fixed rate term loan agreement in December 2019 and January 2020. Interest expense has also decreased due to overall decreases in interest rates in 2020 for our variable interest rate loans.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changes in foreign currency (gain) loss, net for the three and nine months ended September 30, 2020 compared to the three and nine months ended September 30, 2019 were due to foreign currency exchange rate movements, mainly the Korean Won, and the associated impact on our net monetary exposure at our foreign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loss on debt retirement for the nine months ended September 30, 2019 was due to the early redemption in April 2019 of the outstanding $525 million aggregate principal amount of our 6.375% Senior Notes due 2022.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520" w:type="dxa"/>
            <w:vAlign w:val="bottom"/>
            <w:gridSpan w:val="6"/>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420" w:type="dxa"/>
            <w:vAlign w:val="bottom"/>
          </w:tcPr>
          <w:p>
            <w:pPr>
              <w:spacing w:after="0"/>
              <w:rPr>
                <w:sz w:val="16"/>
                <w:szCs w:val="16"/>
                <w:color w:val="auto"/>
              </w:rPr>
            </w:pPr>
          </w:p>
        </w:tc>
        <w:tc>
          <w:tcPr>
            <w:tcW w:w="3280" w:type="dxa"/>
            <w:vAlign w:val="bottom"/>
            <w:gridSpan w:val="5"/>
          </w:tcPr>
          <w:p>
            <w:pPr>
              <w:jc w:val="center"/>
              <w:ind w:right="344"/>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188"/>
        </w:trPr>
        <w:tc>
          <w:tcPr>
            <w:tcW w:w="376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85"/>
              <w:spacing w:after="0"/>
              <w:rPr>
                <w:sz w:val="20"/>
                <w:szCs w:val="20"/>
                <w:color w:val="auto"/>
              </w:rPr>
            </w:pPr>
            <w:r>
              <w:rPr>
                <w:rFonts w:ascii="Times New Roman" w:cs="Times New Roman" w:eastAsia="Times New Roman" w:hAnsi="Times New Roman"/>
                <w:sz w:val="14"/>
                <w:szCs w:val="14"/>
                <w:b w:val="1"/>
                <w:bCs w:val="1"/>
                <w:color w:val="auto"/>
              </w:rPr>
              <w:t>2020</w:t>
            </w:r>
          </w:p>
        </w:tc>
        <w:tc>
          <w:tcPr>
            <w:tcW w:w="34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405"/>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34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83"/>
        </w:trPr>
        <w:tc>
          <w:tcPr>
            <w:tcW w:w="3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16"/>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15,753</w:t>
            </w:r>
          </w:p>
        </w:tc>
        <w:tc>
          <w:tcPr>
            <w:tcW w:w="3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9,141</w:t>
            </w:r>
          </w:p>
        </w:tc>
        <w:tc>
          <w:tcPr>
            <w:tcW w:w="3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6,612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33,504</w:t>
            </w:r>
          </w:p>
        </w:tc>
        <w:tc>
          <w:tcPr>
            <w:tcW w:w="3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36,418</w:t>
            </w:r>
          </w:p>
        </w:tc>
        <w:tc>
          <w:tcPr>
            <w:tcW w:w="3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(2,914)</w:t>
            </w:r>
          </w:p>
        </w:tc>
      </w:tr>
    </w:tbl>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tax expense, which includes foreign withholding taxes and minimum taxes, reflects the applicable tax rates in effect in the various countries where our income is earned and is subject to volatility depending on the relative mix of earnings in each location. Income tax expense for the nine months ended September 30, 2019 also includes an $11.8 million discrete tax expense primarily for the recognition of a valuation allowance for certain deferred tax assets.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2020 and 2019, our subsidiaries in Korea, the Philippines and Singapore operated under various tax holidays. As these tax holidays expire, income earned in these jurisdictions will be subject to higher statutory income tax rates, which may cause our effective tax rate to increase.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assess our liquidity based on our current expectations regarding sales and operating expenses, capital spending, dividend payments and stock repurchases, debt service requirements and other funding needs. Based on this assessment, we believe that our cash flow from operating activities, together with existing cash and cash equivalents, short-term investments and availability under our credit facilities, will be sufficient to fund our working capital, capital expenditure, dividend payments, debt service and other financial requirements for at least the next twelve months.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liquidity is affected by, among other factors, volatility in the global economy and credit markets, the performance of our business, our capital expenditure levels, other uses of our cash including any dividends and purchases of stock under our stock repurchase program, any acquisitions or investments in joint ventures and our ability to either repay debt out of operating cash flow or refinance it at or prior to maturity with the proceeds of debt or equity offerings. There can be no assurance that we will generate the necessary net income or operating cash flows, or be able to borrow sufficient funds, to meet the funding needs of our business beyond the next twelve months due to a variety of factors, including the cyclical nature of the semiconductor industry and other factors discussed in Part II, Item 1A of this Quarterly Report on Form 10-Q.</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primary source of cash and the source of funds for our operations are cash flows from operations, current cash and cash equivalents, short-term investments, borrowings under available credit facilities and proceeds from any additional debt or equity financings. We refer you to Note 7 and Note 11 to our Consolidated Financial Statements in Part 1, Item 1 of this Quarterly Report on Form 10-Q for additional information on our investments and borrowings, respectively.</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September 30, 2020, we had cash and cash equivalents and short-term investments of $566.7 million and $356.2 million, respectively. Included in our cash and short-term investments balances as of September 30, 2020, is $452.0 million and $263.3 million, respectively, held offshore by our foreign subsidiaries. We have the ability to access cash held offshore by our foreign subsidiaries primarily through the repayment of intercompany debt obligations. Due to the changes in the U.S. tax law under the Tax Cuts and Jobs Act (“Tax Act”), distributions of cash to the U.S. as dividends generally will not be subject to U.S. federal income tax. If we were to distribute this offshore cash to the U.S. as dividends from our foreign subsidiaries, we may be subject to foreign withholding and state income taxes.</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certain accounts receivable, we use non-recourse factoring arrangements with third-party financial institutions to manage our working capital and cash flows. Under this program, we sell receivables to a financial institution for cash at a discount to the face amount. Available capacity under these programs is dependent on the level of our trade accounts receivable eligible to be sold, the financial institutions’ willingness to purchase such receivables and the limits provided by the financial institutions. These factoring arrangements can be reduced or eliminated at any time due to market conditions and changes in the credit worthiness of customers. For the nine months ended September 30, 2020 and 2019, we sold accounts receivable totaling $368.4 million and $480.2 million, net of discounts and fees of $2.2 million and $3.3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operate in a capital-intensive industry. Servicing our current and future customers may require that we incur significant operating expenses and make significant investments in equipment and facilities, which are generally made in advance of the related revenues and without firm customer commitments.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borrowing base under our $250.0 million first lien senior secured revolving credit facility entered into by our subsidiary, Amkor Technology Singapore Holding Pte, Ltd. (the “Singapore Revolver”), is limited to the amount of eligible accounts receivable. As of September 30, 2020, we had availability of $250.0 million and no outstanding standby letters of credit. As of September 30, 2020, our foreign subsidiaries had $346.0 million available to be drawn under revolving credit facilities, including the Singapore Revolver, and $56.0 million available to be borrowed under term loan credit facilities for working capital purposes and capital expenditures.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2020, we had $1,319.1 million of debt. Our scheduled principal repayments on debt include $40.9 million due over the remainder of 2020, $125.3 million due in 2021, $266.6 million due in 2022, $252.1 million due in 2023, $66.9 million due in 2024, and $576.4 million due thereafter. We were in compliance with all debt covenants at September 30, 2020, and we expect to remain in compliance with these covenants for at least the next twelve months.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of our debt agreements have restrictions on dividend payments and the repurchase of stock and subordinated securities. These restrictions are determined in part by calculations based upon cumulative net income or, in the case of our Singapore Revolver, borrowing availability. Dividend payments and stock repurchases are not currently restricted under our debt agreements.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debt of Amkor Technology, Inc. is structurally subordinated in right of payment to all existing and future debt and other liabilities of our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Amkor Technology, Inc. and Amkor Technology Singapore Holding Pte, Ltd. also guarantee certain debt of our subsidiaries.</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reduce our debt and future cash interest payments, we may from time to time repurchase or redeem our outstanding notes for cash or exchange shares of our common stock for our outstanding notes. Any such transaction may be made in the open market, through privately negotiated transactions or otherwise, and would be subject to the terms of our indentures and other debt agreements, market conditions and other factors.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subsidiary in Korea maintains an unfunded severance plan that covers certain employees that were employed prior to August 1, 2015. As of September 30, 2020, the severance liability was $119.1 million. Accrued severance benefits are estimated assuming all eligible employees were to terminate their employment at the balance sheet date. For service periods subsequent to August 1, 2015, employees participate in either a defined benefit pension plan or a defined contribution pension plan. From time to time, we may offer additional employees the option to convert from the severance plan to the defined contribution plan which would require the company to fund the converted portion of the liability. We refer you to Note 12 to our Consolidated Financial Statements in Part 1, Item 1 of this Quarterly Report on Form 10-Q for additional information.</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October 2020, our Board of Directors approved the initiation of a regular quarterly cash dividend on our common stock. The initial quarterly dividend is $0.04 per share and is payable to stockholders of record on December 18, 2020. The initial quarterly dividend payment is expected to be approximately $9.7 million in the aggregate and will be paid on January 7, 2021. We currently anticipate that we will continue to pay quarterly cash dividends in the future. However, the payment, amount and timing of future dividends remain within the discretion of our Board of Directors and will depend upon our results of operations, financial condition, cash requirements, debt restrictions and other factors.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Board of Directors previously authorized the repurchase of up to $300.0 million of our common stock, exclusive of any fees, commissions or other expenses. At September 30, 2020, approximately $91.6 million was available to repurchase common stock pursuant to the stock repurchase program. The purchase of stock may be made in the open market or through privately negotiated transactions. The timing, manner, price and amount of any repurchases will be determined by us at our discretion and will depend upon a variety of factors including economic and market conditions, the cash needs and investment opportunities for the business, the current market price of our stock, applicable legal requirements and other factors. We have not purchased any stock under the program since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make significant capital expenditures in order to service the demand of our customers, which are primarily focused on investments in advanced packaging and test equipment. We expect 2020 capital expenditures to be approximately $550 million. During the nine months ended September 30, 2020, our capital expenditures totaled $275.5 million. Ultimately, the amount of our 2020 capital expenditures will depend on several factors including, among others, the timing and implementation of any capital projects under review, the performance of our business, economic and market conditions, the cash needs and investment opportunities for the business, the need for additional capacity to service anticipated customer demand and the availability of cash flows from operations or financing.</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are subject to risks associated with our capital expenditures, including those discussed in Part II, Item 1A of this Quarterly Report on Form 10-Q under the caption “Capital Expenditures - We Make Substantial Investments in Equipment and Facilities to Support the Demand of Our Customers, Which May Adversely Affect Our Business if the Demand of Our Customers Does Not Develop as We Expect or Is Adversely Affected.”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(used in) operating, investing and financing activities for the nine months ended September 30, 2020 and 2019, was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3"/>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188"/>
        </w:trPr>
        <w:tc>
          <w:tcPr>
            <w:tcW w:w="8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83"/>
        </w:trPr>
        <w:tc>
          <w:tcPr>
            <w:tcW w:w="8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60" w:type="dxa"/>
            <w:vAlign w:val="bottom"/>
            <w:gridSpan w:val="2"/>
          </w:tcPr>
          <w:p>
            <w:pPr>
              <w:jc w:val="center"/>
              <w:ind w:left="73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5"/>
                <w:szCs w:val="15"/>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center"/>
              <w:ind w:left="479"/>
              <w:spacing w:after="0"/>
              <w:rPr>
                <w:sz w:val="20"/>
                <w:szCs w:val="20"/>
                <w:color w:val="auto"/>
              </w:rPr>
            </w:pPr>
            <w:r>
              <w:rPr>
                <w:rFonts w:ascii="Times New Roman" w:cs="Times New Roman" w:eastAsia="Times New Roman" w:hAnsi="Times New Roman"/>
                <w:sz w:val="18"/>
                <w:szCs w:val="18"/>
                <w:color w:val="auto"/>
                <w:w w:val="99"/>
              </w:rPr>
              <w:t>434,048</w:t>
            </w:r>
          </w:p>
        </w:tc>
        <w:tc>
          <w:tcPr>
            <w:tcW w:w="5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283,332</w:t>
            </w: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180" w:type="dxa"/>
            <w:vAlign w:val="bottom"/>
          </w:tcPr>
          <w:p>
            <w:pPr>
              <w:spacing w:after="0"/>
              <w:rPr>
                <w:sz w:val="19"/>
                <w:szCs w:val="19"/>
                <w:color w:val="auto"/>
              </w:rPr>
            </w:pPr>
          </w:p>
        </w:tc>
        <w:tc>
          <w:tcPr>
            <w:tcW w:w="1380" w:type="dxa"/>
            <w:vAlign w:val="bottom"/>
          </w:tcPr>
          <w:p>
            <w:pPr>
              <w:jc w:val="center"/>
              <w:ind w:left="479"/>
              <w:spacing w:after="0"/>
              <w:rPr>
                <w:sz w:val="20"/>
                <w:szCs w:val="20"/>
                <w:color w:val="auto"/>
              </w:rPr>
            </w:pPr>
            <w:r>
              <w:rPr>
                <w:rFonts w:ascii="Times New Roman" w:cs="Times New Roman" w:eastAsia="Times New Roman" w:hAnsi="Times New Roman"/>
                <w:sz w:val="18"/>
                <w:szCs w:val="18"/>
                <w:color w:val="auto"/>
                <w:w w:val="99"/>
              </w:rPr>
              <w:t>(611,337)</w:t>
            </w: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(318,817)</w:t>
            </w: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left="459"/>
              <w:spacing w:after="0"/>
              <w:rPr>
                <w:sz w:val="20"/>
                <w:szCs w:val="20"/>
                <w:color w:val="auto"/>
              </w:rPr>
            </w:pPr>
            <w:r>
              <w:rPr>
                <w:rFonts w:ascii="Times New Roman" w:cs="Times New Roman" w:eastAsia="Times New Roman" w:hAnsi="Times New Roman"/>
                <w:sz w:val="18"/>
                <w:szCs w:val="18"/>
                <w:color w:val="auto"/>
              </w:rPr>
              <w:t>(153,162)</w:t>
            </w: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(49,734)</w:t>
            </w:r>
          </w:p>
        </w:tc>
      </w:tr>
    </w:tbl>
    <w:p>
      <w:pPr>
        <w:spacing w:after="0" w:line="14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Our cash flow provided by operating activities for the nine months ended September 30, 2020 increased by $150.7 million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nine months ended September 30, 2019, primarily due to higher net sales and higher operating profit, partially offset by changes in our working capital.</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Our cash flows used in investing activities for the nine months ended September 30, 2020 increased by $292.5 million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nine months ended September 30, 2019, primarily due to purchases of short-term investments. This increase was partially offset by proceeds from sales and maturities of short-term investments and a decrease in payments related to purchases of property, plant and equipment. Payments for property, plant and equipment can fluctuate based on timing of purchase, receipt and acceptance of equipment.</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The net cash used in financing activities for the nine months ended September 30, 2020 was primarily due to the net debt repayments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Japan, Korea and Taiwan. The net cash used in financing activities for the nine months ended September 30, 2019 was primarily due to the redemption of our 6.375% Senior Notes due 2022 as well as repayments of debt in Japan and Korea, partially offset by our issuance of the 2027 Notes and net borrowings under our Singapore Revolver.</w:t>
      </w:r>
    </w:p>
    <w:p>
      <w:pPr>
        <w:spacing w:after="0" w:line="12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provide the following supplemental data to assist our investors and analysts in understanding our liquidity and capital resources. We define free cash flow as net cash provided by operating activities less payments for property, plant and equipment, plus proceeds from the sale of and insurance recovery for property, plant and equipment, if applicable. Free cash flow is not defined by U.S. GAAP. We believe free cash flow to be relevant and useful information to our investors because it provides them with additional information in assessing our liquidity, capital resources and financial operating results. Our management uses free cash flow in evaluating our liquidity, our ability to service debt and our ability to fund capital expenditures. However, free cash flow has certain limitations, including that it does not represent the residual cash flow available for discretionary expenditures since other, non-discretionary expenditures, such as mandatory debt service, are not deducted from the measure. The amount of mandatory versus discretionary expenditures can vary significantly between periods. This measure should be considered in addition to, and not as a substitute for, or superior to, other measures of liquidity or financial performance prepared in accordance with U.S. GAAP, such as net cash provided by operating activities. Furthermore, our definition of free cash flow may not be comparable to similarly titled measures reported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188"/>
        </w:trPr>
        <w:tc>
          <w:tcPr>
            <w:tcW w:w="8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83"/>
        </w:trPr>
        <w:tc>
          <w:tcPr>
            <w:tcW w:w="8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5"/>
                <w:szCs w:val="15"/>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434,048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283,332</w:t>
            </w: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for property, plant and equipment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(275,531)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(328,497)</w:t>
            </w: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of and insurance recovery for property, plant and equipment</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10,033</w:t>
            </w:r>
          </w:p>
        </w:tc>
      </w:tr>
      <w:tr>
        <w:trPr>
          <w:trHeight w:val="223"/>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Free cash flow</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161,227</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(35,132)</w:t>
            </w:r>
          </w:p>
        </w:tc>
      </w:tr>
      <w:tr>
        <w:trPr>
          <w:trHeight w:val="21"/>
        </w:trPr>
        <w:tc>
          <w:tcPr>
            <w:tcW w:w="8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contractual obligations at September 30, 2020 and the effect such obligations are expected to have on our liquidity and cash flows in future periods.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9"/>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Payments Due for Year Ending December 31,</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1"/>
                <w:szCs w:val="11"/>
                <w:color w:val="auto"/>
              </w:rPr>
            </w:pPr>
          </w:p>
        </w:tc>
        <w:tc>
          <w:tcPr>
            <w:tcW w:w="900" w:type="dxa"/>
            <w:vAlign w:val="bottom"/>
          </w:tcPr>
          <w:p>
            <w:pPr>
              <w:jc w:val="right"/>
              <w:ind w:right="268"/>
              <w:spacing w:after="0" w:line="134" w:lineRule="exact"/>
              <w:rPr>
                <w:sz w:val="20"/>
                <w:szCs w:val="20"/>
                <w:color w:val="auto"/>
              </w:rPr>
            </w:pPr>
            <w:r>
              <w:rPr>
                <w:rFonts w:ascii="Times New Roman" w:cs="Times New Roman" w:eastAsia="Times New Roman" w:hAnsi="Times New Roman"/>
                <w:sz w:val="14"/>
                <w:szCs w:val="14"/>
                <w:b w:val="1"/>
                <w:bCs w:val="1"/>
                <w:color w:val="auto"/>
              </w:rPr>
              <w:t>2020 -</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0" w:type="dxa"/>
            <w:vAlign w:val="bottom"/>
          </w:tcPr>
          <w:p>
            <w:pPr>
              <w:spacing w:after="0"/>
              <w:rPr>
                <w:sz w:val="1"/>
                <w:szCs w:val="1"/>
                <w:color w:val="auto"/>
              </w:rPr>
            </w:pPr>
          </w:p>
        </w:tc>
      </w:tr>
      <w:tr>
        <w:trPr>
          <w:trHeight w:val="189"/>
        </w:trPr>
        <w:tc>
          <w:tcPr>
            <w:tcW w:w="3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debt</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1,328,191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40,930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125,274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266,606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252,056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66,896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576,429</w:t>
            </w:r>
          </w:p>
        </w:tc>
        <w:tc>
          <w:tcPr>
            <w:tcW w:w="0" w:type="dxa"/>
            <w:vAlign w:val="bottom"/>
          </w:tcPr>
          <w:p>
            <w:pPr>
              <w:spacing w:after="0"/>
              <w:rPr>
                <w:sz w:val="1"/>
                <w:szCs w:val="1"/>
                <w:color w:val="auto"/>
              </w:rPr>
            </w:pPr>
          </w:p>
        </w:tc>
      </w:tr>
      <w:tr>
        <w:trPr>
          <w:trHeight w:val="189"/>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Scheduled interest payment obligations (1)</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289,551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50,168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47,137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40,908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37,811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109,218</w:t>
            </w:r>
          </w:p>
        </w:tc>
        <w:tc>
          <w:tcPr>
            <w:tcW w:w="0" w:type="dxa"/>
            <w:vAlign w:val="bottom"/>
          </w:tcPr>
          <w:p>
            <w:pPr>
              <w:spacing w:after="0"/>
              <w:rPr>
                <w:sz w:val="1"/>
                <w:szCs w:val="1"/>
                <w:color w:val="auto"/>
              </w:rPr>
            </w:pPr>
          </w:p>
        </w:tc>
      </w:tr>
      <w:tr>
        <w:trPr>
          <w:trHeight w:val="189"/>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obligations (2)</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105,413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87,392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1,290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2,136</w:t>
            </w:r>
          </w:p>
        </w:tc>
        <w:tc>
          <w:tcPr>
            <w:tcW w:w="0" w:type="dxa"/>
            <w:vAlign w:val="bottom"/>
          </w:tcPr>
          <w:p>
            <w:pPr>
              <w:spacing w:after="0"/>
              <w:rPr>
                <w:sz w:val="1"/>
                <w:szCs w:val="1"/>
                <w:color w:val="auto"/>
              </w:rPr>
            </w:pPr>
          </w:p>
        </w:tc>
      </w:tr>
      <w:tr>
        <w:trPr>
          <w:trHeight w:val="189"/>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obligations (3)</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149,293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13,234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50,547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32,874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17,563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10,124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24,951</w:t>
            </w:r>
          </w:p>
        </w:tc>
        <w:tc>
          <w:tcPr>
            <w:tcW w:w="0" w:type="dxa"/>
            <w:vAlign w:val="bottom"/>
          </w:tcPr>
          <w:p>
            <w:pPr>
              <w:spacing w:after="0"/>
              <w:rPr>
                <w:sz w:val="1"/>
                <w:szCs w:val="1"/>
                <w:color w:val="auto"/>
              </w:rPr>
            </w:pPr>
          </w:p>
        </w:tc>
      </w:tr>
      <w:tr>
        <w:trPr>
          <w:trHeight w:val="189"/>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Finance lease obligations (3)</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22,176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1,693</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997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2,939</w:t>
            </w:r>
          </w:p>
        </w:tc>
        <w:tc>
          <w:tcPr>
            <w:tcW w:w="0" w:type="dxa"/>
            <w:vAlign w:val="bottom"/>
          </w:tcPr>
          <w:p>
            <w:pPr>
              <w:spacing w:after="0"/>
              <w:rPr>
                <w:sz w:val="1"/>
                <w:szCs w:val="1"/>
                <w:color w:val="auto"/>
              </w:rPr>
            </w:pPr>
          </w:p>
        </w:tc>
      </w:tr>
      <w:tr>
        <w:trPr>
          <w:trHeight w:val="189"/>
        </w:trPr>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Severance obligations (4)</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119,090</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10,324</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8,577</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7,797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80,048</w:t>
            </w:r>
          </w:p>
        </w:tc>
        <w:tc>
          <w:tcPr>
            <w:tcW w:w="0" w:type="dxa"/>
            <w:vAlign w:val="bottom"/>
          </w:tcPr>
          <w:p>
            <w:pPr>
              <w:spacing w:after="0"/>
              <w:rPr>
                <w:sz w:val="1"/>
                <w:szCs w:val="1"/>
                <w:color w:val="auto"/>
              </w:rPr>
            </w:pPr>
          </w:p>
        </w:tc>
      </w:tr>
      <w:tr>
        <w:trPr>
          <w:trHeight w:val="208"/>
        </w:trPr>
        <w:tc>
          <w:tcPr>
            <w:tcW w:w="3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contractual obligations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2,013,714</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151,497</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252,634</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364,254</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324,693</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124,915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795,721</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660" w:hanging="328"/>
        <w:spacing w:after="0" w:line="282" w:lineRule="auto"/>
        <w:tabs>
          <w:tab w:leader="none" w:pos="65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interest payment obligations calculated using stated coupon rates for fixed rate debt and interest rates applicable at September 30, 2020, for variable rate debt.</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off-balance sheet purchase obligations for capital expenditures, long-term supply contracts and other contractual commitments outstanding at September 30, 2020.</w:t>
      </w:r>
    </w:p>
    <w:p>
      <w:pPr>
        <w:spacing w:after="0" w:line="10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future minimum lease payments including interest payments.</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estimated benefit payments for our Korean subsidiary severance plan at September 30, 2020. In October 2020, some employees accepted our offer to convert their Korean severance plan participation to a defined contribution plan, which will reduce our liability under the severance plan and require us to fund the converted portion of the liability. The conversion is not reflected in the table above and we expect to fund the converted amount during the fourth quarter of 2020. We refer you to Note 12 to our Consolidated Financial Statements in Part 1, Item 1 of this Quarterly Report on Form 10-Q for additional information.</w:t>
      </w:r>
    </w:p>
    <w:p>
      <w:pPr>
        <w:spacing w:after="0" w:line="1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to the obligations identified in the table above, other non-current liabilities recorded in our Consolidated Balance Sheet at September 30, 2020 include:</w:t>
      </w: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$68.3 million of foreign pension plan obligations, for which the timing and actual amount of impact on our future cash flow is uncertain.</w:t>
      </w:r>
    </w:p>
    <w:p>
      <w:pPr>
        <w:spacing w:after="0" w:line="1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$30.4 million net liability associated with unrecognized tax benefits. Due to the uncertainty regarding the amount and the timing of any future cash outflows associated with our unrecognized tax benefits, we are unable to reasonably estimate the amount and period of ultimate settlement, if any, with the various taxing authorities.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September 30, 2020, we had no off-balance sheet guarantees or other off-balance sheet arrangements as defined in Item 303(a)(4)(ii) of SEC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 Indemnifications and Guarantees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refer you to Note 14 to our Consolidated Financial Statements in Part I, Item 1 of this Quarterly Report on Form 10-Q for a discussion of our contingencies related to litigation and other legal matters.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critical accounting policies are disclosed in our Annual Report on Form 10-K for the year ended December 31, 2019. During the nine months ended September 30, 2020, there were no significant changes in our critical accounting policies as reported in our 2019 Annual Report on Form 10-K.</w:t>
      </w:r>
    </w:p>
    <w:p>
      <w:pPr>
        <w:spacing w:after="0" w:line="18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 Sensitivity</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exposed to market risks, primarily related to foreign currency and interest rate fluctuations. In the normal course of business, we employ established policies and procedures to manage the exposure to fluctuations in foreign currency values and changes in interest rates.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U.S. dollar is our reporting and functional currency for us and for our subsidiaries, except for our Japan operations, where the Japanese Yen is the functional currency. In order to reduce our exposure to foreign currency gains and losses, we generally use natural hedging techniques to reduce foreign currency rate risk. We also use forward contracts to mitigate foreign currency risk of certain net monetary liabilities denominated in foreign currencies.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foreign currency exchange rate risk associated with the remeasurement of monetary assets and liabilities on our Consolidated Balance Sheets that are denominated in currencies other than the functional currency. We performed a sensitivity analysis of our foreign currency exposure as of September 30, 2020 to assess the potential impact of fluctuations in exchange rates for all foreign denominated assets and liabilities. Assuming that all foreign currencies appreciated 10% against the U.S. dollar, taking into account our foreign currency forward contracts, our income before taxes for the nine months ended September 30, 2020 would have been approximately $12 million lower, due to the remeasurement of monetary assets and liabilities.</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we have foreign currency exchange rate exposure on our results of operations. For the nine months ended September 30, 2020, approximately 85% of our net sales were denominated in U.S. dollars. Our remaining net sales were principally denominated in Japanese Yen. For the nine months ended September 30, 2020, approximately 45% of our cost of sales and operating expenses were denominated in U.S. dollars and were largely for raw materials and costs associated with property, plant and equipment. The remaining portion of our cost of sales and operating expenses was principally denominated in the Asian currencies where our production facilities are located and largely consisted of labor. To the extent that the U.S. dollar weakens against these Asian-based currencies, similar foreign currency denominated income and expenses in the future will result in higher sales, higher cost of sales and operating expenses, with cost of sales and operating expenses having the greater impact on our financial results. Similarly, our sales, cost of sales and operating expenses will decrease if the U.S. dollar strengthens against these foreign currencies. We performed a sensitivity analysis of our foreign currency exposure as of September 30, 2020 to assess the potential impact of fluctuations in exchange rates for all foreign denominated sales and operating expenses. Assuming that all foreign currencies appreciated 10% against the U.S. dollar, our operating income for the nine months ended September 30, 2020 would have been approximately $93 million lower.</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inherent limitations in the sensitivity analysis presented, primarily the assumption that foreign exchange rate movements across multiple jurisdictions would change instantaneously in an equal fashion. As a result, the analysis is unable to reflect the potential effects of more complex market or other changes that could arise which may positively or negatively affect our results of operations.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Consolidated Financial Statements are impacted by changes in exchange rates at the entity where the local currency is the functional currency. The effect of foreign exchange rate translation for these entities was a gain of $4.0 million and $3.7 million for the nine months ended September 30, 2020 and 2019, respectively, and was recognized as an adjustment to equity through other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interest rate risk with respect to our available-for-sale debt investments. Our investment portfolio consists of various security types and maturities, with a significant portion of our portfolio having maturity of one year or less. Our primary objective with our investment portfolio is to invest available cash while preserving capital and meeting liquidity needs. These securities are subject to interest rate risk and will decrease in value if market interest rates increase. We do not have hedging instruments for our available-for-sale debt investments, and they are held for purposes other than trading. Due to the relatively short-term nature of our investment portfolio, an immediate increase in interest rates will not have a material impact on the fair value of our available-for-sale debt investments. For information regarding our available-for-sale debt investments, see Note 7 to our Consolidated Financial Statements in Part I, Item 1 of this Quarterly Report on Form 10-Q.</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have interest rate risk with respect to our debt. Our fixed and variable rate debt includes foreign borrowings, revolving credit facilities and senior notes. Changes in interest rates have different impacts on the fixed and variable rate portions of our debt portfolio. A change in interest rates on the fixed portion of the debt portfolio impacts the fair value of the debt instrument but has no impact on interest expense or cash flows. A change in interest rates on the variable portion of the debt portfolio impacts the interest incurred and cash flows but does not generally impact the fair value of the instrument.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interest rates, maturities and fair value of our fixed and variable rate debt as of September 30, 2020:</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880" w:type="dxa"/>
            <w:vAlign w:val="bottom"/>
          </w:tcPr>
          <w:p>
            <w:pPr>
              <w:spacing w:after="0"/>
              <w:rPr>
                <w:sz w:val="15"/>
                <w:szCs w:val="15"/>
                <w:color w:val="auto"/>
              </w:rPr>
            </w:pPr>
          </w:p>
        </w:tc>
        <w:tc>
          <w:tcPr>
            <w:tcW w:w="11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2020 - Remaining</w:t>
            </w: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3"/>
                <w:szCs w:val="13"/>
                <w:b w:val="1"/>
                <w:bCs w:val="1"/>
                <w:color w:val="auto"/>
              </w:rPr>
              <w:t>2021</w:t>
            </w: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Thereafter</w:t>
            </w: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3"/>
                <w:szCs w:val="13"/>
                <w:b w:val="1"/>
                <w:bCs w:val="1"/>
                <w:color w:val="auto"/>
              </w:rPr>
              <w:t>Fair Value</w:t>
            </w:r>
          </w:p>
        </w:tc>
      </w:tr>
      <w:tr>
        <w:trPr>
          <w:trHeight w:val="171"/>
        </w:trPr>
        <w:tc>
          <w:tcPr>
            <w:tcW w:w="1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 in thousands)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94"/>
        </w:trPr>
        <w:tc>
          <w:tcPr>
            <w:tcW w:w="1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Fixed rate debt</w:t>
            </w:r>
          </w:p>
        </w:tc>
        <w:tc>
          <w:tcPr>
            <w:tcW w:w="2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29,890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116,752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222,356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103,870</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66,896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576,429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1,116,193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1,165,835</w:t>
            </w:r>
          </w:p>
        </w:tc>
      </w:tr>
      <w:tr>
        <w:trPr>
          <w:trHeight w:val="189"/>
        </w:trPr>
        <w:tc>
          <w:tcPr>
            <w:tcW w:w="18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Average interest rate</w:t>
            </w: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6.4 %</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9"/>
        </w:trPr>
        <w:tc>
          <w:tcPr>
            <w:tcW w:w="1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Variable rate debt</w:t>
            </w:r>
          </w:p>
        </w:tc>
        <w:tc>
          <w:tcPr>
            <w:tcW w:w="2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11,040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8,522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44,250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148,186</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211,998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211,151</w:t>
            </w:r>
          </w:p>
        </w:tc>
      </w:tr>
      <w:tr>
        <w:trPr>
          <w:trHeight w:val="189"/>
        </w:trPr>
        <w:tc>
          <w:tcPr>
            <w:tcW w:w="18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Average interest rate</w:t>
            </w: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0.6 %</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6"/>
                <w:szCs w:val="16"/>
                <w:color w:val="auto"/>
              </w:rPr>
            </w:pPr>
          </w:p>
        </w:tc>
        <w:tc>
          <w:tcPr>
            <w:tcW w:w="10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8"/>
        </w:trPr>
        <w:tc>
          <w:tcPr>
            <w:tcW w:w="1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debt maturities</w:t>
            </w:r>
          </w:p>
        </w:tc>
        <w:tc>
          <w:tcPr>
            <w:tcW w:w="2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40,930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125,274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266,606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252,056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66,896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576,429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1,328,191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1,376,986</w:t>
            </w: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For information regarding the fair value of our long-term debt, see Note 13 to our Consolidated Financial Statements in Part I, Item 1 of this Quarterly Report on Form 10-Q.</w:t>
      </w:r>
    </w:p>
    <w:p>
      <w:pPr>
        <w:spacing w:after="0" w:line="18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i w:val="1"/>
          <w:iCs w:val="1"/>
          <w:color w:val="auto"/>
        </w:rPr>
        <w:t>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periodic reports to the Securities and Exchange Commission (“SEC”) is recorded, processed, summarized and reported within the time periods specified in the SEC’s rules and forms and that such information is accumulated and communicated to our management, including the Chief Executive Officer and the Chief Financial Officer, as appropriate, to allow timely decisions regarding required disclosure, based on the definition of “disclosure controls and procedures” in Rule 13a-15(e) and Rule 15d-15(e) under the Securities Exchange Act of 1934, as amended. In designing and evaluating the disclosure controls and procedures, management recognizes that any disclosure controls and procedures, no matter how well designed and operated, can provide only reasonable assurance of achieving the desired control objectives, and management necessarily is required to apply its judgment in evaluating the cost-benefit relationship of possible disclosure controls and procedures.</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management, including our Chief Executive Officer and our Chief Financial Officer, of the effectiveness of the design and operation of our disclosure controls and procedures as of September 30, 2020 and concluded those disclosure controls and procedures were effective as of that date.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that occurred during the three months ended September 30, 2020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about legal proceedings is set forth in Note 14 to our Consolidated Financial Statements in Part I, Item 1 of this Quarterly Report on Form 10-Q and in Note 17 to our Annual Report on Form 10-K for the year ended December 31, 2019.</w:t>
      </w:r>
    </w:p>
    <w:p>
      <w:pPr>
        <w:spacing w:after="0" w:line="18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factors discussed below are cautionary statements that identify important factors and risks that could cause actual results to differ materially from those anticipated by the forward-looking statements contained in this report. For more information regarding the forward-looking statements contained in this report, see the Table of Contents of this Quarterly Report on Form 10-Q. You should carefully consider the risks and uncertainties described below, together with all of the other information included in this report, in considering our business and prospects. Many of the following risks and uncertainties are, and will be, exacerbated by the Covid-19 pandemic and any worsening of the global business and economic environment as a result. The risks and uncertainties described below are not the only ones facing Amkor. Additional risks and uncertainties not presently known to us may also adversely affect our business operations. The occurrence of any of the risks and uncertainties described below could affect our business, liquidity, results of operations, financial condition or cash flows.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35"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An investment in our common stock involves various risks, and you are urged to carefully consider all of the matters discussed in Part II, Item 1A of this Quarterly Report on Form 10-Q under the caption “Risk Factors” (not just those discussed under “Summary of Risk Factors”) in considering our business and prospects. The following is a list of some of these risks: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Company-Specific Risk Factors</w:t>
      </w:r>
    </w:p>
    <w:p>
      <w:pPr>
        <w:spacing w:after="0" w:line="135" w:lineRule="exact"/>
        <w:rPr>
          <w:sz w:val="20"/>
          <w:szCs w:val="20"/>
          <w:color w:val="auto"/>
        </w:rPr>
      </w:pPr>
    </w:p>
    <w:p>
      <w:pPr>
        <w:ind w:left="660" w:hanging="328"/>
        <w:spacing w:after="0" w:line="237"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the highly cyclical, volatile semiconductor industry and vulnerability to industry downturns and declines in global economic and financial conditions;</w:t>
      </w:r>
    </w:p>
    <w:p>
      <w:pPr>
        <w:spacing w:after="0" w:line="10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international factories and operations, and risks relating to our customers’ and vendors’ international operations;</w:t>
      </w:r>
    </w:p>
    <w:p>
      <w:pPr>
        <w:spacing w:after="0" w:line="130"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established competitors in the packaging and test business, the internal capabilities of integrated device manufacturers, and new competitors, including foundries;</w:t>
      </w:r>
    </w:p>
    <w:p>
      <w:pPr>
        <w:spacing w:after="0" w:line="10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our integrated device manufacturer and foundry customers to curtail outsourcing;</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absence of backlog and the short-term nature of our customers’ commitments;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investments in equipment and facilities to support the demand of our customers;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achieving high capacity utilization rates due to high percentage of fixed costs;</w:t>
      </w:r>
    </w:p>
    <w:p>
      <w:pPr>
        <w:spacing w:after="0" w:line="130"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costs, quality, availability and delivery times of raw materials, components and equipment, including any disruption in the supply of certain materials due to regulations and customer requirements, as well as wage inflation and fluctuations in commodity prices;</w:t>
      </w:r>
    </w:p>
    <w:p>
      <w:pPr>
        <w:spacing w:after="0" w:line="10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Times New Roman" w:cs="Times New Roman" w:eastAsia="Times New Roman" w:hAnsi="Times New Roman"/>
          <w:sz w:val="18"/>
          <w:szCs w:val="18"/>
          <w:color w:val="auto"/>
        </w:rPr>
        <w:t>the historical downward pressure on the prices of our packaging and test services;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Times New Roman" w:cs="Times New Roman" w:eastAsia="Times New Roman" w:hAnsi="Times New Roman"/>
          <w:sz w:val="18"/>
          <w:szCs w:val="18"/>
          <w:color w:val="auto"/>
        </w:rPr>
        <w:t>fluctuations in our manufacturing yields;</w:t>
      </w:r>
    </w:p>
    <w:p>
      <w:pPr>
        <w:spacing w:after="0" w:line="129" w:lineRule="exact"/>
        <w:rPr>
          <w:rFonts w:ascii="Arial" w:cs="Arial" w:eastAsia="Arial" w:hAnsi="Arial"/>
          <w:sz w:val="18"/>
          <w:szCs w:val="18"/>
          <w:color w:val="auto"/>
        </w:rPr>
      </w:pPr>
    </w:p>
    <w:p>
      <w:pPr>
        <w:ind w:left="660" w:hanging="328"/>
        <w:spacing w:after="0" w:line="237" w:lineRule="auto"/>
        <w:tabs>
          <w:tab w:leader="none" w:pos="655" w:val="left"/>
        </w:tabs>
        <w:numPr>
          <w:ilvl w:val="0"/>
          <w:numId w:val="16"/>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develop new proprietary technology, protect our proprietary technology, operate without infringing the proprietary rights of others, and implement new technologies;</w:t>
      </w:r>
    </w:p>
    <w:p>
      <w:pPr>
        <w:spacing w:after="0" w:line="103" w:lineRule="exact"/>
        <w:rPr>
          <w:rFonts w:ascii="Arial" w:cs="Arial" w:eastAsia="Arial" w:hAnsi="Arial"/>
          <w:sz w:val="18"/>
          <w:szCs w:val="18"/>
          <w:color w:val="auto"/>
        </w:rPr>
      </w:pPr>
    </w:p>
    <w:p>
      <w:pPr>
        <w:ind w:left="660" w:hanging="328"/>
        <w:spacing w:after="0" w:line="237" w:lineRule="auto"/>
        <w:tabs>
          <w:tab w:leader="none" w:pos="655" w:val="left"/>
        </w:tabs>
        <w:numPr>
          <w:ilvl w:val="0"/>
          <w:numId w:val="16"/>
        </w:numPr>
        <w:rPr>
          <w:rFonts w:ascii="Arial" w:cs="Arial" w:eastAsia="Arial" w:hAnsi="Arial"/>
          <w:sz w:val="18"/>
          <w:szCs w:val="18"/>
          <w:color w:val="auto"/>
        </w:rPr>
      </w:pPr>
      <w:r>
        <w:rPr>
          <w:rFonts w:ascii="Times New Roman" w:cs="Times New Roman" w:eastAsia="Times New Roman" w:hAnsi="Times New Roman"/>
          <w:sz w:val="18"/>
          <w:szCs w:val="18"/>
          <w:color w:val="auto"/>
        </w:rPr>
        <w:t>any warranty claims, product return and liability risks, and the risk of negative publicity if our products fail, as well as the risk of litigation incident to our business;</w:t>
      </w:r>
    </w:p>
    <w:p>
      <w:pPr>
        <w:spacing w:after="0" w:line="11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22"/>
          <w:szCs w:val="22"/>
          <w:color w:val="auto"/>
        </w:rPr>
      </w:pPr>
      <w:r>
        <w:rPr>
          <w:rFonts w:ascii="Times New Roman" w:cs="Times New Roman" w:eastAsia="Times New Roman" w:hAnsi="Times New Roman"/>
          <w:sz w:val="18"/>
          <w:szCs w:val="18"/>
          <w:color w:val="auto"/>
        </w:rPr>
        <w:t>restrictive covenants in the indentures and agreements governing our current and future indebtedness;</w:t>
      </w:r>
    </w:p>
    <w:p>
      <w:pPr>
        <w:spacing w:after="0" w:line="116" w:lineRule="exact"/>
        <w:rPr>
          <w:rFonts w:ascii="Arial" w:cs="Arial" w:eastAsia="Arial" w:hAnsi="Arial"/>
          <w:sz w:val="22"/>
          <w:szCs w:val="22"/>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interest rates and changes in credit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the possibility that we may decrease or suspend our quarterly dividend;</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our significant severance plan obligations associated with our manufacturing operations in Korea; and</w:t>
      </w:r>
    </w:p>
    <w:p>
      <w:pPr>
        <w:spacing w:after="0" w:line="116"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certain of our stockholders to effectively determine or substantially influence the outcome of matters requiring stockholder approval.</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135" w:lineRule="exact"/>
        <w:rPr>
          <w:sz w:val="20"/>
          <w:szCs w:val="20"/>
          <w:color w:val="auto"/>
        </w:rPr>
      </w:pPr>
    </w:p>
    <w:p>
      <w:pPr>
        <w:ind w:left="660" w:hanging="328"/>
        <w:spacing w:after="0" w:line="237"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conditions or pandemics, such as COVID-19, impacting labor availability and operating capacity, capital availability, the supply chain and consumer demand for our customers’ products and services;</w:t>
      </w:r>
    </w:p>
    <w:p>
      <w:pPr>
        <w:spacing w:after="0" w:line="104"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 in demand for semiconductors and conditions in the semiconductor industry generally, as well as by specific customers, such as inventory reductions by our customers impacting demand in key markets;</w:t>
      </w:r>
    </w:p>
    <w:p>
      <w:pPr>
        <w:spacing w:after="0" w:line="104" w:lineRule="exact"/>
        <w:rPr>
          <w:rFonts w:ascii="Times New Roman" w:cs="Times New Roman" w:eastAsia="Times New Roman" w:hAnsi="Times New Roman"/>
          <w:sz w:val="18"/>
          <w:szCs w:val="18"/>
          <w:color w:val="auto"/>
        </w:rPr>
      </w:pPr>
    </w:p>
    <w:p>
      <w:pPr>
        <w:ind w:left="660" w:right="20" w:hanging="328"/>
        <w:spacing w:after="0" w:line="237"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transition and ramp to high volume manufacture of more advanced silicon nodes and evolving wafer, packaging and test technologies, may cause production delays, lower manufacturing yields and supply constraints for new wafers and other materials;</w:t>
      </w:r>
    </w:p>
    <w:p>
      <w:pPr>
        <w:spacing w:after="0" w:line="10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indebtedness;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funding our liquidity needs;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key customers or concentration of customers in certain end markets, such as mobile communications and automotive;</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attracting, retaining or replacing qualified personnel;</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effective system of internal controls;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continuing development and implementation of changes to, and maintenance and security of, our information technology systems;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with integrating diverse operations;</w:t>
      </w:r>
    </w:p>
    <w:p>
      <w:pPr>
        <w:spacing w:after="0" w:line="130"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tax laws (including with respect to the Tax Act), taxing authorities not agreeing with our interpretation of applicable tax laws, including whether we continue to qualify for tax holidays, or any requirements to establish or adjust valuation allowances on deferred tax assets;</w:t>
      </w:r>
    </w:p>
    <w:p>
      <w:pPr>
        <w:spacing w:after="0" w:line="104" w:lineRule="exact"/>
        <w:rPr>
          <w:rFonts w:ascii="Times New Roman" w:cs="Times New Roman" w:eastAsia="Times New Roman" w:hAnsi="Times New Roman"/>
          <w:sz w:val="18"/>
          <w:szCs w:val="18"/>
          <w:color w:val="auto"/>
        </w:rPr>
      </w:pPr>
    </w:p>
    <w:p>
      <w:pPr>
        <w:jc w:val="both"/>
        <w:ind w:left="660" w:hanging="328"/>
        <w:spacing w:after="0" w:line="263" w:lineRule="auto"/>
        <w:tabs>
          <w:tab w:leader="none" w:pos="65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laws, rules, regulations and policies imposed by U.S. or other governments, such as tariffs, customs, duties and other restrictive trade barriers, national security, data privacy and cybersecurity, antitrust and competition, tax, currency and banking, labor, environmental, health and safety; and</w:t>
      </w:r>
    </w:p>
    <w:p>
      <w:pPr>
        <w:spacing w:after="0" w:line="84"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other calamities, health conditions or pandemics, political instability, hostilities or other disruptions.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Company-Specific Risk Factors</w:t>
      </w:r>
    </w:p>
    <w:p>
      <w:pPr>
        <w:spacing w:after="0" w:line="158" w:lineRule="exact"/>
        <w:rPr>
          <w:sz w:val="20"/>
          <w:szCs w:val="20"/>
          <w:color w:val="auto"/>
        </w:rPr>
      </w:pPr>
    </w:p>
    <w:p>
      <w:pPr>
        <w:ind w:right="8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Dependence on the Highly Cyclical Semiconductor Industry - Our Packaging and Test Services Are Used in Volatile Industries and Industry Downturns, and Declines in Global Economic and Financial Conditions Could Harm Our Performance.</w:t>
      </w:r>
    </w:p>
    <w:p>
      <w:pPr>
        <w:spacing w:after="0" w:line="1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is impacted by market conditions in the semiconductor industry, which is cyclical by nature and impacted by broad economic factors, such as world-wide gross domestic product and consumer spending. The semiconductor industry has experienced significant and sometimes sudden and prolonged downturns in the past. If the industry or markets we compete in experience slower, or even negative growth, our business and results of operations may be adversely affected.</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our business is, and will continue to be, dependent on the requirements of semiconductor companies for outsourced packaging and test services, any downturn in the semiconductor industry or any other industry that uses a significant number of semiconductor devices, such as telecommunications, automotive, consumer electronics, or computing, could have a material adverse effect on our business and operating results. During downturns, we have experienced, among other things, reduced demand, excess capacity and reduced sales. For example, the Covid-19 pandemic has currently disrupted demand in the automotive end market, an inventory correction in the smartphone market and weakness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general market reduced demand during 2019, and generally soft economic conditions and a lack of compelling new mobile products constrained overall demand during 2015.</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declines in global economic and financial conditions have harmed our business in the past, and future global downturns could adversely affect our business. The Covid-19 pandemic and the effects of governmental initiatives to control the pandemic have adversely affected and may continue to adversely affect the economies and financial markets of many countries, resulting in an economic downturn that may affect demand for our services and our operating results. Although the magnitude of the impact of Covid-19 pandemic on our business and operations remains uncertain, the continued spread or potential re-emergence of Covid-19 or the occurrence of other epidemics or pandemics, and the imposition of related public health measures and travel and business restrictions may adversely impact our business, financial condition, operating results and cash flows. In addition, we have experienced and will continue to experience disruptions to our business operations resulting from quarantines, self-isolations, or other movement and restrictions on the ability of our employees to perform their jobs that may impact our ability to meet customer commitments. It is difficult to predict the timing, strength or duration of the economic slowdown caused by the Covid-19 pandemic, or which end markets will experience a slowdown, or subsequent economic recovery, which, in turn, makes it more challenging for us to forecast our operating results, make business decisions and identify risks that may affect our business, sources and uses of cash, financial condition and results of operations. Additionally, if industry conditions deteriorate, we could suffer significant losses, as we have in the past, which could materially impact our business, liquidity, results of operations, financial condition and cash flows.</w:t>
      </w:r>
    </w:p>
    <w:p>
      <w:pPr>
        <w:spacing w:after="0" w:line="13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Risks Associated with International Operations - We Depend on Our Factories and Operations in China, Japan, Korea, Malaysia, the Philippines, Portugal, Singapore and Taiwan. Many of Our Customers’ and Vendors’ Operations Are Also Located Outside of the U.S.</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provide packaging and test services through our factories and other operations located in China, Japan, Korea, Malaysia, the Philippines, Portugal, Singapore and Taiwan. Substantially all of our property, plant and equipment is located outside of the United States. Moreover, many of our customers and the vendors in our supply chain are located outside the U.S. The following are some of the risks we face in doing business internationally:</w:t>
      </w:r>
    </w:p>
    <w:p>
      <w:pPr>
        <w:spacing w:after="0" w:line="122"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and safety concerns, including widespread outbreak of infectious diseases, such as Covid-19;</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demand resulting from variations in local economies;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rules, regulations and policies imposed by U.S. or foreign governments in areas such as data privacy, cybersecurity, antitrust and competition, tax, currency and banking, labor, and environmental;</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trade barriers considered or adopted by U.S. and foreign governments applicable to the semiconductor supply chain, including laws, rules, regulations and policies in areas such as national security, licensing requirements for exports, tariffs, customs and duties;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rules, regulations and policies within China and other countries that may favor domestic companies over non-domestic companies, including customer- or government-supported efforts to promote the development and growth of local competitors;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dividends and other payments by non-U.S. subsidiaries may be subject to prohibitions, limitations or taxes in local jurisdictions;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particularly the dollar/yen exchange rate for our operations in Japan;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social conditions, and the potential for civil unrest, terrorism or other hostilities;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or delays in shipments caused by customs brokers or government agencies;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attracting and retaining qualified personnel and managing foreign operations, including foreign labor disruptions;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enforcing contractual rights and protecting our intellectual property rights;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resulting from tax laws in the U.S. and in other jurisdictions;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business and cultural factors that differ from our normal standards and practices, including business practices that we are prohibited from engaging in by the Foreign Corrupt Practices Act and other anti-corruption laws and regulations.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significant facilities and other investments in South Korea, and there have been heightened security concerns in recent years stemming from North Korea’s nuclear weapon and long-range missile programs as well as its military actions in the region. Furthermore, there has been a history of conflict and tension within and among other countries in the region.</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 Covid-19 pandemic has impacted and may continue to impact our operations and the operations of our customers and suppliers as a result of illness, quarantines, facility closures and travel and logistics restrictions in connection with the outbreak. For example, quarantine orders covering certain regions in the Philippines, including where our operations are located, have affected, and may in the future affect, our operations, and orders restricting movement in Malaysia temporarily forced us to pause operations as we obtained permission to resume operations in compliance with such orders. Other national, regional and local governments have implemented and may continue to implement similar restrictions to mitigate the spread of Covid-19 in jurisdictions in which we, our customers and our suppliers operate, and such restrictions may adversely impact our operations and the operations of our customers and suppliers. Such restrictions may also affect end-user demand in each geography where our customers sell their products and services, which may adversely affect demand for our services, our operating results and financial condition.</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Competition - We Compete Against Established Competitors in the Packaging and Test Business as Well as Internal Capabilities of Integrated Device Manufacturers and Face Competition from New Competitors, Including Foundries.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outsourced semiconductor packaging and test market is very competitive. We face substantial competition from established and emerging packaging and test service providers primarily located in Asia, including companies with significantly greater processing capacity, financial resources, local presence, research and development operations, marketing, technology and other capabilities. We also may face increased competition from domestic companies located in China, where there are government-supported efforts to promote the development and growth of the local semiconductor industry. We may be at a disadvantage in attempting to compete with entities associated with such government-supported initiatives based on their lower cost of capital, access to government resources and incentives, preferential sourcing practices, stronger local relationships or otherwise. Our competitors may also have established relationships, or enter into new strategic relationships, with one or more of the large semiconductor companies that are our current or potential customers, or key suppliers to these customers. Consolidation among our competitors could also strengthen their competitive position.</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face competition from contract foundries, such as Taiwan Semiconductor Manufacturing Company Limited and Samsung Electronics Co., Ltd., which offer full turnkey services from silicon wafer fabrication through packaging and final test. These foundries, which are substantially larger than us and have greater financial resources than we do, have expanded their operations to include packaging and test services and may continue to expand these capabilities in the future. If a key customer decides to purchase wafers from a semiconductor foundry that provides packaging and test services, our business could be reduced if the customer also engages that foundry for related packaging and test services.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assure you that we will be able to compete successfully in the future against our existing or potential competitors or that our customers will not rely on internal sources or foundries for packaging and test services, or that our business, liquidity, results of operations, financial condition and cash flows will not be adversely affected by such increased competition.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Decisions by Our Integrated Device Manufacturer and Foundry Customers to Curtail Outsourcing May Adversely Affect Our Business.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Historically, we have been dependent on the trend in outsourcing of packaging and test services by IDM customers. Our IDM and foundry customers continually evaluate the need for outsourced services against their own in-house packaging and test services. As a result, at any time and for a variety of reasons, IDMs and foundries may decide to shift some or all of their outsourced packaging and test services to internally sourced capacity.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 extent we limit capacity commitments for certain customers, these customers may increase their level of in-house packaging and test capabilities, which could make it more difficult for us to regain their business when we have available capacity.</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experience a significant loss of IDM or foundry business, it could have a material adverse effect on our business, liquidity, results of operations, financial condition and cash flows, especially during a prolonged industry downturn.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Absence of Backlog - The Lack of Contractually Committed Customer Demand May Adversely Affect Our Sales.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packaging and test business does not typically operate with any material backlog. Our quarterly net sales from packaging and test services are substantially dependent upon our customers’ demand in that quarter. Generally, none of our customers have committed to purchase any significant amount of packaging or test services or to provide us with binding forecasts of demand for packaging and test services for any future period, in any material amount. In addition, we sometimes experience double booking by customers, and our customers often reduce, cancel or delay their purchases of packaging and test services for a variety of reasons including industry-wide, customer-specific and Amkor-specific reasons. This makes it difficult for us to forecast our capacity utilization and net sales in future periods. Since a large portion of our costs is fixed and our expense levels are based in part on our expectations of future sales, we may not be able to adjust costs in a timely manner to compensate for any sales shortfall. If we are unable to adjust costs in a timely manner, our margins, operating results, financial condition and cash flows would be adversely affected.</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Capital Expenditures - We Make Substantial Investments in Equipment and Facilities to Support the Demand of Our Customers, Which May Adversely Affect Our Business if the Demand of Our Customers Does Not Develop as We Expect or Is Adversely Affected.</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make significant investments in equipment and facilities in order to service the demand of our customers. The amount of our capital expenditures depends on several factors, including the performance of our business, our assessment of future industry and customer demand, our capacity utilization levels and availability, advances in technology, our liquidity position and the availability of financing. Our ongoing capital expenditure requirements may strain our cash and short-term asset balances, and, in periods when we are expanding our capital base, we expect that depreciation expense and factory operating expenses associated with capital expenditures to increase production capacity will put downward pressure on our gross margin, at least in the near term. While we have completed the initial phases of construction of our factory and research and development facility in Incheon, Korea, there can be no assurance regarding when the facility will be fully utilized, or that the actual scope, costs, timeline or benefits of the project will be consistent with our expectations. From time to time, we also make significant capital expenditures based on specific business opportunities with one or a few key customers, and the additional equipment purchased may not be readily usable to support other customers. If demand is insufficient to fill our capacity, or we are unable to efficiently redeploy such equipment, our capacity utilization and gross margin could be negatively impacted. Our capital expenditures or cost per square foot may increase as we transition to new or more advanced packaging and test technologies because, among other reasons, new equipment used for these technologies is generally more expensive and often our existing equipment cannot be redeployed in whole or part for these technologies. To the extent this occurs in the future, our business, liquidity, results of operations, financial condition and cash flows could be materially adversely affected.</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if we cannot generate or raise additional funds to pay for capital expenditures, particularly in some of the advanced packaging and bumping areas, as well as research and development activities, our growth and future profitability may be adversely affected. Our ability to obtain external financing in the future is subject to a variety of uncertainties, including: our future financial condition, results of operations and cash flows; general market conditions for financing; volatility in fixed income, credit and equity markets; and economic, political and other global conditions.</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High Fixed Costs - Due to Our High Percentage of Fixed Costs, We Will Be Unable to Maintain Satisfactory Gross Margins if We Are Unable to Achieve Relatively High Capacity Utilization Rates.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operations are characterized by high fixed costs and the absence of any material backlog. Our profitability depends in part not only on pricing levels for our packaging and test services but also on the efficient utilization of our human resources and packaging and test equipment. Increases or decreases in our capacity utilization can significantly affect gross margins. Transitions between different packaging technologies can also impact our capacity utilization if we do not efficiently redeploy our equipment for other packaging and test opportunities. For example, in the past, the migration of some customer demand from wirebond to flip chip packages resulted in under-utilized wirebond assets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negatively impacted our capacity utilization and gross margin. We cannot assure you that we will be able to achieve consistently high capacity utilization, and if we fail to do so, our gross margins will be negatively impacted.</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our fixed operating costs have increased as a result of our efforts to expand our capacity through significant capital expenditures. Forecasted customer demand for which we have made capital investments may not materialize, and our sales may not adequately cover fixed costs, resulting in reduced profit levels or causing significant losses, either of which may adversely impact our business, liquidity, results of operations, financial condition and cash flows.</w:t>
      </w:r>
    </w:p>
    <w:p>
      <w:pPr>
        <w:spacing w:after="0" w:line="12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Dependence on Materials and Equipment Suppliers - Our Business May Suffer If the Cost, Quality or Supply of Materials or Equipment Changes Adversely Including Any Disruption that May Occur in the Supply of Certain Materials due to Regulations and Customer Requirements.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obtain the materials and equipment required for the packaging and test services performed by our factories from various vendors. We source most of our materials, including critical materials such as leadframes, laminate substrates and gold wire, from a limited group of suppliers. A disruption to the operations of one or more of our suppliers could have a negative impact on our business. For example, the actions that government authorities and businesses worldwide have taken in response to Covid-19 have resulted in, to date, limited business disruption, including delays in shipments of equipment, supplies and other materials. To the extent the impact of Covid-19 continues or worsens, we may have greater difficulty obtaining the equipment, supplies and other materials necessary for performance of our services. Furthermore, severe earthquakes, flooding and tsunamis in the past have significantly and adversely affected the electronics industry supply chain by impacting the supply of specialty chemicals, substrates, silicon wafers, equipment and other supplies to the electronics industry.</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purchase the majority of our materials on a purchase order basis. Our business may be harmed if we cannot obtain materials and other supplies from our vendors in a timely manner, in sufficient quantities, at acceptable quality or at competitive prices. Some of our customers are also dependent on a limited number of suppliers for certain materials and silicon wafers. Shortages or disruptions in our customers’ supply channels could have a material adverse effect on our business, financial condition, results of operations and cash flows. For example, the shortage in the supply of wafers to some of our customers in a prior year delayed or otherwise adversely impacted the demand for certain of our advanced packaging and test services.</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SEC rules and related industry initiatives require diligence and disclosure regarding the use of certain minerals originating from the conflict zones of the Democratic Republic of Congo and adjoining countries. Many of our customers’ initiatives require us to certify that the covered materials we use in our packages do not come from the conflict areas. We incur costs associated with complying with these requirements and customer initiatives, and we may be required to increase our efforts in the future to cover additional materials and geographic areas. These requirements and customer initiatives could affect the pricing, sourcing and availability of materials used in the manufacture of semiconductor devices, and we cannot assure you that we will be able to obtain conflict-free materials or other materials covered by customer initiatives in sufficient quantities and at competitive prices or that we will be able to verify the origin of all of the materials we procure. If we are unable to meet these requirements and customer initiatives, it could adversely affect our business as some customers may move their business to other suppliers, and our reputation could also be adversely affected.</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purchase new packaging and test equipment to maintain and expand our operations. From time to time, increased demand for new equipment may cause lead times to extend beyond those normally required by equipment vendors. For example, in the past, increased demand for equipment caused some equipment suppliers to only partially satisfy our equipment orders in the normal time frame or to increase prices during market upturns for the semiconductor industry. The unavailability of equipment or failures to deliver equipment on a timely basis could delay or impair our ability to meet customer orders. If we are unable to meet customer orders, we could lose potential and existing customers. Generally, we acquire our equipment on a purchase order basis and do not enter into long-term equipment agreements. As a result, we could experience adverse changes in pricing, currency risk and potential shortages in equipment in a strong market, any of which could have a material adverse effect on our results of operations.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large buyer of gold and other commodity materials including substrates and copper. The prices of gold and other commodities used in our business fluctuate. Historically, we have been able to partially offset the effect of commodity price increases through price adjustments to some customers and changes in our product designs that reduce the material content and cost, such as the use of shorter, thinner, gold wire and migration to copper wire. However,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typically do not have long-term contracts that permit us to impose price adjustments, and market conditions may limit our ability to do so. Significant price increases may adversely impact our gross margin in future periods to the extent we are unable to pass along past or future commodity price increases to our customers.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Declining Average Selling Prices - Historically There Has Been Downward Pressure on the Prices of Our Packaging and Test Services.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Prices for packaging and test services have generally declined over time, and sometimes prices can change significantly in relatively short periods of time. We expect downward pressure on average selling prices for our packaging and test services to continue in the future, and this pressure may intensify during downturns in business. If we are unable to offset a decline in average selling prices by developing and marketing new packages with higher prices, reducing our purchasing costs, recovering more of our material cost increases from our customers and reducing our manufacturing costs, our business, liquidity, results of operations, financial condition and cash flows could be materially adversely affected.</w:t>
      </w:r>
    </w:p>
    <w:p>
      <w:pPr>
        <w:spacing w:after="0" w:line="1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Packaging and Test Processes Are Complex and Our Production Yields and Customer Relationships May Suffer from Defects in the Services We Provide or if We Do Not Successfully Implement New Technologies.</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Semiconductor packaging and test services are complex processes that require significant technological and process expertise, and in line with industry practice, customers usually require us to pass a lengthy and rigorous qualification process that may take several months. Once qualified and in production, defective packages primarily result from:</w:t>
      </w:r>
    </w:p>
    <w:p>
      <w:pPr>
        <w:spacing w:after="0" w:line="122"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contaminants in the manufacturing environment;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human error;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malfunction;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processes to address environmental requirements;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defective raw materials;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defective plating services.</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Test is also complex and involves sophisticated equipment and software. Similar to many software programs, these software programs are complex and may contain programming errors or “bugs.” The test equipment is also subject to malfunction, and the test process is subject to operator error.</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and other factors have, from time to time, contributed to lower production yields. They may also do so in the future, particularly as we adjust our capacity, change our processing steps or ramp new technologies. In addition, we must continue to develop and implement new packaging and test technologies and expand our offering of packages to be competitive. Our production yields on new packages, particularly those packages which are based on new technologies, typically are significantly lower than our production yields on our more established packages.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failure to qualify new processes, maintain quality standards or acceptable production yields, if significant and prolonged, could result in loss of customers, increased costs of production, delays, substantial amounts of returned goods and claims by customers relating thereto. Any of these problems could have a material adverse effect on our business, liquidity, results of operations, financial condition and cash flows.</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 Our Business Will Suffer if We Are Not Able to Develop New Proprietary Technology, Protect Our Proprietary Technology and Operate Without Infringing the Proprietary Rights of Others.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complexity and breadth of semiconductor packaging, SiP modules and test services are rapidly increasing. As a result, we expect that we will need to develop, acquire and implement new manufacturing processes and packaging technologies and tools in order to respond to competitive industry conditions and customer requirements. Technological advances also typically lead to rapid and significant price erosion and may make our existing packages less competitive or our existing inventories obsolete. If we cannot achieve advances in packaging design or obtain access to advanced packaging designs developed by others, our business could suffer.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need to develop and maintain advanced packaging capabilities and equipment could require significant research and development, capital expenditures and acquisitions in future years. In addition, converting to new packaging designs or process methodologies could result in delays in producing new package types, which could adversely affect our ability to meet customer orders and adversely impact our business.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process of seeking patent protection takes a long time and is expensive. There can be no assurance that patents will issue from pending or future applications or that, if patents are issued, the rights granted under the patents will provide us with meaningful protection or any commercial advantage. Any patents we do obtain will eventually expire, may be challenged, invalidated or circumvented and may not provide us meaningful protection or other commercial advantage.</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Some of our technologies are not covered by any patent or patent application. The confidentiality agreements on which we rely to protect these technologies may be breached and may not be adequate to protect our proprietary technologies. There can be no assurance that other countries in which we market our services will protect our intellectual property rights to the same extent as the U.S.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competitors may develop, patent or gain access to know-how and technology similar or superior to our own. In addition, many of our patents are subject to cross licenses, several of which are with our competitors. The semiconductor industry is characterized by frequent claims regarding the infringement of patent and other intellectual property rights. If any third party makes an enforceable infringement claim against us or our customers, we could be required to:</w:t>
      </w:r>
    </w:p>
    <w:p>
      <w:pPr>
        <w:spacing w:after="0" w:line="126"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discontinue the use of certain processes or cease to provide the services at issue, which could curtail our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non-infringing technologies, which may not be feasible;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licenses to such technology, which may not be available on commercially reasonable terms or at all.</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need to enforce our patents or other intellectual property rights, including our rights under patent and intellectual property licenses with third parties, or defend ourselves against claimed infringement of the rights of others through litigation, which could result in substantial cost and diversion of our resources and may not be successful. Furthermore, if we fail to obtain necessary licenses, our business could suffer, and we could be exposed to claims for damages and injunctions from third parties, as well as claims from our customers for indemnification. In the past, we have been involved in legal proceedings involving the acquisition and license of intellectual property rights, the enforcement of our existing intellectual property rights or the enforcement of the intellectual property rights of others. Unfavorable outcomes in any legal proceedings involving intellectual property could result in significant liabilities or loss of commercial advantage and could have a material adverse effect on our business, liquidity, results of operations, financial condition and cash flows. The potential impact from the legal proceedings referred to in this Quarterly Report on Form 10-Q on our results of operations, financial condition and cash flows could change in the future.</w:t>
      </w:r>
    </w:p>
    <w:p>
      <w:pPr>
        <w:spacing w:after="0" w:line="13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Warranty Claims, Product Return and Liability Risks, the Risk of Economic Damage Claims and the Risk of Negative Publicity if Our Packages Fail</w:t>
      </w:r>
      <w:r>
        <w:rPr>
          <w:rFonts w:ascii="Times New Roman" w:cs="Times New Roman" w:eastAsia="Times New Roman" w:hAnsi="Times New Roman"/>
          <w:sz w:val="18"/>
          <w:szCs w:val="18"/>
          <w:color w:val="auto"/>
        </w:rPr>
        <w:t>.</w:t>
      </w:r>
    </w:p>
    <w:p>
      <w:pPr>
        <w:spacing w:after="0" w:line="10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packages are incorporated into a number of end products, and our business is exposed to warranty claims, product return and liability risks, the risk of economic damage claims and the risk of negative publicity if our packages fail.</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receive warranty claims from our customers from time to time in the ordinary course of our business. If we were to experience an unusually high incidence of warranty claims, we could incur significant costs and our business could be adversely affected. In addition, we are exposed to the product and economic liability risks and the risk of negative publicity affecting our customers. Our sales may decline if any of our customers are sued on a product liability claim. We also may suffer a decline in sales from the negative publicity associated with such a lawsuit or with adverse public perceptions in general regarding our customers’ products. Further, if our packages are delivered with defects, we could incur additional development, repair or replacement costs or suffer other economic losses, and our credibility and the market’s acceptance of our packages could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 in the Indentures and Agreements Governing Our Current and Future Indebtedness Could Restrict Our Operating Flexibility.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indentures and agreements governing our existing debt, and debt we may incur in the future, contain, or may contain, affirmative and negative covenants that materially limit our ability to take certain actions, including our ability to incur debt, pay dividends and repurchase stock, make certain investments and other payments, enter into certain mergers and consolidations, engage in sale leaseback transactions and encumber and dispose of assets. In addition, certain of our debt agreements contain, and our future debt agreements may contain, financial covenants and ratios.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breach of any of these covenants by us, or the failure by us to meet any of the financial ratios or conditions, could result in a default under any or all of such indebtedness. If a default occurs under any such indebtedness, all of the outstanding obligations thereunder could become immediately due and payable, which could result in a default under our other outstanding debt and could lead to an acceleration of obligations related to other outstanding debt. The existence of such a default or event of default could also preclude us from borrowing funds under our revolving credit facilities. Our ability to comply with the provisions of the indentures, credit facilities and other agreements governing our outstanding debt and indebtedness we may incur in the future can be affected by events beyond our control, and a default under any debt instrument, if not cured or waived, could have a material adverse effect on us.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Decrease or Suspend our Quarterly Dividend, and Any Decrease in or Suspension of the Dividend Could Cause Our Stock Price to Decline.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currently anticipate the payment of a regular quarterly cash dividend of $0.04 per share on our outstanding common stock. However, the payment, amount and timing of future cash dividends are subject to the final determination each quarter by our Board of Directors or a committee thereof that there are sufficient funds available to lawfully pay a dividend, that the dividend is compliant with the applicable restrictions in our debt agreements, and that the payment of the dividend remains in our best interests. The determination will be based on our results of operations, financial condition, cash requirements, debt restrictions and other factors. Given these considerations, we may increase or decrease the amount of the dividend at any time and may also decide to vary the timing of or suspend the payment of dividends in the future. Any decrease or suspension could cause our stock price to decline.</w:t>
      </w:r>
    </w:p>
    <w:p>
      <w:pPr>
        <w:spacing w:after="0" w:line="12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Significant Severance Plan Obligations Associated with Our Manufacturing Operations in Korea Which Could Reduce Our Cash Flow and Negatively Impact Our Financial Condition.</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subsidiary in Korea maintains an unfunded severance plan, under which we have an accrued liability of $119.1 million as of September 30, 2020. The plan covers certain employees that were employed prior to August 1, 2015. In the event of a significant layoff or other reduction in our labor force in Korea, our subsidiary in Korea would be required to make lump-sum severance payments under the plan, which could have a material adverse effect on our liquidity, financial condition and cash flows. In October 2020, some employees accepted our offer to convert their Korean severance plan participation to a defined contribution plan. From time to time, we may offer additional employees the option to convert from the severance plan to the defined contribution plan, which could impact the timing of future payments, reducing our cash flow and negatively affecting our financial condition.</w:t>
      </w:r>
    </w:p>
    <w:p>
      <w:pPr>
        <w:spacing w:after="0" w:line="12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Mr. James J. Kim and Members of His Family Can Effectively Determine or Substantially Influence the Outcome of All Matters Requiring Stockholder Approval.</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2020, Mr. James J. Kim, the Executive Chairman of our Board of Directors, Ms. Susan Y. Kim, the Vice Chairman of our Board of Directors, and members of the Kim family and affiliates owned approximately 141.7 million shares, or approximately 58%, of our outstanding common stock. The Kim family also has options to acquire approximately 0.5 million shares. If the options are exercised, the Kim family’s total ownership would be an aggregate of approximately 142.2 million shares of our outstanding common stock or approximately 59% of our outstanding common stock.</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2013, the Kim family exchanged convertible notes issued by Amkor in 2009 for approximately 49.6 million shares of common stock (the “Convert Shares”). The Convert Shares are subject to a voting agreement. The voting agreement requires the Kim family to vote these shares in a “neutral manner” on all matters submitted to our stockholders for a vote, so that such Convert Shares are voted in the same proportion as all of the other outstanding securities (excluding the other shares owned by the Kim family) that are actually voted on a proposal submitted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Amkor’s stockholders for approval. The Kim family is not required to vote in a “neutral manner” any Convert Shares that, when aggregated with all other voting shares held by the Kim family, represent 41.6% or less of the total then-outstanding voting shares of our common stock. The voting agreement for the Convert Shares terminates upon the earliest of (i) such time as the Kim family no longer beneficially owns any of the Convert Shares, (ii) consummation of a change of control (as defined in the voting agreement) or (iii) the mutual agreement of the Kim family and Amkor.</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Mr. James J. Kim and his family and affiliates, acting together, have the ability to effectively determine or substantially influence matters submitted for approval by our stockholders by voting their shares or otherwise acting by written consent, including the election of our Board of Directors. There is also the potential, through the election of members of our Board of Directors, that the Kim family could substantially influence matters decided upon by our Board of Directors. This concentration of ownership may also have the effect of impeding a merger, consolidation, takeover or other business consolidation involving us, or discouraging a potential acquirer from making a tender offer for our shares, and could also negatively affect our stock’s market price or decrease any premium over market price that an acquirer might otherwise pay. Concentration of ownership also reduces the public float of our common stock. There may be less liquidity and higher price volatility for the stock of companies with a smaller public float compared to companies with broader public ownership. Also, the sale or the prospect of the sale of a substantial portion of the Kim family shares may adversely affect the market price of our stock.</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158" w:lineRule="exact"/>
        <w:rPr>
          <w:sz w:val="20"/>
          <w:szCs w:val="20"/>
          <w:color w:val="auto"/>
        </w:rPr>
      </w:pPr>
    </w:p>
    <w:p>
      <w:pPr>
        <w:ind w:right="540"/>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The Covid-19 Outbreak Has Impacted and May Continue to Impact the Supply Chain and Consumer Demand for Our Customers’ Products and Services, Which May Adversely Affect Our Business, Results of Operations, and Financial Condition.</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business has been and may continue to be adversely impacted by the effects of the Covid-19 outbreak. The impacts have varied, and likely will continue to vary, by location, by industry and by end market. We, our suppliers and our customers have been and may continue to be disrupted by worker illness and absenteeism, quarantines and restrictions on employees’ ability to work, office and factory closures, disruptions to ports and other shipping infrastructure and border closures or other travel or health-related restrictions. There is considerable uncertainty regarding such restrictions and potential future governmental restrictions. Restrictions on our workforce or access to our manufacturing facilities, or similar limitations for our suppliers, or restrictions or disruptions of transportation, such as reduced availability of air transport, port closures, and increased border controls, could limit our capacity to meet customer demand and have a material adverse effect on our business, results of operations and financial condition. Such restrictions and efforts to contain the spread of Covid-19 have caused and may continue to cause disruptions to our supply chain in connection with the sourcing of equipment, supplies and other materials. The resumption of normal business operations after any such restrictions are lifted may be delayed or constrained by lingering effects of Covid-19 on our suppliers or customers or both.</w:t>
      </w:r>
    </w:p>
    <w:p>
      <w:pPr>
        <w:spacing w:after="0" w:line="1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Covid-19 pandemic has adversely affected and may continue to adversely affect the economies and financial markets of many countries, resulting in an economic downturn that may cause a decrease in short-term and long-term consumer demand for our customers’ products and services and impact our operating results. Demand for our products and services for the automotive end market has experienced the most significant impact to date, and there is no certainty as to when demand in that market will return to pre-Covid-19 levels.</w:t>
      </w:r>
    </w:p>
    <w:p>
      <w:pPr>
        <w:spacing w:after="0" w:line="12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spread of Covid-19 has caused us to modify our business practices (including corporate hygiene protocols at factories, restricting employee travel and employee work locations and cancelling physical participation in meetings, events and conferences), and we may take further actions as may be required by government authorities or that we determine to be in the best interests of our employees, customers and suppliers. There is no certainty that such measures will be sufficient to mitigate the current or future impacts of Covid-19, and our ability to perform critical functions could be harmed.</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this time, we are unable to predict the future impacts that Covid-19 will have on our business, financial condition or results of operations due to various uncertainties, including the ultimate spread of Covid-19, the severity of Covid-19, the duration of the outbreak, and the actions that may be taken by governmental authorities and other businesses in response to the Covid-19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Operating Results and Cash Flows - Our Operating Results and Cash Flows Have Varied and May Vary Significantly as a Result of Factors That We Cannot Control.</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factors could have a material adverse effect on our net sales, gross profit, operating results and cash flows or lead to significant variability of quarterly or annual operating results. Our profitability and ability to generate cash from operations is principally dependent upon demand for semiconductors, the utilization of our capacity, semiconductor package mix, the average selling price of our services, our ability to manage our capital expenditures and our ability to control our costs including labor, material, overhead and financing costs.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net sales, gross margin, gross profit, operating income and cash flows have historically fluctuated significantly from quarter to quarter as a result of many of the following factors, over which we have little or no control and which we expect to continue to impact our business:</w:t>
      </w:r>
    </w:p>
    <w:p>
      <w:pPr>
        <w:spacing w:after="0" w:line="108" w:lineRule="exact"/>
        <w:rPr>
          <w:sz w:val="20"/>
          <w:szCs w:val="20"/>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 in demand for semiconductors and conditions in the semiconductor industry generally, as well as by specific customers, such as inventory reductions by our customers impacting demand in key markets;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our major growth objectives, including transitioning second-wave customers to advanced packages and increasing our share of the automotive end market;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capacity and capacity utilization rates;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average selling prices which can occur quickly due to the absence of long-term agreements on price;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mix of the semiconductor packaging and test services that we sell;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manufacturing yields;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transition and ramp to high volume manufacture of more advanced silicon nodes and evolving wafer, packaging and test technologies may cause production delays, lower manufacturing yields and supply constraints for new wafers and other materials;</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backlog, the short-term nature of our customers’ commitments, double bookings by customers and deterioration in customer forecasts and the impact of these factors, including the possible delay, rescheduling and cancellation of large orders, or the timing and volume of orders relative to our production capacity;</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costs, quality, availability and delivery times of raw materials, components, equipment and labor;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wage inflation and fluctuations in commodity prices, including gold, copper and other precious metals;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expenditures in anticipation of future orders;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effective tax rates;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financing;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and debt covenants;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transactions and disputes;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warranty and product liability claims and the impact of quality excursions and customer disputes and returns;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legal claims, indemnification obligations, judgments and settlements;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and government shutdowns, civil disturbances or international events, such as the United Kingdom’s departure from the European Union;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or natural disasters such as earthquakes, typhoons and volcanic eruptions;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or other illnesses that may impact our labor force, operations, liquidity, supply chain and end-user demand for products which incorporate semiconductors, such as the Covid-19 pandemic;</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1" w:name="page42"/>
    <w:bookmarkEnd w:id="41"/>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acquisitions and divestitures and difficulties integrating acquisitions;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personnel to support our global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interest rates and currency exchange rates, including the potential impact of the phase-out of LIBOR on our variable rate debt;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penetrate new end markets or expand our business in existing end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key customers or concentration of customers in certain end markets, such as mobile communications and automotive;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 asset write-offs and impairments.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factors may have a material and adverse effect on our business, liquidity, results of operations, financial condition and cash flows or lead to significant variability of quarterly or annual operating results. In addition, these factors may adversely affect our credit ratings, which could make it more difficult and expensive for us to raise capital and could adversely affect the price of our securities.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Substantial Indebtedness Could Adversely Affect Our Financial Condition and Prevent Us from Fulfilling Our Obligations.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 significant amount of indebtedness, and the terms of the agreements governing our indebtedness allow us and our subsidiaries to incur more debt, subject to certain limitations. As of September 30, 2020, our total debt balance was $1,319.1 million, of which $136.5 million was classified as a current liability and $615.1 million was collateralized indebtedness at our subsidiaries. We may consider investments in joint ventures, increased capital expenditures, refinancings or acquisitions which may increase our indebtedness. If new debt is added to our consolidated debt level, the related risks that we face could intensify.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substantial indebtedness could:</w:t>
      </w:r>
    </w:p>
    <w:p>
      <w:pPr>
        <w:spacing w:after="0" w:line="171" w:lineRule="exact"/>
        <w:rPr>
          <w:sz w:val="20"/>
          <w:szCs w:val="20"/>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satisfy our obligations with respect to our indebtedness, including our obligations under our indentures to purchase notes tendered as a result of a change in control of Amkor;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general adverse economic and industry conditions;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fund future working capital, capital expenditures, research and development and other business opportunities, including joint ventures and acquisitions;</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service payments of interest and principal on our debt, thereby reducing the availability of our cash flow to fund future working capital, capital expenditures, research and development expenditures and other general corporate requirements;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volatility of the price of our common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to react to changes in our business and the industry in which we operate;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to any of our competitors that have less debt;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along with the financial and other covenants in our indebtedness, our ability to borrow additional funds;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refinance our existing indebtedness, particularly during periods of adverse credit market conditions when refinancing indebtedness may not be available under interest rates and other terms acceptable to us or at all;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cost of borrowing.</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certain of our credit agreements use LIBOR or other reference rates to determine the rate of interest payable on our borrowings. As such, our financial position may be adversely affected by fluctuations in such reference rates based on economic and market factors beyond our control. Any significant increase in such reference rates would result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 significant increase in interest expense on our debt, which could negatively impact our results of operations and cash flows. In addition, the United Kingdom’s Financial Conduct Authority intends to phase out LIBOR by the end of 2021. Plans for alternative reference rates for other currencies have also been announced. At this time, we cannot predict how markets will respond to proposed alternative rates or the effect of any changes to, or discontinuation of, LIBOR. If reference rates under our credit agreements are no longer available or if our lenders have increased costs due to changes in reference rates, we may experience increases in interest rates on our variable rate debt, which could adversely impact our interest expense, results of operations and cash flows.</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Interest Rates and Changes in Credit Risk Which Could Have a Material Adverse Impact on Our Earnings as it Relates to the Market Value of Our Investment Portfolio.</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an investment portfolio of various holdings, types, and maturities. Our portfolio includes available-for-sale debt investments, the values of which are subject to market price volatility resulting from interest rate movements, changes in credit risk and financial market conditions. If such investments suffer market price declines, we may recognize in earnings the decline in the fair value of our investments below their cost basis when the decline is judged to be an impairment, including an allowance for credit loss.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Difficulty Funding Liquidity Needs.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assess our liquidity based on our current expectations regarding sales and operating expenses, capital spending, dividend payments and stock repurchases, debt service requirements and other funding needs. We fund our operations, including capital expenditures and other investments and servicing principal and interest obligations with respect to our debt, from cash flows from our operations, existing cash and cash equivalents, borrowings under available debt facilities, or proceeds from any additional debt or equity financing. Our liquidity is affected by, among other factors, volatility in the global economy and credit markets, the performance of our business, our capital expenditure and other investment levels, other uses of our cash including any payment of dividends and purchases of stock under our stock repurchase program, any acquisitions or investments in joint ventures and our ability to either repay debt and other long-term obligations out of our operating cash flows or refinance debt at or prior to maturity with the proceeds of debt or equity financings.</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Servicing our current and future customers requires that we incur significant operating expenses and continue to make significant capital expenditures and other investments, and the amount of our capital expenditures for 2020 and thereafter may vary materially and will depend on several factors. These factors include, among others, the amount, timing and implementation of our capital projects, the performance of our business, economic and market conditions, advances in technology, the cash needs and investment opportunities for the business, the need for additional capacity and facilities and the availability of cash flows from operations or financing.</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health of the worldwide banking system and capital markets affects our liquidity. If financial institutions that have extended credit commitments to us are adversely affected by the conditions of the U.S., foreign or international banking system and capital markets, they may refuse or be unable to fund borrowings under their credit commitments to us. Volatility in the banking system and capital markets, as well as any increase in interest rates or adverse economic, political, public health or other global conditions, could also make it difficult or more expensive for us to maintain our existing credit facilities or refinance our debt.</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has been, and is likely to continue to be, highly volatile and could be subject to wide fluctuations. Such fluctuations could impact our decision or ability to utilize the equity markets as a potential source of our funding needs in the future.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there is a risk that we could fail to generate the necessary net income or operating cash flows to meet the funding needs of our business due to a variety of factors, including the other factors discussed in this “Risk Factors” section. If we fail to generate the necessary cash flows or we are unable to access the capital markets when needed, our liquidity would be adversely impacted.</w:t>
      </w:r>
    </w:p>
    <w:p>
      <w:pPr>
        <w:spacing w:after="0" w:line="11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Customer Concentration and Loss of Customers - The Loss of Certain Customers or Reduced Orders or Pricing from Existing Customers May Have a Significant Adverse Effect on Our Operations and Financial Results.</w:t>
      </w:r>
    </w:p>
    <w:p>
      <w:pPr>
        <w:spacing w:after="0" w:line="1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derived and expect to continue to derive a large portion of our revenues from a small group of customers during any particular period due in part to the concentration of market share in the semiconductor industry. Our ten largest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customers together accounted for 63% of our net sales for the year ended December 31, 2019, and we expect that percentage to increase for the year ending December 31, 2020. In addition, we have significant customer concentration within our end markets. The loss of a significant customer, a business combination among our customers, a reduction in orders or decrease in price from a significant customer or disruption in any of our significant strategic partnerships or other commercial arrangements may result in a decline in our sales and profitability and could have a material adverse effect on our business, liquidity, results of operations, financial condition and cash flows.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demand for our services from each customer is directly dependent upon that customer’s financial health, level of business activity and purchasing decisions, the quality and price of our services, our cycle time and delivery performance, the customer’s qualification of additional competitors on products we package or test and a number of other factors. Each of these factors could vary significantly from time to time resulting in the loss or reduction of customer orders, and we cannot assure you that our key customers or any other customers will continue to place orders with us in the future at the same levels as in past periods.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example, as seen in the automotive end market, the Covid-19 pandemic and restrictions imposed by governmental authorities to mitigate the spread of Covid-19 in our customers’ end markets may decrease demand for our customers’ products and services, impacting their financial health and their demand for our services.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from time to time we may acquire or build new facilities or migrate existing business among our facilities. In connection with these facility changes, our customers require us to qualify the new facilities even though we have already qualified to perform the services at our other facilities. We cannot assure that we will successfully qualify new facilities or that our customers will not qualify our competitors and move the business for such services.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Trying to Attract, Retain or Replace Qualified Employees to Support Our Operations.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success depends to a significant extent upon the continued service of our key senior management, sales and technical personnel, any of whom may be difficult to replace. Competition for qualified employees is intense, and our business could be adversely affected by the loss of the services of any of our existing key personnel, including senior management, as a result of competition or for any other reason. Other than the agreement with our Chief Executive Officer, we do not have employment agreements with our key employees, including senior management, or other contracts that would prevent our key employees from working for our competitors in the event they cease working for us. We cannot assure you that we will be successful in our efforts to retain or replace key employees or in hiring and properly training sufficient numbers of qualified personnel and in effectively managing our growth. Our inability to attract, retain, motivate and train qualified new personnel could have a material adverse effect on our business.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Controls, We May Not be Able to Accurately Report Financial Results or Prevent Fraud.</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internal controls over financial reporting may not prevent or detect misstatements because of their inherent limitations, including the possibility of human error, the circumvention or overriding of controls, fraud or corruption. Therefore, even effective internal controls can provide only reasonable assurance with respect to the preparation and fair presentation of financial statements. In addition, projections concerning the effectiveness of internal controls in future periods are subject to the risk that our internal controls may become inadequate because of changes in conditions, or that the degree of compliance with our policies or procedures may deteriorate.</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assess our internal controls and systems on an ongoing basis, and from time-to-time, we update and make modifications to our global enterprise resource planning system. We have implemented several significant enterprise resource planning modules and expect to implement additional enterprise resource planning modules in the future. In addition, we have implemented new shop floor management systems in certain of our factories. There is a risk that deficiencies may occur that could constitute significant deficiencies or, in the aggregate, a material weakness.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fail to remedy any deficiencies or maintain the adequacy of our internal controls, we could be subject to regulatory scrutiny, civil or criminal penalties or shareholder litigation. In addition, failure to maintain adequate internal controls could result in financial statements that do not accurately reflect our operating results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in Connection with the Continuing Development and Implementation of Changes to, and Maintenance and Security of, Our Information Technology Systems.</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depend on our information technology systems for many aspects of our business. Our systems may be susceptible to damage, disruptions or shutdowns due to failures during the process of upgrading, replacing or maintaining software, databases or components thereof, power outages, hardware failures, interruption or failures of third-party provider systems, computer viruses, attacks by computer hackers, telecommunication failures, user errors, malfeasance or catastrophic events. Cybersecurity breaches could result in unauthorized disclosure of confidential information or disruptions to our operations. The IT systems in our factories are at varying levels of sophistication and maturity as the factories have different sets of products, processes and customer expectations. Some of our key software has been developed by our own programmers, and this software may not be easily integrated with other software and systems. From time to time we make additions or changes to our information technology systems. For example, we are integrating our Japan operations’ information technology systems with our existing systems and processes, and such integration has inherent risks to existing operations. </w:t>
      </w:r>
      <w:r>
        <w:rPr>
          <w:rFonts w:ascii="Times New Roman" w:cs="Times New Roman" w:eastAsia="Times New Roman" w:hAnsi="Times New Roman"/>
          <w:sz w:val="18"/>
          <w:szCs w:val="18"/>
          <w:color w:val="090909"/>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90909"/>
        </w:rPr>
        <w:t xml:space="preserve">addition, in May 2017, we completed our acquisition of Nanium and </w:t>
      </w:r>
      <w:r>
        <w:rPr>
          <w:rFonts w:ascii="Times New Roman" w:cs="Times New Roman" w:eastAsia="Times New Roman" w:hAnsi="Times New Roman"/>
          <w:sz w:val="18"/>
          <w:szCs w:val="18"/>
          <w:color w:val="000000"/>
        </w:rPr>
        <w:t>continue</w:t>
      </w:r>
      <w:r>
        <w:rPr>
          <w:rFonts w:ascii="Times New Roman" w:cs="Times New Roman" w:eastAsia="Times New Roman" w:hAnsi="Times New Roman"/>
          <w:sz w:val="18"/>
          <w:szCs w:val="18"/>
          <w:color w:val="090909"/>
        </w:rPr>
        <w:t xml:space="preserve"> to integrate its information </w:t>
      </w:r>
      <w:r>
        <w:rPr>
          <w:rFonts w:ascii="Times New Roman" w:cs="Times New Roman" w:eastAsia="Times New Roman" w:hAnsi="Times New Roman"/>
          <w:sz w:val="18"/>
          <w:szCs w:val="18"/>
          <w:color w:val="000000"/>
        </w:rPr>
        <w:t>technology</w:t>
      </w:r>
      <w:r>
        <w:rPr>
          <w:rFonts w:ascii="Times New Roman" w:cs="Times New Roman" w:eastAsia="Times New Roman" w:hAnsi="Times New Roman"/>
          <w:sz w:val="18"/>
          <w:szCs w:val="18"/>
          <w:color w:val="090909"/>
        </w:rPr>
        <w:t xml:space="preserve"> systems into our existing systems and processes. </w:t>
      </w:r>
      <w:r>
        <w:rPr>
          <w:rFonts w:ascii="Times New Roman" w:cs="Times New Roman" w:eastAsia="Times New Roman" w:hAnsi="Times New Roman"/>
          <w:sz w:val="18"/>
          <w:szCs w:val="18"/>
          <w:color w:val="000000"/>
        </w:rPr>
        <w:t>We face risks in connection with current and future projects to install or integrate new information technology systems or upgrade our existing</w:t>
      </w:r>
      <w:r>
        <w:rPr>
          <w:rFonts w:ascii="Times New Roman" w:cs="Times New Roman" w:eastAsia="Times New Roman" w:hAnsi="Times New Roman"/>
          <w:sz w:val="18"/>
          <w:szCs w:val="18"/>
          <w:color w:val="090909"/>
        </w:rPr>
        <w:t xml:space="preserve"> </w:t>
      </w:r>
      <w:r>
        <w:rPr>
          <w:rFonts w:ascii="Times New Roman" w:cs="Times New Roman" w:eastAsia="Times New Roman" w:hAnsi="Times New Roman"/>
          <w:sz w:val="18"/>
          <w:szCs w:val="18"/>
          <w:color w:val="000000"/>
        </w:rPr>
        <w:t>systems. These risks include:</w:t>
      </w:r>
    </w:p>
    <w:p>
      <w:pPr>
        <w:spacing w:after="0" w:line="138"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design and implementation of the system;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may exceed our plans and expectations;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resulting from the implementation, integration or cybersecurity breach of the systems may impact our ability to process transactions and delay shipments to customers, impact our results of operations or financial condition or harm our control environment.</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business could be materially and adversely affected if our information technology systems are disrupted or if we are unable to successfully install new systems or improve, upgrade, integrate or expand upon our existing systems.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Difficulties Consolidating and Integrating Our Operations - We Face Challenges as We Integrate Diverse Operations.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experienced, and expect to continue to experience, change in the scope and complexity of our operations resulting primarily from existing and future facility and operational consolidations, facility and operational expansions, strategic acquisitions, joint ventures and other partnering arrangements. Some of the risks from these activities include those associated with the following:</w:t>
      </w:r>
    </w:p>
    <w:p>
      <w:pPr>
        <w:spacing w:after="0" w:line="122"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scope, geographic diversity and complexity of our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conforming an acquired company’s standards, practices, systems and controls with our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complexity from combining recent acquisitions of an acquired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losses of key employees or customers of an acquired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the assimilation of acquired operations, technologies or products; and</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and other resources from other parts of our operations and adverse effects on existing business relationships with customers.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these activities, we may:</w:t>
      </w:r>
    </w:p>
    <w:p>
      <w:pPr>
        <w:spacing w:after="0" w:line="171"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costs associated with personnel reductions and voluntary retirement programs;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restructuring charges to cover costs associated with facility consolidations and related cost reduction initiatives;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a significant portion of our available cash;</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substantial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equity securities, which may dilute the ownership of current stockholders;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assume known or unknown contingent liabilities;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large, immediate accounting write offs and face antitrust or other regulatory inquiries or actions.</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example, the businesses we have acquired had, at the time of acquisition, multiple systems for managing their own production, sales, inventory and other operations. Migrating these businesses to our systems typically is a slow, expensive process requiring us to divert significant resources from other parts of our operations. We may continue to face these challenges in the future. As a result of the risks discussed above, the anticipated benefits of these or other future acquisitions, consolidations and partnering arrangements may not be fully realized, if at all, and these activities could have a material adverse effect on our business, financial condition and results of operations.</w:t>
      </w:r>
    </w:p>
    <w:p>
      <w:pPr>
        <w:spacing w:after="0" w:line="1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Could Suffer Adverse Tax and Other Financial Consequences if There Are Changes in Tax Laws or Taxing Authorities Do Not Agree with Our Interpretation of Applicable Tax Laws, Including Whether We Continue to Qualify for Tax Holidays, or if We Are Required to Establish or Adjust Valuation Allowances on Deferred Tax Assets.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earn a substantial portion of our income in foreign countries, and our operations are subject to tax in multiple jurisdictions with complicated and varied tax regimes. Tax laws and income tax rates in these jurisdictions are subject to change due to economic and political conditions. Changes in U.S. or foreign tax laws, including new or modified guidance with respect to existing tax laws (particularly the Tax Act, which made significant changes to the U.S. tax code with respect to which there remains uncertainty), could have a material adverse impact on our liquidity, results of operations, financial condition and cash flows.</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tax liabilities are based, in part, on our corporate structure, interpretations of various U.S. and foreign tax laws, including withholding tax, compliance with tax holiday requirements, application of changes in tax law to our operations and other relevant laws of applicable taxing jurisdictions. From time to time, taxing authorities conduct examinations of our income tax returns and other regulatory filings. We cannot assure you that the taxing authorities will agree with our interpretations, including whether we continue to qualify for tax holidays. If they do not agree, we may seek to enter into settlements with the taxing authorities. We may also appeal a taxing authority’s determination to the appropriate governmental authorities, but we cannot be sure we will prevail. If we do not prevail or if we enter into settlements with taxing authorities, we may have to make significant payments or otherwise record charges (or reduce tax assets) that adversely affect our results of operations, financial condition and cash flows. Additionally, certain of our subsidiaries operate under tax holidays, which will expire in whole or in part at various dates in the future. As those tax holidays expire, we expect that our tax expense will increase as income from those jurisdictions becomes subject to higher statutory income tax rates, thereby reducing our liquidity and cash flow.</w:t>
      </w:r>
    </w:p>
    <w:p>
      <w:pPr>
        <w:spacing w:after="0" w:line="1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monitor on an ongoing basis our ability to utilize our deferred tax assets and whether there is a need for a related valuation allowance. In evaluating our ability to recover our deferred tax assets, in the jurisdiction from which they arise, we consider all available positive and negative evidence, including scheduled reversals of deferred tax liabilities, projected future taxable income, tax-planning strategies and results of recent operations. For most of our foreign deferred tax assets, we believe that we will have sufficient taxable income to allow us to realize these deferred tax assets. In the event taxable income falls short of current expectations, we may need to establish a valuation allowance against such deferred tax assets that, if required, could materially affect our results of operations.</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Environmental, Health &amp; Safety Laws and Industry and Customer Initiatives - Future Environmental, Health &amp; Safety Laws and Industry and Customer Sustainability Initiatives Could Place Additional Burdens on Our Manufacturing Operations.</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Environmental, health and safety laws and regulations in places we do business impose various controls on the use, storage, handling, discharge and disposal of chemicals used or generated in, or emitted by, our production processes, on the factories we occupy and on the materials contained in semiconductor products. For example, at our foreign facilities we produce liquid waste when semiconductor wafers are diced into chips with the aid of diamond saws, then cooled with running water. In addition, semiconductor packages have historically utilized metallic alloys containing lead (Pb) within the interconnect terminals typically referred to as leads, pins or balls, and the European Union’s Restriction of Hazardous Substances in Electrical and Electronic Equipment directive and similar laws in other jurisdictions, including China, impose strict restrictions on the placement into the market of electrical and electronic equipment containing lead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other hazardous substances. We may become liable under these and other environmental, health and safety laws and regulations, including for the cost of compliance and cleanup of any disposal or release of hazardous materials arising out of our former or current operations, or otherwise as a result of the emission of greenhouse gasses or other chemicals, the existence of hazardous materials on our properties or the existence of hazardous substances in the products for which we perform our services. We could also be held liable for damages, including fines, penalties and the cost of investigations and remedial actions, we could be subject to revocation of permits negatively affecting our ability to maintain or expand our operations, and we could suffer reputational harm.</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has also been an increase in public attention and industry and customer focus on the materials contained in semiconductor products, the environmental impact of semiconductor operations and the risk of chemical releases from such operations, climate change, sustainability and related environmental concerns. This increased focus on sustainability and the environmental impact of semiconductor operations and products has caused industry groups and customers to impose additional requirements on us and our suppliers, sometimes exceeding regulatory standards. These industry and customer requirements include increased tracking and reporting of greenhouse gas emissions, reductions in waste and wastewater from operations, additional reporting on the materials and components used in the products for which we perform our services, and the use of renewable energy sources in our factory operations. To comply with these additional requirements, we may need to procure additional equipment or make factory or process changes and our operating costs may increase.</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Financial Condition Could be Adversely Affected by Natural Disasters and Other Calamities, Health Conditions or Pandemics, Political Instability, Hostilities, or Other Disruptions.</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significant packaging and test and other operations in China, Japan, Korea, Malaysia, the Philippines, Portugal, Singapore and Taiwan which are or could be subject to: natural disasters, such as earthquakes, tsunamis, typhoons, floods, droughts, volcanoes and other severe weather and geological events, and other calamities, such as fire; the outbreak of infectious diseases (such as Covid-19 and other coronaviruses, Ebola or flu); industrial strikes; government imposed travel restrictions or quarantines; breakdowns of equipment; difficulties or delays in obtaining materials, equipment, utilities and services; political events or instability; acts of war, armed conflict, terrorist incidents and other hostilities in regions where we have facilities; and industrial accidents and other events, that could disrupt or even shutdown our operations. For example, in April 2016, our Kumamoto factory was damaged by earthquakes in Japan. As a result of these earthquakes, our sales were reduced due to the temporary disruption in operations, and we incurred earthquake related costs for damaged inventory, buildings and equipment. Our suppliers and customers also have significant operations in such locations, and this could compound the effect of any such disruption. In the event of such a disruption or shutdown, we may be unable to reallocate production to other facilities in a timely or cost-effective manner (if at all), and we may not have sufficient capacity, or customer approval, to service customer demands in our other facilities. A natural disaster or other calamity, political instability, the occurrence of hostilities or other event that results in a prolonged disruption to our operations, or the operations of our customers or suppliers, could have a material adverse effect on our business, financial condition, results of operations and cash flows.</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some of the processes that we utilize in our operations place us at risk of fire and other damage. For example, highly flammable gases are used in the preparation of wafers holding semiconductor devices for flip chip packaging.</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maintain insurance policies for various types of property, casualty and other risks, but we do not carry insurance for all the above referred risks. With regard to the insurance we do maintain, we cannot assure you that it would be sufficient to cover all of our potential losses. As a result, our business, financial condition, results of operations and cash flows could be adversely affected by natural disasters and other calamities.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Repurchase of Equity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repurchases of our common stock during the three months ended September 30, 2020.</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20" w:type="dxa"/>
            <w:vAlign w:val="bottom"/>
          </w:tcPr>
          <w:p>
            <w:pPr>
              <w:spacing w:after="0"/>
              <w:rPr>
                <w:sz w:val="13"/>
                <w:szCs w:val="13"/>
                <w:color w:val="auto"/>
              </w:rPr>
            </w:pPr>
          </w:p>
        </w:tc>
        <w:tc>
          <w:tcPr>
            <w:tcW w:w="1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40" w:type="dxa"/>
            <w:vAlign w:val="bottom"/>
          </w:tcPr>
          <w:p>
            <w:pPr>
              <w:spacing w:after="0"/>
              <w:rPr>
                <w:sz w:val="11"/>
                <w:szCs w:val="11"/>
                <w:color w:val="auto"/>
              </w:rPr>
            </w:pPr>
          </w:p>
        </w:tc>
        <w:tc>
          <w:tcPr>
            <w:tcW w:w="18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94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80" w:type="dxa"/>
            <w:vAlign w:val="bottom"/>
          </w:tcPr>
          <w:p>
            <w:pPr>
              <w:jc w:val="center"/>
              <w:ind w:right="97"/>
              <w:spacing w:after="0" w:line="135"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35"/>
        </w:trPr>
        <w:tc>
          <w:tcPr>
            <w:tcW w:w="3060" w:type="dxa"/>
            <w:vAlign w:val="bottom"/>
            <w:gridSpan w:val="2"/>
            <w:vMerge w:val="restart"/>
          </w:tcPr>
          <w:p>
            <w:pPr>
              <w:ind w:left="12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06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800" w:type="dxa"/>
            <w:vAlign w:val="bottom"/>
            <w:gridSpan w:val="2"/>
            <w:vMerge w:val="continue"/>
          </w:tcPr>
          <w:p>
            <w:pPr>
              <w:spacing w:after="0"/>
              <w:rPr>
                <w:sz w:val="11"/>
                <w:szCs w:val="11"/>
                <w:color w:val="auto"/>
              </w:rPr>
            </w:pPr>
          </w:p>
        </w:tc>
        <w:tc>
          <w:tcPr>
            <w:tcW w:w="19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Announced Plans or Programs</w:t>
            </w:r>
          </w:p>
        </w:tc>
        <w:tc>
          <w:tcPr>
            <w:tcW w:w="120" w:type="dxa"/>
            <w:vAlign w:val="bottom"/>
          </w:tcPr>
          <w:p>
            <w:pPr>
              <w:spacing w:after="0"/>
              <w:rPr>
                <w:sz w:val="11"/>
                <w:szCs w:val="11"/>
                <w:color w:val="auto"/>
              </w:rPr>
            </w:pPr>
          </w:p>
        </w:tc>
        <w:tc>
          <w:tcPr>
            <w:tcW w:w="19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Purchased Under the Plans or</w:t>
            </w:r>
          </w:p>
        </w:tc>
        <w:tc>
          <w:tcPr>
            <w:tcW w:w="0" w:type="dxa"/>
            <w:vAlign w:val="bottom"/>
          </w:tcPr>
          <w:p>
            <w:pPr>
              <w:spacing w:after="0"/>
              <w:rPr>
                <w:sz w:val="1"/>
                <w:szCs w:val="1"/>
                <w:color w:val="auto"/>
              </w:rPr>
            </w:pPr>
          </w:p>
        </w:tc>
      </w:tr>
      <w:tr>
        <w:trPr>
          <w:trHeight w:val="189"/>
        </w:trPr>
        <w:tc>
          <w:tcPr>
            <w:tcW w:w="3060" w:type="dxa"/>
            <w:vAlign w:val="bottom"/>
            <w:gridSpan w:val="2"/>
            <w:vMerge w:val="continue"/>
          </w:tcPr>
          <w:p>
            <w:pPr>
              <w:spacing w:after="0"/>
              <w:rPr>
                <w:sz w:val="16"/>
                <w:szCs w:val="16"/>
                <w:color w:val="auto"/>
              </w:rPr>
            </w:pP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Purchased (a)</w:t>
            </w:r>
          </w:p>
        </w:tc>
        <w:tc>
          <w:tcPr>
            <w:tcW w:w="240" w:type="dxa"/>
            <w:vAlign w:val="bottom"/>
          </w:tcPr>
          <w:p>
            <w:pPr>
              <w:spacing w:after="0"/>
              <w:rPr>
                <w:sz w:val="16"/>
                <w:szCs w:val="16"/>
                <w:color w:val="auto"/>
              </w:rPr>
            </w:pPr>
          </w:p>
        </w:tc>
        <w:tc>
          <w:tcPr>
            <w:tcW w:w="18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Per Share ($)</w:t>
            </w: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Programs ($) (b)</w:t>
            </w:r>
          </w:p>
        </w:tc>
        <w:tc>
          <w:tcPr>
            <w:tcW w:w="0" w:type="dxa"/>
            <w:vAlign w:val="bottom"/>
          </w:tcPr>
          <w:p>
            <w:pPr>
              <w:spacing w:after="0"/>
              <w:rPr>
                <w:sz w:val="1"/>
                <w:szCs w:val="1"/>
                <w:color w:val="auto"/>
              </w:rPr>
            </w:pPr>
          </w:p>
        </w:tc>
      </w:tr>
      <w:tr>
        <w:trPr>
          <w:trHeight w:val="223"/>
        </w:trPr>
        <w:tc>
          <w:tcPr>
            <w:tcW w:w="2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 July 31</w:t>
            </w:r>
          </w:p>
        </w:tc>
        <w:tc>
          <w:tcPr>
            <w:tcW w:w="10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91,586,032</w:t>
            </w:r>
          </w:p>
        </w:tc>
        <w:tc>
          <w:tcPr>
            <w:tcW w:w="0" w:type="dxa"/>
            <w:vAlign w:val="bottom"/>
          </w:tcPr>
          <w:p>
            <w:pPr>
              <w:spacing w:after="0"/>
              <w:rPr>
                <w:sz w:val="1"/>
                <w:szCs w:val="1"/>
                <w:color w:val="auto"/>
              </w:rPr>
            </w:pPr>
          </w:p>
        </w:tc>
      </w:tr>
      <w:tr>
        <w:trPr>
          <w:trHeight w:val="229"/>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1 - August 31</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91,586,032</w:t>
            </w:r>
          </w:p>
        </w:tc>
        <w:tc>
          <w:tcPr>
            <w:tcW w:w="0" w:type="dxa"/>
            <w:vAlign w:val="bottom"/>
          </w:tcPr>
          <w:p>
            <w:pPr>
              <w:spacing w:after="0"/>
              <w:rPr>
                <w:sz w:val="1"/>
                <w:szCs w:val="1"/>
                <w:color w:val="auto"/>
              </w:rPr>
            </w:pPr>
          </w:p>
        </w:tc>
      </w:tr>
      <w:tr>
        <w:trPr>
          <w:trHeight w:val="229"/>
        </w:trPr>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 September 30</w:t>
            </w:r>
          </w:p>
        </w:tc>
        <w:tc>
          <w:tcPr>
            <w:tcW w:w="2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91,586,032</w:t>
            </w:r>
          </w:p>
        </w:tc>
        <w:tc>
          <w:tcPr>
            <w:tcW w:w="0" w:type="dxa"/>
            <w:vAlign w:val="bottom"/>
          </w:tcPr>
          <w:p>
            <w:pPr>
              <w:spacing w:after="0"/>
              <w:rPr>
                <w:sz w:val="1"/>
                <w:szCs w:val="1"/>
                <w:color w:val="auto"/>
              </w:rPr>
            </w:pPr>
          </w:p>
        </w:tc>
      </w:tr>
      <w:tr>
        <w:trPr>
          <w:trHeight w:val="223"/>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5,425</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00" w:type="dxa"/>
            <w:vAlign w:val="bottom"/>
          </w:tcPr>
          <w:p>
            <w:pPr>
              <w:spacing w:after="0"/>
              <w:rPr>
                <w:sz w:val="19"/>
                <w:szCs w:val="19"/>
                <w:color w:val="auto"/>
              </w:rPr>
            </w:pPr>
          </w:p>
        </w:tc>
        <w:tc>
          <w:tcPr>
            <w:tcW w:w="1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660" w:hanging="328"/>
        <w:spacing w:after="0" w:line="282" w:lineRule="auto"/>
        <w:tabs>
          <w:tab w:leader="none" w:pos="65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common stock surrendered to us to satisfy tax withholding obligations associated with the vesting of restricted shares issued to employees.</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previously authorized the repurchase of up to $300.0 million of our common stock, $150.0 million was approved in August 2011 and $150.0 million was approved in February 2012, exclusive of any fees, commissions or other expenses. For the three months ended September 30, 2020, we made no common stock purchases, and at September 30, 2020, approximately $91.6 million was available pursuant to the stock repurchase program.</w:t>
      </w:r>
    </w:p>
    <w:p>
      <w:pPr>
        <w:spacing w:after="0" w:line="36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i w:val="1"/>
          <w:iCs w:val="1"/>
          <w:color w:val="auto"/>
        </w:rPr>
        <w:t>Other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5600" w:type="dxa"/>
            <w:vAlign w:val="bottom"/>
            <w:gridSpan w:val="17"/>
          </w:tcPr>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Exhibits</w:t>
            </w:r>
          </w:p>
        </w:tc>
        <w:tc>
          <w:tcPr>
            <w:tcW w:w="8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1120" w:type="dxa"/>
            <w:vAlign w:val="bottom"/>
            <w:gridSpan w:val="2"/>
            <w:vMerge w:val="restart"/>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2040" w:type="dxa"/>
            <w:vAlign w:val="bottom"/>
            <w:tcBorders>
              <w:bottom w:val="single" w:sz="8" w:color="auto"/>
            </w:tcBorders>
          </w:tcPr>
          <w:p>
            <w:pPr>
              <w:jc w:val="center"/>
              <w:ind w:left="993"/>
              <w:spacing w:after="0"/>
              <w:rPr>
                <w:sz w:val="20"/>
                <w:szCs w:val="20"/>
                <w:color w:val="auto"/>
              </w:rPr>
            </w:pPr>
            <w:r>
              <w:rPr>
                <w:rFonts w:ascii="Times New Roman" w:cs="Times New Roman" w:eastAsia="Times New Roman" w:hAnsi="Times New Roman"/>
                <w:sz w:val="14"/>
                <w:szCs w:val="14"/>
                <w:b w:val="1"/>
                <w:bCs w:val="1"/>
                <w:color w:val="auto"/>
              </w:rPr>
              <w:t>Filed Herewith</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880" w:type="dxa"/>
            <w:vAlign w:val="bottom"/>
            <w:gridSpan w:val="14"/>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82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Period Ending</w:t>
            </w:r>
          </w:p>
        </w:tc>
        <w:tc>
          <w:tcPr>
            <w:tcW w:w="92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2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880" w:type="dxa"/>
            <w:vAlign w:val="bottom"/>
            <w:tcBorders>
              <w:bottom w:val="single" w:sz="8" w:color="auto"/>
            </w:tcBorders>
            <w:gridSpan w:val="14"/>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rPr>
              <w:t>10.1</w:t>
            </w:r>
          </w:p>
        </w:tc>
        <w:tc>
          <w:tcPr>
            <w:tcW w:w="5060" w:type="dxa"/>
            <w:vAlign w:val="bottom"/>
            <w:gridSpan w:val="16"/>
          </w:tcPr>
          <w:p>
            <w:pPr>
              <w:spacing w:after="0" w:line="182" w:lineRule="exact"/>
              <w:rPr>
                <w:rFonts w:ascii="Times New Roman" w:cs="Times New Roman" w:eastAsia="Times New Roman" w:hAnsi="Times New Roman"/>
                <w:sz w:val="18"/>
                <w:szCs w:val="18"/>
                <w:color w:val="0000FF"/>
              </w:rPr>
            </w:pPr>
            <w:hyperlink w:anchor="page51">
              <w:r>
                <w:rPr>
                  <w:rFonts w:ascii="Times New Roman" w:cs="Times New Roman" w:eastAsia="Times New Roman" w:hAnsi="Times New Roman"/>
                  <w:sz w:val="18"/>
                  <w:szCs w:val="18"/>
                  <w:color w:val="0000FF"/>
                </w:rPr>
                <w:t>Form of Global Outside Director Nonstatutory Stock Option Award</w:t>
              </w:r>
            </w:hyperlink>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40" w:type="dxa"/>
            <w:vAlign w:val="bottom"/>
          </w:tcPr>
          <w:p>
            <w:pPr>
              <w:jc w:val="center"/>
              <w:ind w:left="1013"/>
              <w:spacing w:after="0" w:line="182"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8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w:anchor="page51">
              <w:r>
                <w:rPr>
                  <w:rFonts w:ascii="Times New Roman" w:cs="Times New Roman" w:eastAsia="Times New Roman" w:hAnsi="Times New Roman"/>
                  <w:sz w:val="18"/>
                  <w:szCs w:val="18"/>
                  <w:color w:val="0000FF"/>
                </w:rPr>
                <w:t>Agreement under the Second Amended and Restated 2007 Equity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8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w:anchor="page51">
              <w:r>
                <w:rPr>
                  <w:rFonts w:ascii="Times New Roman" w:cs="Times New Roman" w:eastAsia="Times New Roman" w:hAnsi="Times New Roman"/>
                  <w:sz w:val="18"/>
                  <w:szCs w:val="18"/>
                  <w:color w:val="0000FF"/>
                  <w:w w:val="99"/>
                </w:rPr>
                <w:t>Incentive Plan.*</w:t>
              </w:r>
            </w:hyperlink>
          </w:p>
        </w:tc>
        <w:tc>
          <w:tcPr>
            <w:tcW w:w="358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10.2</w:t>
            </w:r>
          </w:p>
        </w:tc>
        <w:tc>
          <w:tcPr>
            <w:tcW w:w="5060" w:type="dxa"/>
            <w:vAlign w:val="bottom"/>
            <w:gridSpan w:val="16"/>
          </w:tcPr>
          <w:p>
            <w:pPr>
              <w:spacing w:after="0"/>
              <w:rPr>
                <w:rFonts w:ascii="Times New Roman" w:cs="Times New Roman" w:eastAsia="Times New Roman" w:hAnsi="Times New Roman"/>
                <w:sz w:val="18"/>
                <w:szCs w:val="18"/>
                <w:color w:val="0000FF"/>
              </w:rPr>
            </w:pPr>
            <w:hyperlink w:anchor="page64">
              <w:r>
                <w:rPr>
                  <w:rFonts w:ascii="Times New Roman" w:cs="Times New Roman" w:eastAsia="Times New Roman" w:hAnsi="Times New Roman"/>
                  <w:sz w:val="18"/>
                  <w:szCs w:val="18"/>
                  <w:color w:val="0000FF"/>
                </w:rPr>
                <w:t>Form of Global Outside Director Restricted Stock Award Agreement</w:t>
              </w:r>
            </w:hyperlink>
          </w:p>
        </w:tc>
        <w:tc>
          <w:tcPr>
            <w:tcW w:w="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40" w:type="dxa"/>
            <w:vAlign w:val="bottom"/>
          </w:tcPr>
          <w:p>
            <w:pPr>
              <w:jc w:val="center"/>
              <w:ind w:left="1013"/>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96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w:anchor="page64">
              <w:r>
                <w:rPr>
                  <w:rFonts w:ascii="Times New Roman" w:cs="Times New Roman" w:eastAsia="Times New Roman" w:hAnsi="Times New Roman"/>
                  <w:sz w:val="18"/>
                  <w:szCs w:val="18"/>
                  <w:color w:val="0000FF"/>
                </w:rPr>
                <w:t>under the Second Amended and Restated 2007 Equity Incentive</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20" w:type="dxa"/>
            <w:vAlign w:val="bottom"/>
            <w:tcBorders>
              <w:top w:val="single" w:sz="8" w:color="0000FF"/>
            </w:tcBorders>
            <w:gridSpan w:val="6"/>
          </w:tcPr>
          <w:p>
            <w:pPr>
              <w:spacing w:after="0" w:line="156" w:lineRule="exact"/>
              <w:rPr>
                <w:rFonts w:ascii="Times New Roman" w:cs="Times New Roman" w:eastAsia="Times New Roman" w:hAnsi="Times New Roman"/>
                <w:sz w:val="18"/>
                <w:szCs w:val="18"/>
                <w:color w:val="0000FF"/>
              </w:rPr>
            </w:pPr>
            <w:hyperlink w:anchor="page64">
              <w:r>
                <w:rPr>
                  <w:rFonts w:ascii="Times New Roman" w:cs="Times New Roman" w:eastAsia="Times New Roman" w:hAnsi="Times New Roman"/>
                  <w:sz w:val="18"/>
                  <w:szCs w:val="18"/>
                  <w:color w:val="0000FF"/>
                </w:rPr>
                <w:t>Plan.*</w:t>
              </w:r>
            </w:hyperlink>
          </w:p>
        </w:tc>
        <w:tc>
          <w:tcPr>
            <w:tcW w:w="1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31.1</w:t>
            </w:r>
          </w:p>
        </w:tc>
        <w:tc>
          <w:tcPr>
            <w:tcW w:w="5060" w:type="dxa"/>
            <w:vAlign w:val="bottom"/>
            <w:gridSpan w:val="16"/>
          </w:tcPr>
          <w:p>
            <w:pPr>
              <w:spacing w:after="0"/>
              <w:rPr>
                <w:rFonts w:ascii="Times New Roman" w:cs="Times New Roman" w:eastAsia="Times New Roman" w:hAnsi="Times New Roman"/>
                <w:sz w:val="18"/>
                <w:szCs w:val="18"/>
                <w:color w:val="0000FF"/>
              </w:rPr>
            </w:pPr>
            <w:hyperlink w:anchor="page76">
              <w:r>
                <w:rPr>
                  <w:rFonts w:ascii="Times New Roman" w:cs="Times New Roman" w:eastAsia="Times New Roman" w:hAnsi="Times New Roman"/>
                  <w:sz w:val="18"/>
                  <w:szCs w:val="18"/>
                  <w:color w:val="0000FF"/>
                </w:rPr>
                <w:t>Certification of Guillaume Marie Jean Rutten, President and Chief</w:t>
              </w:r>
            </w:hyperlink>
          </w:p>
        </w:tc>
        <w:tc>
          <w:tcPr>
            <w:tcW w:w="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40" w:type="dxa"/>
            <w:vAlign w:val="bottom"/>
          </w:tcPr>
          <w:p>
            <w:pPr>
              <w:jc w:val="center"/>
              <w:ind w:left="1013"/>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80" w:type="dxa"/>
            <w:vAlign w:val="bottom"/>
            <w:gridSpan w:val="3"/>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60" w:type="dxa"/>
            <w:vAlign w:val="bottom"/>
            <w:gridSpan w:val="16"/>
          </w:tcPr>
          <w:p>
            <w:pPr>
              <w:spacing w:after="0" w:line="156" w:lineRule="exact"/>
              <w:rPr>
                <w:rFonts w:ascii="Times New Roman" w:cs="Times New Roman" w:eastAsia="Times New Roman" w:hAnsi="Times New Roman"/>
                <w:sz w:val="18"/>
                <w:szCs w:val="18"/>
                <w:color w:val="0000FF"/>
              </w:rPr>
            </w:pPr>
            <w:hyperlink w:anchor="page76">
              <w:r>
                <w:rPr>
                  <w:rFonts w:ascii="Times New Roman" w:cs="Times New Roman" w:eastAsia="Times New Roman" w:hAnsi="Times New Roman"/>
                  <w:sz w:val="18"/>
                  <w:szCs w:val="18"/>
                  <w:color w:val="0000FF"/>
                </w:rPr>
                <w:t>Executive Officer of Amkor Technology, Inc., pursuant to Rule 13a-</w:t>
              </w:r>
            </w:hyperlink>
          </w:p>
        </w:tc>
        <w:tc>
          <w:tcPr>
            <w:tcW w:w="8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92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7"/>
              </w:rPr>
            </w:pPr>
            <w:hyperlink w:anchor="page76">
              <w:r>
                <w:rPr>
                  <w:rFonts w:ascii="Times New Roman" w:cs="Times New Roman" w:eastAsia="Times New Roman" w:hAnsi="Times New Roman"/>
                  <w:sz w:val="18"/>
                  <w:szCs w:val="18"/>
                  <w:color w:val="0000FF"/>
                  <w:w w:val="97"/>
                </w:rPr>
                <w:t>14(a) under the Securities Exchange Act of 1934, as adopted pursuant</w:t>
              </w:r>
            </w:hyperlink>
          </w:p>
        </w:tc>
        <w:tc>
          <w:tcPr>
            <w:tcW w:w="12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60" w:type="dxa"/>
            <w:vAlign w:val="bottom"/>
            <w:tcBorders>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w:anchor="page76">
              <w:r>
                <w:rPr>
                  <w:rFonts w:ascii="Times New Roman" w:cs="Times New Roman" w:eastAsia="Times New Roman" w:hAnsi="Times New Roman"/>
                  <w:sz w:val="18"/>
                  <w:szCs w:val="18"/>
                  <w:color w:val="0000FF"/>
                  <w:w w:val="99"/>
                </w:rPr>
                <w:t>to Section 302 of the Sarbanes-Oxley Act of 2002.</w:t>
              </w:r>
            </w:hyperlink>
          </w:p>
        </w:tc>
        <w:tc>
          <w:tcPr>
            <w:tcW w:w="1380" w:type="dxa"/>
            <w:vAlign w:val="bottom"/>
            <w:gridSpan w:val="10"/>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31.2</w:t>
            </w:r>
          </w:p>
        </w:tc>
        <w:tc>
          <w:tcPr>
            <w:tcW w:w="474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w:anchor="page77">
              <w:r>
                <w:rPr>
                  <w:rFonts w:ascii="Times New Roman" w:cs="Times New Roman" w:eastAsia="Times New Roman" w:hAnsi="Times New Roman"/>
                  <w:sz w:val="18"/>
                  <w:szCs w:val="18"/>
                  <w:color w:val="0000FF"/>
                  <w:w w:val="99"/>
                </w:rPr>
                <w:t>Certification of Megan Faust, Executive Vice President and Chief</w:t>
              </w:r>
            </w:hyperlink>
          </w:p>
        </w:tc>
        <w:tc>
          <w:tcPr>
            <w:tcW w:w="320" w:type="dxa"/>
            <w:vAlign w:val="bottom"/>
            <w:gridSpan w:val="9"/>
          </w:tcPr>
          <w:p>
            <w:pPr>
              <w:spacing w:after="0"/>
              <w:rPr>
                <w:sz w:val="18"/>
                <w:szCs w:val="18"/>
                <w:color w:val="auto"/>
              </w:rPr>
            </w:pPr>
          </w:p>
        </w:tc>
        <w:tc>
          <w:tcPr>
            <w:tcW w:w="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40" w:type="dxa"/>
            <w:vAlign w:val="bottom"/>
          </w:tcPr>
          <w:p>
            <w:pPr>
              <w:jc w:val="center"/>
              <w:ind w:left="1013"/>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80" w:type="dxa"/>
            <w:vAlign w:val="bottom"/>
            <w:tcBorders>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w:anchor="page77">
              <w:r>
                <w:rPr>
                  <w:rFonts w:ascii="Times New Roman" w:cs="Times New Roman" w:eastAsia="Times New Roman" w:hAnsi="Times New Roman"/>
                  <w:sz w:val="18"/>
                  <w:szCs w:val="18"/>
                  <w:color w:val="0000FF"/>
                  <w:w w:val="99"/>
                </w:rPr>
                <w:t>Financial Officer of Amkor Technology, Inc., pursuant to Rule 13a-</w:t>
              </w:r>
            </w:hyperlink>
          </w:p>
        </w:tc>
        <w:tc>
          <w:tcPr>
            <w:tcW w:w="180" w:type="dxa"/>
            <w:vAlign w:val="bottom"/>
            <w:gridSpan w:val="5"/>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60" w:type="dxa"/>
            <w:vAlign w:val="bottom"/>
            <w:gridSpan w:val="16"/>
          </w:tcPr>
          <w:p>
            <w:pPr>
              <w:spacing w:after="0" w:line="156" w:lineRule="exact"/>
              <w:rPr>
                <w:rFonts w:ascii="Times New Roman" w:cs="Times New Roman" w:eastAsia="Times New Roman" w:hAnsi="Times New Roman"/>
                <w:sz w:val="18"/>
                <w:szCs w:val="18"/>
                <w:color w:val="0000FF"/>
              </w:rPr>
            </w:pPr>
            <w:hyperlink w:anchor="page77">
              <w:r>
                <w:rPr>
                  <w:rFonts w:ascii="Times New Roman" w:cs="Times New Roman" w:eastAsia="Times New Roman" w:hAnsi="Times New Roman"/>
                  <w:sz w:val="18"/>
                  <w:szCs w:val="18"/>
                  <w:color w:val="0000FF"/>
                </w:rPr>
                <w:t>14(a) under the Securities Exchange Act of 1934, as adopted pursuant</w:t>
              </w:r>
            </w:hyperlink>
          </w:p>
        </w:tc>
        <w:tc>
          <w:tcPr>
            <w:tcW w:w="8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4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w:anchor="page77">
              <w:r>
                <w:rPr>
                  <w:rFonts w:ascii="Times New Roman" w:cs="Times New Roman" w:eastAsia="Times New Roman" w:hAnsi="Times New Roman"/>
                  <w:sz w:val="18"/>
                  <w:szCs w:val="18"/>
                  <w:color w:val="0000FF"/>
                </w:rPr>
                <w:t>to Section 302 of the Sarbanes-Oxley Act of 2002.</w:t>
              </w:r>
            </w:hyperlink>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80" w:type="dxa"/>
            <w:vAlign w:val="bottom"/>
            <w:gridSpan w:val="3"/>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32</w:t>
            </w:r>
          </w:p>
        </w:tc>
        <w:tc>
          <w:tcPr>
            <w:tcW w:w="5060" w:type="dxa"/>
            <w:vAlign w:val="bottom"/>
            <w:gridSpan w:val="16"/>
          </w:tcPr>
          <w:p>
            <w:pPr>
              <w:spacing w:after="0"/>
              <w:rPr>
                <w:rFonts w:ascii="Times New Roman" w:cs="Times New Roman" w:eastAsia="Times New Roman" w:hAnsi="Times New Roman"/>
                <w:sz w:val="18"/>
                <w:szCs w:val="18"/>
                <w:color w:val="0000FF"/>
              </w:rPr>
            </w:pPr>
            <w:hyperlink w:anchor="page78">
              <w:r>
                <w:rPr>
                  <w:rFonts w:ascii="Times New Roman" w:cs="Times New Roman" w:eastAsia="Times New Roman" w:hAnsi="Times New Roman"/>
                  <w:sz w:val="18"/>
                  <w:szCs w:val="18"/>
                  <w:color w:val="0000FF"/>
                </w:rPr>
                <w:t>Certification of Chief Executive Officer and Chief Financial Officer</w:t>
              </w:r>
            </w:hyperlink>
          </w:p>
        </w:tc>
        <w:tc>
          <w:tcPr>
            <w:tcW w:w="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40" w:type="dxa"/>
            <w:vAlign w:val="bottom"/>
          </w:tcPr>
          <w:p>
            <w:pPr>
              <w:jc w:val="center"/>
              <w:ind w:left="1013"/>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90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w:anchor="page78">
              <w:r>
                <w:rPr>
                  <w:rFonts w:ascii="Times New Roman" w:cs="Times New Roman" w:eastAsia="Times New Roman" w:hAnsi="Times New Roman"/>
                  <w:sz w:val="18"/>
                  <w:szCs w:val="18"/>
                  <w:color w:val="0000FF"/>
                </w:rPr>
                <w:t>pursuant to 18 U.S.C. Section 1350, as adopted pursuant to Section</w:t>
              </w:r>
            </w:hyperlink>
          </w:p>
        </w:tc>
        <w:tc>
          <w:tcPr>
            <w:tcW w:w="160" w:type="dxa"/>
            <w:vAlign w:val="bottom"/>
            <w:gridSpan w:val="4"/>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8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w:anchor="page78">
              <w:r>
                <w:rPr>
                  <w:rFonts w:ascii="Times New Roman" w:cs="Times New Roman" w:eastAsia="Times New Roman" w:hAnsi="Times New Roman"/>
                  <w:sz w:val="18"/>
                  <w:szCs w:val="18"/>
                  <w:color w:val="0000FF"/>
                  <w:w w:val="99"/>
                </w:rPr>
                <w:t>906 of the Sarbanes-Oxley Act of 2002.</w:t>
              </w:r>
            </w:hyperlink>
          </w:p>
        </w:tc>
        <w:tc>
          <w:tcPr>
            <w:tcW w:w="1960" w:type="dxa"/>
            <w:vAlign w:val="bottom"/>
            <w:tcBorders>
              <w:top w:val="single" w:sz="8" w:color="0000FF"/>
            </w:tcBorders>
            <w:gridSpan w:val="7"/>
          </w:tcPr>
          <w:p>
            <w:pPr>
              <w:spacing w:after="0"/>
              <w:rPr>
                <w:sz w:val="13"/>
                <w:szCs w:val="13"/>
                <w:color w:val="auto"/>
              </w:rPr>
            </w:pPr>
          </w:p>
        </w:tc>
        <w:tc>
          <w:tcPr>
            <w:tcW w:w="220" w:type="dxa"/>
            <w:vAlign w:val="bottom"/>
            <w:gridSpan w:val="6"/>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gridSpan w:val="2"/>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101.INS</w:t>
            </w:r>
          </w:p>
        </w:tc>
        <w:tc>
          <w:tcPr>
            <w:tcW w:w="50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w:t>
            </w: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40" w:type="dxa"/>
            <w:vAlign w:val="bottom"/>
          </w:tcPr>
          <w:p>
            <w:pPr>
              <w:jc w:val="center"/>
              <w:ind w:left="1013"/>
              <w:spacing w:after="0" w:line="19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60" w:type="dxa"/>
            <w:vAlign w:val="bottom"/>
            <w:gridSpan w:val="16"/>
          </w:tcPr>
          <w:p>
            <w:pPr>
              <w:spacing w:after="0" w:line="176" w:lineRule="exact"/>
              <w:rPr>
                <w:sz w:val="20"/>
                <w:szCs w:val="20"/>
                <w:color w:val="auto"/>
              </w:rPr>
            </w:pPr>
            <w:r>
              <w:rPr>
                <w:rFonts w:ascii="Times New Roman" w:cs="Times New Roman" w:eastAsia="Times New Roman" w:hAnsi="Times New Roman"/>
                <w:sz w:val="18"/>
                <w:szCs w:val="18"/>
                <w:color w:val="auto"/>
              </w:rPr>
              <w:t>appear in the Interactive Data File because its XBRL tags are</w:t>
            </w: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8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1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101.SCH</w:t>
            </w:r>
          </w:p>
        </w:tc>
        <w:tc>
          <w:tcPr>
            <w:tcW w:w="50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8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40" w:type="dxa"/>
            <w:vAlign w:val="bottom"/>
          </w:tcPr>
          <w:p>
            <w:pPr>
              <w:jc w:val="center"/>
              <w:ind w:left="1013"/>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1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101.CAL</w:t>
            </w:r>
          </w:p>
        </w:tc>
        <w:tc>
          <w:tcPr>
            <w:tcW w:w="50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8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40" w:type="dxa"/>
            <w:vAlign w:val="bottom"/>
          </w:tcPr>
          <w:p>
            <w:pPr>
              <w:jc w:val="center"/>
              <w:ind w:left="1013"/>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101.LAB</w:t>
            </w:r>
          </w:p>
        </w:tc>
        <w:tc>
          <w:tcPr>
            <w:tcW w:w="50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8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40" w:type="dxa"/>
            <w:vAlign w:val="bottom"/>
          </w:tcPr>
          <w:p>
            <w:pPr>
              <w:jc w:val="center"/>
              <w:ind w:left="1013"/>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1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101.PRE</w:t>
            </w:r>
          </w:p>
        </w:tc>
        <w:tc>
          <w:tcPr>
            <w:tcW w:w="50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8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40" w:type="dxa"/>
            <w:vAlign w:val="bottom"/>
          </w:tcPr>
          <w:p>
            <w:pPr>
              <w:jc w:val="center"/>
              <w:ind w:left="1013"/>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101.DEF</w:t>
            </w:r>
          </w:p>
        </w:tc>
        <w:tc>
          <w:tcPr>
            <w:tcW w:w="50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8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40" w:type="dxa"/>
            <w:vAlign w:val="bottom"/>
          </w:tcPr>
          <w:p>
            <w:pPr>
              <w:jc w:val="center"/>
              <w:ind w:left="1013"/>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jc w:val="right"/>
              <w:ind w:right="50"/>
              <w:spacing w:after="0" w:line="181" w:lineRule="exact"/>
              <w:rPr>
                <w:sz w:val="20"/>
                <w:szCs w:val="20"/>
                <w:color w:val="auto"/>
              </w:rPr>
            </w:pPr>
            <w:r>
              <w:rPr>
                <w:rFonts w:ascii="Times New Roman" w:cs="Times New Roman" w:eastAsia="Times New Roman" w:hAnsi="Times New Roman"/>
                <w:sz w:val="18"/>
                <w:szCs w:val="18"/>
                <w:color w:val="auto"/>
              </w:rPr>
              <w:t>104</w:t>
            </w:r>
          </w:p>
        </w:tc>
        <w:tc>
          <w:tcPr>
            <w:tcW w:w="5060" w:type="dxa"/>
            <w:vAlign w:val="bottom"/>
            <w:gridSpan w:val="16"/>
          </w:tcPr>
          <w:p>
            <w:pPr>
              <w:spacing w:after="0" w:line="181"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40" w:type="dxa"/>
            <w:vAlign w:val="bottom"/>
          </w:tcPr>
          <w:p>
            <w:pPr>
              <w:jc w:val="center"/>
              <w:ind w:left="1013"/>
              <w:spacing w:after="0" w:line="181"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contained in Exhibit 101)</w:t>
            </w:r>
          </w:p>
        </w:tc>
        <w:tc>
          <w:tcPr>
            <w:tcW w:w="8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*Indicates management compensatory plan, contract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FF"/>
        </w:rPr>
      </w:pPr>
      <w:hyperlink w:anchor="page1">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AMKOR TECHNOLOGY, INC.</w:t>
      </w:r>
    </w:p>
    <w:p>
      <w:pPr>
        <w:spacing w:after="0" w:line="200" w:lineRule="exact"/>
        <w:rPr>
          <w:sz w:val="20"/>
          <w:szCs w:val="20"/>
          <w:color w:val="auto"/>
        </w:rPr>
      </w:pPr>
    </w:p>
    <w:p>
      <w:pPr>
        <w:spacing w:after="0" w:line="214" w:lineRule="exact"/>
        <w:rPr>
          <w:sz w:val="20"/>
          <w:szCs w:val="20"/>
          <w:color w:val="auto"/>
        </w:rPr>
      </w:pPr>
    </w:p>
    <w:tbl>
      <w:tblPr>
        <w:tblLayout w:type="fixed"/>
        <w:tblInd w:w="500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Megan Faust</w:t>
            </w:r>
          </w:p>
        </w:tc>
      </w:tr>
      <w:tr>
        <w:trPr>
          <w:trHeight w:val="218"/>
        </w:trPr>
        <w:tc>
          <w:tcPr>
            <w:tcW w:w="70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Megan Faust</w:t>
            </w:r>
          </w:p>
        </w:tc>
      </w:tr>
      <w:tr>
        <w:trPr>
          <w:trHeight w:val="230"/>
        </w:trPr>
        <w:tc>
          <w:tcPr>
            <w:tcW w:w="70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w:t>
            </w:r>
          </w:p>
        </w:tc>
      </w:tr>
      <w:tr>
        <w:trPr>
          <w:trHeight w:val="234"/>
        </w:trPr>
        <w:tc>
          <w:tcPr>
            <w:tcW w:w="70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117" w:right="339" w:bottom="1440" w:gutter="0" w:footer="0" w:header="0"/>
        </w:sectPr>
      </w:pPr>
    </w:p>
    <w:bookmarkStart w:id="50" w:name="page51"/>
    <w:bookmarkEnd w:id="50"/>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AMKOR TECHNOLOGY,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SECOND AMENDED AND RESTATED 2007 EQUITY INCENTIVE PLAN</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GLOBAL OUTSIDE DIRECTOR NONSTATUTORY STOCK OPTION AWARD AGREEMENT</w:t>
      </w:r>
    </w:p>
    <w:p>
      <w:pPr>
        <w:spacing w:after="0" w:line="287"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0"/>
          <w:szCs w:val="20"/>
          <w:color w:val="auto"/>
        </w:rPr>
        <w:t>Unless otherwise defined herein, the terms defined in the Amkor Technology, Inc. Second Amended and Restated 2007 Equity Incentive Plan (the “Plan”) will have the same defined meanings in this Global Outside Director Nonstatutory Stock Option Award Agreement, including the general terms and conditions for all non-U.S. Participants and the additional terms and conditions for certain countries, all as set forth in the appendix attached hereto (the “Appendix” and, together with the Global Outside Director Nonstatutory Stock Option Award Agreement, the “Award Agreement”).</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Participant Name:</w:t>
      </w:r>
    </w:p>
    <w:p>
      <w:pPr>
        <w:spacing w:after="0" w:line="200" w:lineRule="exact"/>
        <w:rPr>
          <w:sz w:val="20"/>
          <w:szCs w:val="20"/>
          <w:color w:val="auto"/>
        </w:rPr>
      </w:pPr>
    </w:p>
    <w:p>
      <w:pPr>
        <w:spacing w:after="0" w:line="3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Address:</w:t>
      </w:r>
    </w:p>
    <w:p>
      <w:pPr>
        <w:spacing w:after="0" w:line="287" w:lineRule="exact"/>
        <w:rPr>
          <w:sz w:val="20"/>
          <w:szCs w:val="20"/>
          <w:color w:val="auto"/>
        </w:rPr>
      </w:pPr>
    </w:p>
    <w:p>
      <w:pPr>
        <w:jc w:val="both"/>
        <w:ind w:firstLine="648"/>
        <w:spacing w:after="0" w:line="311" w:lineRule="auto"/>
        <w:rPr>
          <w:sz w:val="20"/>
          <w:szCs w:val="20"/>
          <w:color w:val="auto"/>
        </w:rPr>
      </w:pPr>
      <w:r>
        <w:rPr>
          <w:rFonts w:ascii="Times New Roman" w:cs="Times New Roman" w:eastAsia="Times New Roman" w:hAnsi="Times New Roman"/>
          <w:sz w:val="20"/>
          <w:szCs w:val="20"/>
          <w:color w:val="auto"/>
        </w:rPr>
        <w:t>You have been granted an Option to purchase Common Stock of Amkor Technology, Inc. (the “Company”), subject to the terms and conditions of the Plan and this Award Agreement, as follows: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Grant Number:</w:t>
      </w:r>
    </w:p>
    <w:p>
      <w:pPr>
        <w:spacing w:after="0" w:line="2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Date of Grant:</w:t>
      </w:r>
    </w:p>
    <w:p>
      <w:pPr>
        <w:spacing w:after="0" w:line="283" w:lineRule="exact"/>
        <w:rPr>
          <w:sz w:val="20"/>
          <w:szCs w:val="20"/>
          <w:color w:val="auto"/>
        </w:rPr>
      </w:pPr>
    </w:p>
    <w:p>
      <w:pPr>
        <w:ind w:left="660"/>
        <w:spacing w:after="0"/>
        <w:tabs>
          <w:tab w:leader="none" w:pos="3380" w:val="left"/>
        </w:tabs>
        <w:rPr>
          <w:sz w:val="20"/>
          <w:szCs w:val="20"/>
          <w:color w:val="auto"/>
        </w:rPr>
      </w:pPr>
      <w:r>
        <w:rPr>
          <w:rFonts w:ascii="Times New Roman" w:cs="Times New Roman" w:eastAsia="Times New Roman" w:hAnsi="Times New Roman"/>
          <w:sz w:val="20"/>
          <w:szCs w:val="20"/>
          <w:b w:val="1"/>
          <w:bCs w:val="1"/>
          <w:color w:val="auto"/>
        </w:rPr>
        <w:t>Vesting Commencement Date:</w:t>
      </w:r>
      <w:r>
        <w:rPr>
          <w:sz w:val="20"/>
          <w:szCs w:val="20"/>
          <w:color w:val="auto"/>
        </w:rPr>
        <w:tab/>
      </w:r>
      <w:r>
        <w:rPr>
          <w:rFonts w:ascii="Times New Roman" w:cs="Times New Roman" w:eastAsia="Times New Roman" w:hAnsi="Times New Roman"/>
          <w:sz w:val="19"/>
          <w:szCs w:val="19"/>
          <w:b w:val="1"/>
          <w:bCs w:val="1"/>
          <w:color w:val="auto"/>
        </w:rPr>
        <w:t>See Vesting Schedule Below</w:t>
      </w:r>
    </w:p>
    <w:p>
      <w:pPr>
        <w:spacing w:after="0" w:line="2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Exercise Price per Share:</w:t>
      </w:r>
    </w:p>
    <w:p>
      <w:pPr>
        <w:spacing w:after="0" w:line="2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Total Number of Shares Granted:</w:t>
      </w:r>
    </w:p>
    <w:p>
      <w:pPr>
        <w:spacing w:after="0" w:line="283" w:lineRule="exact"/>
        <w:rPr>
          <w:sz w:val="20"/>
          <w:szCs w:val="20"/>
          <w:color w:val="auto"/>
        </w:rPr>
      </w:pPr>
    </w:p>
    <w:p>
      <w:pPr>
        <w:ind w:left="660"/>
        <w:spacing w:after="0"/>
        <w:tabs>
          <w:tab w:leader="none" w:pos="2220" w:val="left"/>
        </w:tabs>
        <w:rPr>
          <w:sz w:val="20"/>
          <w:szCs w:val="20"/>
          <w:color w:val="auto"/>
        </w:rPr>
      </w:pPr>
      <w:r>
        <w:rPr>
          <w:rFonts w:ascii="Times New Roman" w:cs="Times New Roman" w:eastAsia="Times New Roman" w:hAnsi="Times New Roman"/>
          <w:sz w:val="20"/>
          <w:szCs w:val="20"/>
          <w:b w:val="1"/>
          <w:bCs w:val="1"/>
          <w:color w:val="auto"/>
        </w:rPr>
        <w:t>Type of Option:</w:t>
      </w:r>
      <w:r>
        <w:rPr>
          <w:sz w:val="20"/>
          <w:szCs w:val="20"/>
          <w:color w:val="auto"/>
        </w:rPr>
        <w:tab/>
      </w:r>
      <w:r>
        <w:rPr>
          <w:rFonts w:ascii="Times New Roman" w:cs="Times New Roman" w:eastAsia="Times New Roman" w:hAnsi="Times New Roman"/>
          <w:sz w:val="19"/>
          <w:szCs w:val="19"/>
          <w:b w:val="1"/>
          <w:bCs w:val="1"/>
          <w:color w:val="auto"/>
        </w:rPr>
        <w:t>Non-statutory Stock Option</w:t>
      </w:r>
    </w:p>
    <w:p>
      <w:pPr>
        <w:spacing w:after="0" w:line="2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Term/Expiration Date:</w:t>
      </w:r>
    </w:p>
    <w:p>
      <w:pPr>
        <w:spacing w:after="0" w:line="287" w:lineRule="exact"/>
        <w:rPr>
          <w:sz w:val="20"/>
          <w:szCs w:val="20"/>
          <w:color w:val="auto"/>
        </w:rPr>
      </w:pPr>
    </w:p>
    <w:p>
      <w:pPr>
        <w:ind w:firstLine="656"/>
        <w:spacing w:after="0" w:line="340" w:lineRule="auto"/>
        <w:tabs>
          <w:tab w:leader="none" w:pos="1296"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Grant of Option</w:t>
      </w:r>
      <w:r>
        <w:rPr>
          <w:rFonts w:ascii="Times New Roman" w:cs="Times New Roman" w:eastAsia="Times New Roman" w:hAnsi="Times New Roman"/>
          <w:sz w:val="19"/>
          <w:szCs w:val="19"/>
          <w:color w:val="auto"/>
        </w:rPr>
        <w:t>. The Company hereby grants to the individual named in this Award Agreement (the “Participant”) an option (the “Option”) to purchase the number of Shares, as set forth in this Award Agreement, at the exercise price per Share set forth in this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-257810</wp:posOffset>
            </wp:positionV>
            <wp:extent cx="311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20"/>
          <w:szCs w:val="20"/>
          <w:color w:val="auto"/>
        </w:rPr>
        <w:t>Agreement (the “Exercise Price”), subject to all of the terms and conditions in this Award Agreement and the Plan, which is incorporated herein by reference. In the event of a conflict between the terms and conditions of the Plan and the terms and conditions of this Award Agreement, the terms and conditions of the Plan shall prevail.</w:t>
      </w:r>
    </w:p>
    <w:p>
      <w:pPr>
        <w:spacing w:after="0" w:line="202" w:lineRule="exact"/>
        <w:rPr>
          <w:sz w:val="20"/>
          <w:szCs w:val="20"/>
          <w:color w:val="auto"/>
        </w:rPr>
      </w:pPr>
    </w:p>
    <w:p>
      <w:pPr>
        <w:jc w:val="both"/>
        <w:ind w:firstLine="656"/>
        <w:spacing w:after="0" w:line="287" w:lineRule="auto"/>
        <w:tabs>
          <w:tab w:leader="none" w:pos="1296"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 Schedule</w:t>
      </w:r>
      <w:r>
        <w:rPr>
          <w:rFonts w:ascii="Times New Roman" w:cs="Times New Roman" w:eastAsia="Times New Roman" w:hAnsi="Times New Roman"/>
          <w:sz w:val="20"/>
          <w:szCs w:val="20"/>
          <w:color w:val="auto"/>
        </w:rPr>
        <w:t>. Except as provided in Section 4 and subject to any acceleration provisions contained in the Plan or set forth below, this Option will become vested and exercisable in accordance with this section. Shares scheduled to vest on a certain date or upon the occurrence of a certain condition will not vest in Participant in accordance with any of the provisions of this Award Agreement, unless Participant will have been continuously a Service Provider from the Date of Grant until the date such vesting is scheduled to occur. For the avoidance of doubt, service during only a portion of the vesting period until the respective vesting date shall not entitle Participant to vest in a pro rata portion of the Option scheduled to vest on such date.</w:t>
      </w:r>
    </w:p>
    <w:p>
      <w:pPr>
        <w:spacing w:after="0" w:line="209" w:lineRule="exact"/>
        <w:rPr>
          <w:sz w:val="20"/>
          <w:szCs w:val="20"/>
          <w:color w:val="auto"/>
        </w:rPr>
      </w:pPr>
    </w:p>
    <w:p>
      <w:pPr>
        <w:jc w:val="both"/>
        <w:ind w:left="660" w:right="660"/>
        <w:spacing w:after="0" w:line="304" w:lineRule="auto"/>
        <w:rPr>
          <w:sz w:val="20"/>
          <w:szCs w:val="20"/>
          <w:color w:val="auto"/>
        </w:rPr>
      </w:pPr>
      <w:r>
        <w:rPr>
          <w:rFonts w:ascii="Times New Roman" w:cs="Times New Roman" w:eastAsia="Times New Roman" w:hAnsi="Times New Roman"/>
          <w:sz w:val="19"/>
          <w:szCs w:val="19"/>
          <w:b w:val="1"/>
          <w:bCs w:val="1"/>
          <w:color w:val="auto"/>
        </w:rPr>
        <w:t>The Option will become vested and exercisable with respect to 100% of the Shares subject to the Option on the earlier of the first anniversary of the Date of Grant or the date of the first annual meeting of the stockholders of the Company immediately following the Date of Grant. 100% of the Shares subject to this Award also shall vest upon the Participant’s death or Disability. In the event of a Change in Control (as defined in the Plan), the Award will be treated as the plan administrator determines in accordance with the Plan, including, without limitation, assumption or grant of a substitute award by the successor or acquiring company. If the successor or acquiring company does not assume or provide a substitute for the Award, the Award will fully vest in connection with such Change in Control.</w:t>
      </w:r>
    </w:p>
    <w:p>
      <w:pPr>
        <w:spacing w:after="0" w:line="200" w:lineRule="exact"/>
        <w:rPr>
          <w:sz w:val="20"/>
          <w:szCs w:val="20"/>
          <w:color w:val="auto"/>
        </w:rPr>
      </w:pPr>
    </w:p>
    <w:p>
      <w:pPr>
        <w:ind w:left="1300" w:hanging="644"/>
        <w:spacing w:after="0"/>
        <w:tabs>
          <w:tab w:leader="none" w:pos="130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Period</w:t>
      </w:r>
      <w:r>
        <w:rPr>
          <w:rFonts w:ascii="Times New Roman" w:cs="Times New Roman" w:eastAsia="Times New Roman" w:hAnsi="Times New Roman"/>
          <w:sz w:val="20"/>
          <w:szCs w:val="20"/>
          <w:color w:val="auto"/>
        </w:rPr>
        <w:t>.</w:t>
      </w:r>
    </w:p>
    <w:p>
      <w:pPr>
        <w:spacing w:after="0" w:line="283" w:lineRule="exact"/>
        <w:rPr>
          <w:rFonts w:ascii="Times New Roman" w:cs="Times New Roman" w:eastAsia="Times New Roman" w:hAnsi="Times New Roman"/>
          <w:sz w:val="20"/>
          <w:szCs w:val="20"/>
          <w:color w:val="auto"/>
        </w:rPr>
      </w:pPr>
    </w:p>
    <w:p>
      <w:pPr>
        <w:jc w:val="both"/>
        <w:ind w:firstLine="1304"/>
        <w:spacing w:after="0" w:line="277" w:lineRule="auto"/>
        <w:tabs>
          <w:tab w:leader="none" w:pos="1944"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that Participant ceases to be a Service Provider for any reason, the portion of the Option that is not vested as of such date shall be immediately forfeited with no consideration due to Participant and the portion of the Option that is vested and exercisable as of the date of such cessation shall remain exercisable (except as otherwise provided below) for </w:t>
      </w:r>
      <w:r>
        <w:rPr>
          <w:rFonts w:ascii="Times New Roman" w:cs="Times New Roman" w:eastAsia="Times New Roman" w:hAnsi="Times New Roman"/>
          <w:sz w:val="20"/>
          <w:szCs w:val="20"/>
          <w:b w:val="1"/>
          <w:bCs w:val="1"/>
          <w:color w:val="auto"/>
        </w:rPr>
        <w:t>twenty-four (24) months</w:t>
      </w:r>
      <w:r>
        <w:rPr>
          <w:rFonts w:ascii="Times New Roman" w:cs="Times New Roman" w:eastAsia="Times New Roman" w:hAnsi="Times New Roman"/>
          <w:sz w:val="20"/>
          <w:szCs w:val="20"/>
          <w:color w:val="auto"/>
        </w:rPr>
        <w:t xml:space="preserve"> after Participant ceases to be a Service Provider. If the exercise of the Option following the termination of Participant’s status as a Service Provider (other than upon Participant’s death or Disability) would result in liability under Section 16(b), then the vested portion of the Option will terminate on the earlier of (A) the Term/Expiration Date or (B) the later of (i) twenty-four (24) months after the termination of the Participant’s status as a Service Provider or (ii) the tenth (10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day after the last date on which such exercise would result in such liability under Section 16(b). If the exercise of the Option following the termination</w:t>
      </w:r>
    </w:p>
    <w:p>
      <w:pPr>
        <w:sectPr>
          <w:pgSz w:w="11900" w:h="16838" w:orient="portrait"/>
          <w:cols w:equalWidth="0" w:num="1">
            <w:col w:w="11240"/>
          </w:cols>
          <w:pgMar w:left="320" w:top="1440" w:right="339" w:bottom="1440" w:gutter="0" w:footer="0" w:header="0"/>
        </w:sectPr>
      </w:pPr>
    </w:p>
    <w:bookmarkStart w:id="52" w:name="page53"/>
    <w:bookmarkEnd w:id="52"/>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color w:val="auto"/>
        </w:rPr>
        <w:t>of Participant’s status as a Service Provider (other than upon Participant’s death or Disability) would be prohibited at any time solely because the issuance of Shares would violate the registration requirements under the U.S. Securities Act of 1933, as amended (the “Securities Act”), then the vested portion of the Option will terminate on the earlier of (A) the Term/Expiration Date or (B) the later of (i) twenty-four (24) months after the termination of the Participant’s status as a Service Provider or (ii) three (3) months after the last day on which the exercise of the Option would be in violation of such registration requirements. Notwithstanding anything contained herein to the contrary, in no event shall this Option be exercised later than the Term/Expiration Date as provided above. In addition, the Option may be subject to earlier termination as provided in Section 16(c) of the Plan.</w:t>
      </w:r>
    </w:p>
    <w:p>
      <w:pPr>
        <w:spacing w:after="0" w:line="215" w:lineRule="exact"/>
        <w:rPr>
          <w:sz w:val="20"/>
          <w:szCs w:val="20"/>
          <w:color w:val="auto"/>
        </w:rPr>
      </w:pPr>
    </w:p>
    <w:p>
      <w:pPr>
        <w:jc w:val="both"/>
        <w:ind w:firstLine="656"/>
        <w:spacing w:after="0" w:line="296" w:lineRule="auto"/>
        <w:tabs>
          <w:tab w:leader="none" w:pos="1296"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Administrator Discretion</w:t>
      </w:r>
      <w:r>
        <w:rPr>
          <w:rFonts w:ascii="Times New Roman" w:cs="Times New Roman" w:eastAsia="Times New Roman" w:hAnsi="Times New Roman"/>
          <w:sz w:val="20"/>
          <w:szCs w:val="20"/>
          <w:color w:val="auto"/>
        </w:rPr>
        <w:t>. The Administrator, in its discretion, may accelerate the vesting of the balance, or some lesser portion of the balance, of the unvested Option at any time, subject to the terms of the Plan. If so accelerated, such Option will be considered as having vested as of the date specified by the Administrator.</w:t>
      </w:r>
    </w:p>
    <w:p>
      <w:pPr>
        <w:spacing w:after="0" w:line="202" w:lineRule="exact"/>
        <w:rPr>
          <w:rFonts w:ascii="Times New Roman" w:cs="Times New Roman" w:eastAsia="Times New Roman" w:hAnsi="Times New Roman"/>
          <w:sz w:val="20"/>
          <w:szCs w:val="20"/>
          <w:color w:val="auto"/>
        </w:rPr>
      </w:pPr>
    </w:p>
    <w:p>
      <w:pPr>
        <w:jc w:val="both"/>
        <w:ind w:right="20" w:firstLine="656"/>
        <w:spacing w:after="0" w:line="296" w:lineRule="auto"/>
        <w:tabs>
          <w:tab w:leader="none" w:pos="1296"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Exercise of Option</w:t>
      </w:r>
      <w:r>
        <w:rPr>
          <w:rFonts w:ascii="Times New Roman" w:cs="Times New Roman" w:eastAsia="Times New Roman" w:hAnsi="Times New Roman"/>
          <w:sz w:val="20"/>
          <w:szCs w:val="20"/>
          <w:color w:val="auto"/>
        </w:rPr>
        <w:t>. This Option is exercisable during its term in accordance with the vesting schedule set out in Section 2 of this Award Agreement and the applicable provisions of the Plan and this Award Agreement. This Option is exercisable by completing the transaction through the Company's captive broker assisted voice response system or the Internet secured transaction system.</w:t>
      </w:r>
    </w:p>
    <w:p>
      <w:pPr>
        <w:spacing w:after="0" w:line="202" w:lineRule="exact"/>
        <w:rPr>
          <w:sz w:val="20"/>
          <w:szCs w:val="20"/>
          <w:color w:val="auto"/>
        </w:rPr>
      </w:pPr>
    </w:p>
    <w:p>
      <w:pPr>
        <w:jc w:val="both"/>
        <w:ind w:firstLine="1296"/>
        <w:spacing w:after="0" w:line="287" w:lineRule="auto"/>
        <w:rPr>
          <w:sz w:val="20"/>
          <w:szCs w:val="20"/>
          <w:color w:val="auto"/>
        </w:rPr>
      </w:pPr>
      <w:r>
        <w:rPr>
          <w:rFonts w:ascii="Times New Roman" w:cs="Times New Roman" w:eastAsia="Times New Roman" w:hAnsi="Times New Roman"/>
          <w:sz w:val="20"/>
          <w:szCs w:val="20"/>
          <w:color w:val="auto"/>
        </w:rPr>
        <w:t>The Option shall be deemed to be exercised upon completion of the transactions through the Company's captive broker assisted voice response system or the Internet secured transaction system, or such other process established by the Company or the Company’s captive broker. The exercise shall be accompanied by payment of the aggregate Exercise Price as to the number of Shares in respect of which the Option is being exercised (the “Exercised Shares”), and subject to the satisfaction of any applicable withholding obligation for Tax-Related Items (as defined in Section 7 of this Award Agreement). No Shares shall be issued pursuant to the exercise of this Option unless such issuance and exercise complies with Applicable Laws.</w:t>
      </w:r>
    </w:p>
    <w:p>
      <w:pPr>
        <w:spacing w:after="0" w:line="213" w:lineRule="exact"/>
        <w:rPr>
          <w:sz w:val="20"/>
          <w:szCs w:val="20"/>
          <w:color w:val="auto"/>
        </w:rPr>
      </w:pPr>
    </w:p>
    <w:p>
      <w:pPr>
        <w:ind w:firstLine="656"/>
        <w:spacing w:after="0" w:line="311" w:lineRule="auto"/>
        <w:tabs>
          <w:tab w:leader="none" w:pos="1296"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Method of Payment</w:t>
      </w:r>
      <w:r>
        <w:rPr>
          <w:rFonts w:ascii="Times New Roman" w:cs="Times New Roman" w:eastAsia="Times New Roman" w:hAnsi="Times New Roman"/>
          <w:sz w:val="20"/>
          <w:szCs w:val="20"/>
          <w:color w:val="auto"/>
        </w:rPr>
        <w:t>. Payment of the aggregate Exercise Price shall be by any of the following, or a combination thereof, at the election of Participant:</w:t>
      </w:r>
    </w:p>
    <w:p>
      <w:pPr>
        <w:spacing w:after="0" w:line="186" w:lineRule="exact"/>
        <w:rPr>
          <w:rFonts w:ascii="Times New Roman" w:cs="Times New Roman" w:eastAsia="Times New Roman" w:hAnsi="Times New Roman"/>
          <w:sz w:val="20"/>
          <w:szCs w:val="20"/>
          <w:color w:val="auto"/>
        </w:rPr>
      </w:pPr>
    </w:p>
    <w:p>
      <w:pPr>
        <w:ind w:left="1960" w:hanging="575"/>
        <w:spacing w:after="0"/>
        <w:tabs>
          <w:tab w:leader="none" w:pos="1960"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w:t>
      </w:r>
    </w:p>
    <w:p>
      <w:pPr>
        <w:spacing w:after="0" w:line="283" w:lineRule="exact"/>
        <w:rPr>
          <w:rFonts w:ascii="Times New Roman" w:cs="Times New Roman" w:eastAsia="Times New Roman" w:hAnsi="Times New Roman"/>
          <w:sz w:val="20"/>
          <w:szCs w:val="20"/>
          <w:color w:val="auto"/>
        </w:rPr>
      </w:pPr>
    </w:p>
    <w:p>
      <w:pPr>
        <w:ind w:left="1960" w:hanging="575"/>
        <w:spacing w:after="0"/>
        <w:tabs>
          <w:tab w:leader="none" w:pos="1960"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w:t>
      </w:r>
    </w:p>
    <w:p>
      <w:pPr>
        <w:sectPr>
          <w:pgSz w:w="11900" w:h="16838" w:orient="portrait"/>
          <w:cols w:equalWidth="0" w:num="1">
            <w:col w:w="11240"/>
          </w:cols>
          <w:pgMar w:left="320" w:top="1440" w:right="339" w:bottom="1440" w:gutter="0" w:footer="0" w:header="0"/>
        </w:sectPr>
      </w:pPr>
    </w:p>
    <w:bookmarkStart w:id="53" w:name="page54"/>
    <w:bookmarkEnd w:id="53"/>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firstLine="1385"/>
        <w:spacing w:after="0" w:line="311" w:lineRule="auto"/>
        <w:tabs>
          <w:tab w:leader="none" w:pos="1944"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Consideration received by the Company under a cashless exercise program implemented by the Company in connection with the Plan;</w:t>
      </w:r>
    </w:p>
    <w:p>
      <w:pPr>
        <w:spacing w:after="0" w:line="186" w:lineRule="exact"/>
        <w:rPr>
          <w:rFonts w:ascii="Times New Roman" w:cs="Times New Roman" w:eastAsia="Times New Roman" w:hAnsi="Times New Roman"/>
          <w:sz w:val="20"/>
          <w:szCs w:val="20"/>
          <w:color w:val="auto"/>
        </w:rPr>
      </w:pPr>
    </w:p>
    <w:p>
      <w:pPr>
        <w:jc w:val="both"/>
        <w:ind w:firstLine="1385"/>
        <w:spacing w:after="0" w:line="296" w:lineRule="auto"/>
        <w:tabs>
          <w:tab w:leader="none" w:pos="1944"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U.S. Participants only, surrender of other Shares which have a Fair Market Value on the date of exercise equal to the aggregate Exercise Price, provided that accepting such Shares, in the sole discretion of the Administrator, will not result in any adverse accounting consequences to the Company; or</w:t>
      </w:r>
    </w:p>
    <w:p>
      <w:pPr>
        <w:spacing w:after="0" w:line="202" w:lineRule="exact"/>
        <w:rPr>
          <w:rFonts w:ascii="Times New Roman" w:cs="Times New Roman" w:eastAsia="Times New Roman" w:hAnsi="Times New Roman"/>
          <w:sz w:val="20"/>
          <w:szCs w:val="20"/>
          <w:color w:val="auto"/>
        </w:rPr>
      </w:pPr>
    </w:p>
    <w:p>
      <w:pPr>
        <w:jc w:val="both"/>
        <w:ind w:firstLine="1385"/>
        <w:spacing w:after="0" w:line="291" w:lineRule="auto"/>
        <w:tabs>
          <w:tab w:leader="none" w:pos="1944"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Retention by the Company of a number of the whole Shares otherwise deliverable to Participant on exercise of the Option having an aggregate Fair Market Value (determined on the date of exercise) equal to the aggregate Exercise Price, unless, in the case of Participants who are not subject to the reporting requirements of Section 16 of the Exchange Act, such right is revoked by the Administrator prior to the time of exercise.</w:t>
      </w:r>
    </w:p>
    <w:p>
      <w:pPr>
        <w:spacing w:after="0" w:line="2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In all events, the aggregate Exercise Price must be paid to the Company within three days after the date of exercise.</w:t>
      </w:r>
    </w:p>
    <w:p>
      <w:pPr>
        <w:spacing w:after="0" w:line="283" w:lineRule="exact"/>
        <w:rPr>
          <w:sz w:val="20"/>
          <w:szCs w:val="20"/>
          <w:color w:val="auto"/>
        </w:rPr>
      </w:pPr>
    </w:p>
    <w:p>
      <w:pPr>
        <w:ind w:firstLine="1296"/>
        <w:spacing w:after="0" w:line="311" w:lineRule="auto"/>
        <w:rPr>
          <w:sz w:val="20"/>
          <w:szCs w:val="20"/>
          <w:color w:val="auto"/>
        </w:rPr>
      </w:pPr>
      <w:r>
        <w:rPr>
          <w:rFonts w:ascii="Times New Roman" w:cs="Times New Roman" w:eastAsia="Times New Roman" w:hAnsi="Times New Roman"/>
          <w:sz w:val="20"/>
          <w:szCs w:val="20"/>
          <w:color w:val="auto"/>
        </w:rPr>
        <w:t>Notwithstanding the foregoing, if Participant is subject to Section 16 of the Exchange Act at the time of exercise, then the Exercise Price shall be paid as provided in this Section 6(e), unless the Administrator and Participant agree otherwise.</w:t>
      </w:r>
    </w:p>
    <w:p>
      <w:pPr>
        <w:spacing w:after="0" w:line="187" w:lineRule="exact"/>
        <w:rPr>
          <w:sz w:val="20"/>
          <w:szCs w:val="20"/>
          <w:color w:val="auto"/>
        </w:rPr>
      </w:pPr>
    </w:p>
    <w:p>
      <w:pPr>
        <w:ind w:left="1300" w:hanging="644"/>
        <w:spacing w:after="0"/>
        <w:tabs>
          <w:tab w:leader="none" w:pos="130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Responsibility for Taxes</w:t>
      </w:r>
      <w:r>
        <w:rPr>
          <w:rFonts w:ascii="Times New Roman" w:cs="Times New Roman" w:eastAsia="Times New Roman" w:hAnsi="Times New Roman"/>
          <w:sz w:val="20"/>
          <w:szCs w:val="20"/>
          <w:color w:val="auto"/>
        </w:rPr>
        <w:t>.</w:t>
      </w:r>
    </w:p>
    <w:p>
      <w:pPr>
        <w:spacing w:after="0" w:line="283" w:lineRule="exact"/>
        <w:rPr>
          <w:rFonts w:ascii="Times New Roman" w:cs="Times New Roman" w:eastAsia="Times New Roman" w:hAnsi="Times New Roman"/>
          <w:sz w:val="20"/>
          <w:szCs w:val="20"/>
          <w:color w:val="auto"/>
        </w:rPr>
      </w:pPr>
    </w:p>
    <w:p>
      <w:pPr>
        <w:jc w:val="both"/>
        <w:ind w:left="80" w:firstLine="1305"/>
        <w:spacing w:after="0" w:line="285" w:lineRule="auto"/>
        <w:tabs>
          <w:tab w:leader="none" w:pos="1943"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acknowledges and agrees that, regardless of any action taken by the Company, the ultimate liability for all income tax, social insurance, payment on account or other tax-related items related to Participant’s participation in the Plan and legally applicable to Participant (“Tax-Related Items”) is and remains Participant’s responsibility and may exceed the amount, if any, actually withheld by the Company. Participant further acknowledges that the Company (i) makes no representations or undertakings regarding the treatment of any Tax-Related Items in connection with any aspect of this Option, including, but not limited to, the grant, vesting or exercise of this Option, or the subsequent sale of Shares and the receipt of any dividends; and (ii) does not commit to and is under no obligation to structure the terms of the grant or any aspect of this Option to reduce or eliminate Participant’s liability for Tax-Related Items or achieve any particular tax result. Further, if Participant is subject to Tax-Related Items in more than one jurisdiction, Participant acknowledges that the Company may be required to withhold or account for Tax-Related Items in more than one jurisdiction.</w:t>
      </w:r>
    </w:p>
    <w:p>
      <w:pPr>
        <w:spacing w:after="0" w:line="215" w:lineRule="exact"/>
        <w:rPr>
          <w:rFonts w:ascii="Times New Roman" w:cs="Times New Roman" w:eastAsia="Times New Roman" w:hAnsi="Times New Roman"/>
          <w:sz w:val="20"/>
          <w:szCs w:val="20"/>
          <w:color w:val="auto"/>
        </w:rPr>
      </w:pPr>
    </w:p>
    <w:p>
      <w:pPr>
        <w:ind w:left="80" w:firstLine="1305"/>
        <w:spacing w:after="0" w:line="311" w:lineRule="auto"/>
        <w:tabs>
          <w:tab w:leader="none" w:pos="1943"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the relevant taxable or tax withholding event, as applicable, Participant agrees to make adequate arrangements satisfactory to the Company to satisfy all Tax-</w:t>
      </w:r>
    </w:p>
    <w:p>
      <w:pPr>
        <w:sectPr>
          <w:pgSz w:w="11900" w:h="16838" w:orient="portrait"/>
          <w:cols w:equalWidth="0" w:num="1">
            <w:col w:w="11240"/>
          </w:cols>
          <w:pgMar w:left="320" w:top="1440" w:right="339" w:bottom="1440" w:gutter="0" w:footer="0" w:header="0"/>
        </w:sectPr>
      </w:pPr>
    </w:p>
    <w:bookmarkStart w:id="54" w:name="page55"/>
    <w:bookmarkEnd w:id="54"/>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20"/>
          <w:szCs w:val="20"/>
          <w:color w:val="auto"/>
        </w:rPr>
        <w:t>Related Items. In this regard, Participant authorizes the Company, or its agents, at its discretion, to satisfy any applicable withholding obligations with regard to all Tax-Related Items by one or a combination of the following: (i) withholding from Participant’s compensation payable to Participant by the Company (if any), (ii) withholding from proceeds of the sale of the Shares acquired upon the exercise of this Option either through a voluntary sale or through a mandatory sale arranged by the Company (on Participant’s behalf pursuant to this authorization without further consent), (iii) withholding Shares otherwise issuable at exercise of this Option, or (iv) any method determined by the Administrator to be in compliance with Applicable Laws. Notwithstanding the foregoing, if Participant is subject to Section 16 of the Exchange Act at the time the withholding obligation for Tax-Related Items becomes due, the Administrator will satisfy any applicable withholding obligation by directing the Company to withhold Shares subject to the Option.</w:t>
      </w:r>
    </w:p>
    <w:p>
      <w:pPr>
        <w:spacing w:after="0" w:line="218" w:lineRule="exact"/>
        <w:rPr>
          <w:sz w:val="20"/>
          <w:szCs w:val="20"/>
          <w:color w:val="auto"/>
        </w:rPr>
      </w:pPr>
    </w:p>
    <w:p>
      <w:pPr>
        <w:jc w:val="both"/>
        <w:ind w:firstLine="1305"/>
        <w:spacing w:after="0" w:line="286" w:lineRule="auto"/>
        <w:tabs>
          <w:tab w:leader="none" w:pos="1863"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withhold or account for Tax-Related Items by considering statutory withholding amounts or other applicable withholding rates, including maximum rates applicable in Participant’s jurisdiction(s). In the event of over-withholding, Participant may receive a refund of any over-withheld amount in cash (with no entitlement to the equivalent in Shares), or if not refunded, Participant may seek a refund from local tax authorities. In the event of under-withholding, Participant may be required to pay any additional Tax-Related Items directly to the applicable tax authority or to the Company. If the obligation for Tax-Related Items is satisfied by withholding Shares, for tax purposes, Participant is deemed to have received the full number of Shares subject to the exercised Option, notwithstanding that a number of the Shares is held back solely for the purpose of paying the Tax-Related Items.</w:t>
      </w:r>
    </w:p>
    <w:p>
      <w:pPr>
        <w:spacing w:after="0" w:line="214" w:lineRule="exact"/>
        <w:rPr>
          <w:rFonts w:ascii="Times New Roman" w:cs="Times New Roman" w:eastAsia="Times New Roman" w:hAnsi="Times New Roman"/>
          <w:sz w:val="20"/>
          <w:szCs w:val="20"/>
          <w:color w:val="auto"/>
        </w:rPr>
      </w:pPr>
    </w:p>
    <w:p>
      <w:pPr>
        <w:jc w:val="both"/>
        <w:ind w:firstLine="1305"/>
        <w:spacing w:after="0" w:line="291" w:lineRule="auto"/>
        <w:tabs>
          <w:tab w:leader="none" w:pos="1863"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agrees to pay to the Company any amount of Tax-Related Items that the Company may be required to withhold or account for as a result of Participant’s participation in the Plan that cannot be satisfied by the means previously described. The Company may refuse to issue or deliver the Shares or the proceeds of the sale of the Shares acquired upon the exercise of the Option, if Participant fails to comply with his or her obligations in connection with the Tax-Related Items.</w:t>
      </w:r>
    </w:p>
    <w:p>
      <w:pPr>
        <w:spacing w:after="0" w:line="207" w:lineRule="exact"/>
        <w:rPr>
          <w:rFonts w:ascii="Times New Roman" w:cs="Times New Roman" w:eastAsia="Times New Roman" w:hAnsi="Times New Roman"/>
          <w:sz w:val="20"/>
          <w:szCs w:val="20"/>
          <w:color w:val="auto"/>
        </w:rPr>
      </w:pPr>
    </w:p>
    <w:p>
      <w:pPr>
        <w:jc w:val="both"/>
        <w:ind w:left="-80" w:firstLine="656"/>
        <w:spacing w:after="0" w:line="289" w:lineRule="auto"/>
        <w:tabs>
          <w:tab w:leader="none" w:pos="1216"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Rights as Stockholder</w:t>
      </w:r>
      <w:r>
        <w:rPr>
          <w:rFonts w:ascii="Times New Roman" w:cs="Times New Roman" w:eastAsia="Times New Roman" w:hAnsi="Times New Roman"/>
          <w:sz w:val="20"/>
          <w:szCs w:val="20"/>
          <w:color w:val="auto"/>
        </w:rPr>
        <w:t>. Neither Participant nor any person claiming under or through Participant will have any of the rights or privileges of a stockholder of the Company in respect of any Shares deliverable hereunder unless and until certificates representing such Shares have been issued, recorded on the records of the Company or its transfer agents or registrars, and delivered to Participant. After such issuance, recordation and delivery, Participant will have all the rights of a stockholder of the Company with respect to such Shares, including voting and receipt of dividends and distributions on such Shares.</w:t>
      </w:r>
    </w:p>
    <w:p>
      <w:pPr>
        <w:sectPr>
          <w:pgSz w:w="11900" w:h="16838" w:orient="portrait"/>
          <w:cols w:equalWidth="0" w:num="1">
            <w:col w:w="11160"/>
          </w:cols>
          <w:pgMar w:left="400" w:top="1440" w:right="339" w:bottom="1440" w:gutter="0" w:footer="0" w:header="0"/>
        </w:sectPr>
      </w:pPr>
    </w:p>
    <w:bookmarkStart w:id="55" w:name="page56"/>
    <w:bookmarkEnd w:id="55"/>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656" w:firstLine="656"/>
        <w:spacing w:after="0" w:line="285" w:lineRule="auto"/>
        <w:tabs>
          <w:tab w:leader="none" w:pos="64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Guarantee of Continued Service</w:t>
      </w:r>
      <w:r>
        <w:rPr>
          <w:rFonts w:ascii="Times New Roman" w:cs="Times New Roman" w:eastAsia="Times New Roman" w:hAnsi="Times New Roman"/>
          <w:sz w:val="20"/>
          <w:szCs w:val="20"/>
          <w:color w:val="auto"/>
        </w:rPr>
        <w:t>. PARTICIPANT ACKNOWLEDGES AND AGREES THAT THE VESTING OF THE OPTION PURSUANT TO THE VESTING SCHEDULE HEREOF IS EARNED ONLY BY CONTINUING AS A SERVICE PROVIDER AND NOT THROUGH THE ACT OF BEING HIRED, BEING GRANTED THE OPTION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COMPANY TO TERMINATE PARTICIPANT’S RELATIONSHIP AS A SERVICE PROVIDER AT ANY TIME, WITH OR WITHOUT CAUSE.</w:t>
      </w:r>
    </w:p>
    <w:p>
      <w:pPr>
        <w:spacing w:after="0" w:line="215" w:lineRule="exact"/>
        <w:rPr>
          <w:rFonts w:ascii="Times New Roman" w:cs="Times New Roman" w:eastAsia="Times New Roman" w:hAnsi="Times New Roman"/>
          <w:sz w:val="20"/>
          <w:szCs w:val="20"/>
          <w:color w:val="auto"/>
        </w:rPr>
      </w:pPr>
    </w:p>
    <w:p>
      <w:pPr>
        <w:jc w:val="both"/>
        <w:ind w:left="-656" w:firstLine="656"/>
        <w:spacing w:after="0" w:line="287" w:lineRule="auto"/>
        <w:tabs>
          <w:tab w:leader="none" w:pos="631"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Appendix</w:t>
      </w:r>
      <w:r>
        <w:rPr>
          <w:rFonts w:ascii="Times New Roman" w:cs="Times New Roman" w:eastAsia="Times New Roman" w:hAnsi="Times New Roman"/>
          <w:sz w:val="20"/>
          <w:szCs w:val="20"/>
          <w:color w:val="auto"/>
        </w:rPr>
        <w:t>. For Participants outside the United States, this Option shall be subject to the general terms and conditions for all non-U.S. Participants and the additional terms and conditions for certain countries set forth in the Appendix attached hereto. Moreover, if Participant relocates from the U.S. to one of the countries included in the Appendix or if Participant relocates between countries included in the Appendix during the life of the Option, the general terms and conditions for all non-U.S. Participants and the additional terms and conditions for such country shall apply to Participant, to the extent the Company determines that the application of such terms and conditions is necessary or advisable for legal or administrative reasons. The Appendix constitutes part of this Award Agreement.</w:t>
      </w:r>
    </w:p>
    <w:p>
      <w:pPr>
        <w:spacing w:after="0" w:line="212" w:lineRule="exact"/>
        <w:rPr>
          <w:rFonts w:ascii="Times New Roman" w:cs="Times New Roman" w:eastAsia="Times New Roman" w:hAnsi="Times New Roman"/>
          <w:sz w:val="20"/>
          <w:szCs w:val="20"/>
          <w:color w:val="auto"/>
        </w:rPr>
      </w:pPr>
    </w:p>
    <w:p>
      <w:pPr>
        <w:jc w:val="both"/>
        <w:ind w:left="-656" w:firstLine="656"/>
        <w:spacing w:after="0" w:line="291" w:lineRule="auto"/>
        <w:tabs>
          <w:tab w:leader="none" w:pos="623"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Advice Regarding Grant</w:t>
      </w:r>
      <w:r>
        <w:rPr>
          <w:rFonts w:ascii="Times New Roman" w:cs="Times New Roman" w:eastAsia="Times New Roman" w:hAnsi="Times New Roman"/>
          <w:sz w:val="20"/>
          <w:szCs w:val="20"/>
          <w:color w:val="auto"/>
        </w:rPr>
        <w:t>. The Company is not providing any tax, legal or financial advice, nor is the Company making any recommendations regarding participation in the Plan, or Participant’s acquisition or sale of the underlying Shares. Participant acknowledges that he or she should consult with his or her own personal tax, legal and financial advisors regarding participation in the Plan before taking any action related to the Option.</w:t>
      </w:r>
    </w:p>
    <w:p>
      <w:pPr>
        <w:spacing w:after="0" w:line="207" w:lineRule="exact"/>
        <w:rPr>
          <w:rFonts w:ascii="Times New Roman" w:cs="Times New Roman" w:eastAsia="Times New Roman" w:hAnsi="Times New Roman"/>
          <w:sz w:val="20"/>
          <w:szCs w:val="20"/>
          <w:color w:val="auto"/>
        </w:rPr>
      </w:pPr>
    </w:p>
    <w:p>
      <w:pPr>
        <w:jc w:val="both"/>
        <w:ind w:left="-656" w:firstLine="656"/>
        <w:spacing w:after="0" w:line="296" w:lineRule="auto"/>
        <w:tabs>
          <w:tab w:leader="none" w:pos="631"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Address for Notices</w:t>
      </w:r>
      <w:r>
        <w:rPr>
          <w:rFonts w:ascii="Times New Roman" w:cs="Times New Roman" w:eastAsia="Times New Roman" w:hAnsi="Times New Roman"/>
          <w:sz w:val="20"/>
          <w:szCs w:val="20"/>
          <w:color w:val="auto"/>
        </w:rPr>
        <w:t>. Any notice to be given to the Company under the terms of this Award Agreement will be addressed to the Company, in care of its Stock Plan Administrator at Amkor Technology, Inc., 2045 E. Innovation Circle, Tempe, Arizona, 85284, or at such other address as the Company may hereafter designate in writing.</w:t>
      </w:r>
    </w:p>
    <w:p>
      <w:pPr>
        <w:spacing w:after="0" w:line="202" w:lineRule="exact"/>
        <w:rPr>
          <w:rFonts w:ascii="Times New Roman" w:cs="Times New Roman" w:eastAsia="Times New Roman" w:hAnsi="Times New Roman"/>
          <w:sz w:val="20"/>
          <w:szCs w:val="20"/>
          <w:color w:val="auto"/>
        </w:rPr>
      </w:pPr>
    </w:p>
    <w:p>
      <w:pPr>
        <w:jc w:val="both"/>
        <w:ind w:left="-656" w:firstLine="656"/>
        <w:spacing w:after="0" w:line="296" w:lineRule="auto"/>
        <w:tabs>
          <w:tab w:leader="none" w:pos="631"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Waivers</w:t>
      </w:r>
      <w:r>
        <w:rPr>
          <w:rFonts w:ascii="Times New Roman" w:cs="Times New Roman" w:eastAsia="Times New Roman" w:hAnsi="Times New Roman"/>
          <w:sz w:val="20"/>
          <w:szCs w:val="20"/>
          <w:color w:val="auto"/>
        </w:rPr>
        <w:t>. Participant acknowledges that a waiver by the Company of breach of any provision of this Award Agreement shall not operate or be construed as a waiver of any other provision of this Award Agreement, or of any subsequent breach by Participant or any other participants.</w:t>
      </w:r>
    </w:p>
    <w:p>
      <w:pPr>
        <w:sectPr>
          <w:pgSz w:w="11900" w:h="16838" w:orient="portrait"/>
          <w:cols w:equalWidth="0" w:num="1">
            <w:col w:w="10584"/>
          </w:cols>
          <w:pgMar w:left="976" w:top="1440" w:right="339" w:bottom="1440" w:gutter="0" w:footer="0" w:header="0"/>
        </w:sectPr>
      </w:pPr>
    </w:p>
    <w:bookmarkStart w:id="56" w:name="page57"/>
    <w:bookmarkEnd w:id="56"/>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56" w:firstLine="656"/>
        <w:spacing w:after="0" w:line="311" w:lineRule="auto"/>
        <w:tabs>
          <w:tab w:leader="none" w:pos="631"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Non-Transferability of Option</w:t>
      </w:r>
      <w:r>
        <w:rPr>
          <w:rFonts w:ascii="Times New Roman" w:cs="Times New Roman" w:eastAsia="Times New Roman" w:hAnsi="Times New Roman"/>
          <w:sz w:val="20"/>
          <w:szCs w:val="20"/>
          <w:color w:val="auto"/>
        </w:rPr>
        <w:t>. This Option may not be transferred in any manner otherwise than by will or by the laws of descent or distribution and may be exercised during the lifetime of Participant only by Participant.</w:t>
      </w:r>
    </w:p>
    <w:p>
      <w:pPr>
        <w:spacing w:after="0" w:line="186" w:lineRule="exact"/>
        <w:rPr>
          <w:rFonts w:ascii="Times New Roman" w:cs="Times New Roman" w:eastAsia="Times New Roman" w:hAnsi="Times New Roman"/>
          <w:sz w:val="20"/>
          <w:szCs w:val="20"/>
          <w:color w:val="auto"/>
        </w:rPr>
      </w:pPr>
    </w:p>
    <w:p>
      <w:pPr>
        <w:jc w:val="both"/>
        <w:ind w:left="-656" w:firstLine="656"/>
        <w:spacing w:after="0" w:line="296" w:lineRule="auto"/>
        <w:tabs>
          <w:tab w:leader="none" w:pos="631"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Binding Agreement</w:t>
      </w:r>
      <w:r>
        <w:rPr>
          <w:rFonts w:ascii="Times New Roman" w:cs="Times New Roman" w:eastAsia="Times New Roman" w:hAnsi="Times New Roman"/>
          <w:sz w:val="20"/>
          <w:szCs w:val="20"/>
          <w:color w:val="auto"/>
        </w:rPr>
        <w:t>. Subject to the limitation on the transferability of this grant contained herein, this Award Agreement will be binding upon and inure to the benefit of the heirs, legatees, legal representatives, successors and assigns of the parties hereto (provided that neither the Option nor this Award Agreement may be assigned by Participant).</w:t>
      </w:r>
    </w:p>
    <w:p>
      <w:pPr>
        <w:spacing w:after="0" w:line="202" w:lineRule="exact"/>
        <w:rPr>
          <w:rFonts w:ascii="Times New Roman" w:cs="Times New Roman" w:eastAsia="Times New Roman" w:hAnsi="Times New Roman"/>
          <w:sz w:val="20"/>
          <w:szCs w:val="20"/>
          <w:color w:val="auto"/>
        </w:rPr>
      </w:pPr>
    </w:p>
    <w:p>
      <w:pPr>
        <w:jc w:val="both"/>
        <w:ind w:left="-656" w:firstLine="656"/>
        <w:spacing w:after="0" w:line="285" w:lineRule="auto"/>
        <w:tabs>
          <w:tab w:leader="none" w:pos="631"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Conditions to Issuance of Stock</w:t>
      </w:r>
      <w:r>
        <w:rPr>
          <w:rFonts w:ascii="Times New Roman" w:cs="Times New Roman" w:eastAsia="Times New Roman" w:hAnsi="Times New Roman"/>
          <w:sz w:val="20"/>
          <w:szCs w:val="20"/>
          <w:color w:val="auto"/>
        </w:rPr>
        <w:t>. If at any time the Company determines, in its discretion, that the listing, registration or qualification of the Shares upon any securities exchange or under any Applicable Laws, or the consent or approval of any U.S. or non-U.S. governmental regulatory authority is necessary or desirable as a condition to the issuance of Shares to Participant (or his or her estate), such issuance will not occur unless and until such listing, registration, qualification, consent or approval has been effected or obtained free of any conditions not acceptable to the Company. Participant understands that the Company is under no obligation to register or qualify the Shares subject to the Option with any U.S. state or non-U.S. securities commission or to seek approval or clearance from any governmental authority for the issuance or sale of the Shares. Further, Participant agrees that the Company shall have unilateral authority to amend the Plan and this Award Agreement without Participant’s consent to the extent necessary to comply with Applicable Laws.</w:t>
      </w:r>
    </w:p>
    <w:p>
      <w:pPr>
        <w:spacing w:after="0" w:line="218" w:lineRule="exact"/>
        <w:rPr>
          <w:rFonts w:ascii="Times New Roman" w:cs="Times New Roman" w:eastAsia="Times New Roman" w:hAnsi="Times New Roman"/>
          <w:sz w:val="20"/>
          <w:szCs w:val="20"/>
          <w:color w:val="auto"/>
        </w:rPr>
      </w:pPr>
    </w:p>
    <w:p>
      <w:pPr>
        <w:jc w:val="both"/>
        <w:ind w:left="-656" w:firstLine="656"/>
        <w:spacing w:after="0" w:line="287" w:lineRule="auto"/>
        <w:tabs>
          <w:tab w:leader="none" w:pos="631"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Administrator Authority</w:t>
      </w:r>
      <w:r>
        <w:rPr>
          <w:rFonts w:ascii="Times New Roman" w:cs="Times New Roman" w:eastAsia="Times New Roman" w:hAnsi="Times New Roman"/>
          <w:sz w:val="20"/>
          <w:szCs w:val="20"/>
          <w:color w:val="auto"/>
        </w:rPr>
        <w:t>. The Administrator has the power to interpret the Plan and this Award Agreement and to adopt such rules for the administration, interpretation and application of the Plan and this Award Agreement as are consistent therewith and to interpret or revoke any such rules (including, but not limited to, the determination of whether or not any Shares subject to the Option have vested). All actions taken and all interpretations and determinations made by the Administrator in good faith will be final and binding upon Participant, the Company and all other interested persons. No member of the Administrator will be personally liable for any action, determination or interpretation made in good faith with respect to the Plan or this Award Agreement.</w:t>
      </w:r>
    </w:p>
    <w:p>
      <w:pPr>
        <w:spacing w:after="0" w:line="212" w:lineRule="exact"/>
        <w:rPr>
          <w:rFonts w:ascii="Times New Roman" w:cs="Times New Roman" w:eastAsia="Times New Roman" w:hAnsi="Times New Roman"/>
          <w:sz w:val="20"/>
          <w:szCs w:val="20"/>
          <w:color w:val="auto"/>
        </w:rPr>
      </w:pPr>
    </w:p>
    <w:p>
      <w:pPr>
        <w:jc w:val="both"/>
        <w:ind w:left="-656" w:firstLine="656"/>
        <w:spacing w:after="0" w:line="291" w:lineRule="auto"/>
        <w:tabs>
          <w:tab w:leader="none" w:pos="631"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Delivery and Acceptance</w:t>
      </w:r>
      <w:r>
        <w:rPr>
          <w:rFonts w:ascii="Times New Roman" w:cs="Times New Roman" w:eastAsia="Times New Roman" w:hAnsi="Times New Roman"/>
          <w:sz w:val="20"/>
          <w:szCs w:val="20"/>
          <w:color w:val="auto"/>
        </w:rPr>
        <w:t>. The Company may, in its sole discretion, decide to deliver any documents related to the Option or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ectPr>
          <w:pgSz w:w="11900" w:h="16838" w:orient="portrait"/>
          <w:cols w:equalWidth="0" w:num="1">
            <w:col w:w="10584"/>
          </w:cols>
          <w:pgMar w:left="976" w:top="1440" w:right="339" w:bottom="1440" w:gutter="0" w:footer="0" w:header="0"/>
        </w:sectPr>
      </w:pPr>
    </w:p>
    <w:bookmarkStart w:id="57" w:name="page58"/>
    <w:bookmarkEnd w:id="57"/>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56" w:firstLine="656"/>
        <w:spacing w:after="0" w:line="311" w:lineRule="auto"/>
        <w:tabs>
          <w:tab w:leader="none" w:pos="631"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Captions</w:t>
      </w:r>
      <w:r>
        <w:rPr>
          <w:rFonts w:ascii="Times New Roman" w:cs="Times New Roman" w:eastAsia="Times New Roman" w:hAnsi="Times New Roman"/>
          <w:sz w:val="20"/>
          <w:szCs w:val="20"/>
          <w:color w:val="auto"/>
        </w:rPr>
        <w:t>. Captions provided herein are for convenience only and are not to serve as a basis for interpretation or construction of this Award Agreement.</w:t>
      </w:r>
    </w:p>
    <w:p>
      <w:pPr>
        <w:spacing w:after="0" w:line="186" w:lineRule="exact"/>
        <w:rPr>
          <w:rFonts w:ascii="Times New Roman" w:cs="Times New Roman" w:eastAsia="Times New Roman" w:hAnsi="Times New Roman"/>
          <w:sz w:val="20"/>
          <w:szCs w:val="20"/>
          <w:color w:val="auto"/>
        </w:rPr>
      </w:pPr>
    </w:p>
    <w:p>
      <w:pPr>
        <w:jc w:val="both"/>
        <w:ind w:left="-656" w:firstLine="656"/>
        <w:spacing w:after="0" w:line="296" w:lineRule="auto"/>
        <w:tabs>
          <w:tab w:leader="none" w:pos="631"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Agreement Severable</w:t>
      </w:r>
      <w:r>
        <w:rPr>
          <w:rFonts w:ascii="Times New Roman" w:cs="Times New Roman" w:eastAsia="Times New Roman" w:hAnsi="Times New Roman"/>
          <w:sz w:val="20"/>
          <w:szCs w:val="20"/>
          <w:color w:val="auto"/>
        </w:rPr>
        <w:t>. In the event that any provision in this Award Agreement is held invalid or unenforceable, such provision will be severable from, and such invalidity or unenforceability will not be construed to have any effect on, the remaining provisions of this Award Agreement.</w:t>
      </w:r>
    </w:p>
    <w:p>
      <w:pPr>
        <w:spacing w:after="0" w:line="202" w:lineRule="exact"/>
        <w:rPr>
          <w:rFonts w:ascii="Times New Roman" w:cs="Times New Roman" w:eastAsia="Times New Roman" w:hAnsi="Times New Roman"/>
          <w:sz w:val="20"/>
          <w:szCs w:val="20"/>
          <w:color w:val="auto"/>
        </w:rPr>
      </w:pPr>
    </w:p>
    <w:p>
      <w:pPr>
        <w:jc w:val="both"/>
        <w:ind w:left="-656" w:firstLine="656"/>
        <w:spacing w:after="0" w:line="289" w:lineRule="auto"/>
        <w:tabs>
          <w:tab w:leader="none" w:pos="631"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Modifications to the Award Agreement</w:t>
      </w:r>
      <w:r>
        <w:rPr>
          <w:rFonts w:ascii="Times New Roman" w:cs="Times New Roman" w:eastAsia="Times New Roman" w:hAnsi="Times New Roman"/>
          <w:sz w:val="20"/>
          <w:szCs w:val="20"/>
          <w:color w:val="auto"/>
        </w:rPr>
        <w:t>. The Plan and this Award Agreement constitute the entire understanding of the parties on the subjects covered herein. Participant expressly warrants that he or she is not accepting this Award Agreement in reliance on any promises, representations, or inducements other than those contained herein. Except as otherwise provided herein or in the Plan, modifications to this Award Agreement can be made only in an express written contract executed by Participant and a duly authorized officer of the Company.</w:t>
      </w:r>
    </w:p>
    <w:p>
      <w:pPr>
        <w:spacing w:after="0" w:line="208" w:lineRule="exact"/>
        <w:rPr>
          <w:rFonts w:ascii="Times New Roman" w:cs="Times New Roman" w:eastAsia="Times New Roman" w:hAnsi="Times New Roman"/>
          <w:sz w:val="20"/>
          <w:szCs w:val="20"/>
          <w:color w:val="auto"/>
        </w:rPr>
      </w:pPr>
    </w:p>
    <w:p>
      <w:pPr>
        <w:jc w:val="both"/>
        <w:ind w:left="-656" w:firstLine="656"/>
        <w:spacing w:after="0" w:line="296" w:lineRule="auto"/>
        <w:tabs>
          <w:tab w:leader="none" w:pos="631"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of Plan</w:t>
      </w:r>
      <w:r>
        <w:rPr>
          <w:rFonts w:ascii="Times New Roman" w:cs="Times New Roman" w:eastAsia="Times New Roman" w:hAnsi="Times New Roman"/>
          <w:sz w:val="20"/>
          <w:szCs w:val="20"/>
          <w:color w:val="auto"/>
        </w:rPr>
        <w:t>. By accepting the Option, Participant expressly warrants that he or she has received an Award of an Option under the Plan, and has received, read and understands the Plan. Participant understands that the Plan is discretionary in nature and may be amended, suspended or terminated by the Company at any time, to the extent permitted by the Plan.</w:t>
      </w:r>
    </w:p>
    <w:p>
      <w:pPr>
        <w:spacing w:after="0" w:line="202" w:lineRule="exact"/>
        <w:rPr>
          <w:rFonts w:ascii="Times New Roman" w:cs="Times New Roman" w:eastAsia="Times New Roman" w:hAnsi="Times New Roman"/>
          <w:sz w:val="20"/>
          <w:szCs w:val="20"/>
          <w:color w:val="auto"/>
        </w:rPr>
      </w:pPr>
    </w:p>
    <w:p>
      <w:pPr>
        <w:jc w:val="both"/>
        <w:ind w:left="-656" w:firstLine="656"/>
        <w:spacing w:after="0" w:line="311" w:lineRule="auto"/>
        <w:tabs>
          <w:tab w:leader="none" w:pos="631"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Governing Law; Venue</w:t>
      </w:r>
      <w:r>
        <w:rPr>
          <w:rFonts w:ascii="Times New Roman" w:cs="Times New Roman" w:eastAsia="Times New Roman" w:hAnsi="Times New Roman"/>
          <w:sz w:val="19"/>
          <w:szCs w:val="19"/>
          <w:color w:val="auto"/>
        </w:rPr>
        <w:t>. This Award Agreement will be governed by the laws of the State of Delaware without giving effect to the conflict of law principles thereof. For purposes of litigating any dispute that arises under this Option or this Award Agreement, the parties hereby submit to and consent to the exclusive jurisdiction of the State of Arizona</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and agree that such litigation will be conducted solely in the courts of Maricopa County, Arizona, or the federal courts for the United States for the District of Arizona, and no other courts.</w:t>
      </w:r>
    </w:p>
    <w:p>
      <w:pPr>
        <w:spacing w:after="0" w:line="190" w:lineRule="exact"/>
        <w:rPr>
          <w:rFonts w:ascii="Times New Roman" w:cs="Times New Roman" w:eastAsia="Times New Roman" w:hAnsi="Times New Roman"/>
          <w:sz w:val="19"/>
          <w:szCs w:val="19"/>
          <w:color w:val="auto"/>
        </w:rPr>
      </w:pPr>
    </w:p>
    <w:p>
      <w:pPr>
        <w:jc w:val="both"/>
        <w:ind w:left="-656" w:firstLine="656"/>
        <w:spacing w:after="0" w:line="285" w:lineRule="auto"/>
        <w:tabs>
          <w:tab w:leader="none" w:pos="631"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Code Section 409A</w:t>
      </w:r>
      <w:r>
        <w:rPr>
          <w:rFonts w:ascii="Times New Roman" w:cs="Times New Roman" w:eastAsia="Times New Roman" w:hAnsi="Times New Roman"/>
          <w:sz w:val="20"/>
          <w:szCs w:val="20"/>
          <w:color w:val="auto"/>
        </w:rPr>
        <w:t>. The Option is intended to comply with, or be exempt from, Code Section 409A and all regulations, guidance, compliance programs and other interpretative authority thereunder, and shall be interpreted in a manner consistent therewith. Notwithstanding anything contained herein to the contrary, in the event the Option is subject to Code Section 409A, the Company may, in its sole discretion and without Participant’s prior consent, amend the Plan and/or the Award Agreement, adopt policies and procedures, or take any other actions as deemed appropriate by the Company to (i) exempt the Option from the application of Code Section 409A, (ii) preserve the intended tax treatment of the Option or (iii) comply with the requirements of Code Section 409A. Notwithstanding anything contained herein to the contrary, in no event shall the Company or any Subsidiary have any liability or obligation to Participant or any other person in the event that the Plan or the Option is not exempt from, or compliant with, Code Section 409A.</w:t>
      </w:r>
    </w:p>
    <w:p>
      <w:pPr>
        <w:sectPr>
          <w:pgSz w:w="11900" w:h="16838" w:orient="portrait"/>
          <w:cols w:equalWidth="0" w:num="1">
            <w:col w:w="10584"/>
          </w:cols>
          <w:pgMar w:left="976" w:top="1440" w:right="339" w:bottom="1440" w:gutter="0" w:footer="0" w:header="0"/>
        </w:sectPr>
      </w:pPr>
    </w:p>
    <w:bookmarkStart w:id="58" w:name="page59"/>
    <w:bookmarkEnd w:id="5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left="-20" w:firstLine="656"/>
        <w:spacing w:after="0" w:line="284" w:lineRule="auto"/>
        <w:tabs>
          <w:tab w:leader="none" w:pos="1267"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Insider Trading Restrictions/Market Abuse Laws</w:t>
      </w:r>
      <w:r>
        <w:rPr>
          <w:rFonts w:ascii="Times New Roman" w:cs="Times New Roman" w:eastAsia="Times New Roman" w:hAnsi="Times New Roman"/>
          <w:sz w:val="20"/>
          <w:szCs w:val="20"/>
          <w:color w:val="auto"/>
        </w:rPr>
        <w:t>. By accepting the Option, Participant acknowledges that he or she is bound by all the terms and conditions of the Company’s insider trading policy as may be in effect from time to time. Participant further acknowledges that, depending on Participant’s or his or her broker’s country or the country in which the Shares are listed, he or she may be subject to insider trading restrictions and/or market abuse laws which may affect Participant’s ability to accept, acquire, sell or otherwise dispose of Shares, rights to Shares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Options) or rights linked to the value of Shares during such times as Participant is considered to have “inside information” regarding the Company (as defined by the laws in the applicable jurisdictions). Local insider trading laws and regulations may prohibit the cancellation or amendment of orders Participant placed before Participant possessed inside information. Furthermore, Participant could be prohibited from (i) disclosing the inside information to any third party and (ii) “tipping” third parties or causing them otherwise to buy or sell securities. Any restrictions under these laws or regulations are separate from and in addition to any restrictions that may be imposed under the Company’s insider trading policy as may be in effect from time to time. Participant acknowledges that it is Participant’s responsibility to comply with any applicable restrictions, and Participant should speak to his or her personal advisor on this matter.</w:t>
      </w:r>
    </w:p>
    <w:p>
      <w:pPr>
        <w:spacing w:after="0" w:line="217" w:lineRule="exact"/>
        <w:rPr>
          <w:rFonts w:ascii="Times New Roman" w:cs="Times New Roman" w:eastAsia="Times New Roman" w:hAnsi="Times New Roman"/>
          <w:sz w:val="20"/>
          <w:szCs w:val="20"/>
          <w:color w:val="auto"/>
        </w:rPr>
      </w:pPr>
    </w:p>
    <w:p>
      <w:pPr>
        <w:jc w:val="both"/>
        <w:ind w:left="-20" w:firstLine="656"/>
        <w:spacing w:after="0" w:line="289" w:lineRule="auto"/>
        <w:tabs>
          <w:tab w:leader="none" w:pos="1267"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Participant's acceptance of the Option by signing below or by otherwise accepting the Option following such procedures as established by the Company (including an online acceptance process) constitute Participant's agreement to be bound by the terms and conditions of this Award Agreement and the Plan. The Company may refuse to allow Participant to exercise the Option unless Participant has signed this Award Agreement or otherwise accepted the Option following such procedures as established by the Company (including an online acceptance process).</w:t>
      </w:r>
    </w:p>
    <w:p>
      <w:pPr>
        <w:spacing w:after="0" w:line="231" w:lineRule="exact"/>
        <w:rPr>
          <w:sz w:val="20"/>
          <w:szCs w:val="20"/>
          <w:color w:val="auto"/>
        </w:rPr>
      </w:pPr>
    </w:p>
    <w:p>
      <w:pPr>
        <w:spacing w:after="0"/>
        <w:tabs>
          <w:tab w:leader="none" w:pos="5840" w:val="left"/>
        </w:tabs>
        <w:rPr>
          <w:sz w:val="20"/>
          <w:szCs w:val="20"/>
          <w:color w:val="auto"/>
        </w:rPr>
      </w:pPr>
      <w:r>
        <w:rPr>
          <w:rFonts w:ascii="Times New Roman" w:cs="Times New Roman" w:eastAsia="Times New Roman" w:hAnsi="Times New Roman"/>
          <w:sz w:val="20"/>
          <w:szCs w:val="20"/>
          <w:b w:val="1"/>
          <w:bCs w:val="1"/>
          <w:color w:val="auto"/>
        </w:rPr>
        <w:t>Participant</w:t>
      </w:r>
      <w:r>
        <w:rPr>
          <w:sz w:val="20"/>
          <w:szCs w:val="20"/>
          <w:color w:val="auto"/>
        </w:rPr>
        <w:tab/>
      </w:r>
      <w:r>
        <w:rPr>
          <w:rFonts w:ascii="Times New Roman" w:cs="Times New Roman" w:eastAsia="Times New Roman" w:hAnsi="Times New Roman"/>
          <w:sz w:val="22"/>
          <w:szCs w:val="22"/>
          <w:b w:val="1"/>
          <w:bCs w:val="1"/>
          <w:color w:val="auto"/>
        </w:rPr>
        <w:t>Amkor 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379095</wp:posOffset>
            </wp:positionV>
            <wp:extent cx="697801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78015" cy="889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69780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78015" cy="8255"/>
                    </a:xfrm>
                    <a:prstGeom prst="rect">
                      <a:avLst/>
                    </a:prstGeom>
                    <a:noFill/>
                  </pic:spPr>
                </pic:pic>
              </a:graphicData>
            </a:graphic>
          </wp:anchor>
        </w:drawing>
      </w:r>
    </w:p>
    <w:p>
      <w:pPr>
        <w:spacing w:after="0" w:line="317" w:lineRule="exact"/>
        <w:rPr>
          <w:sz w:val="20"/>
          <w:szCs w:val="20"/>
          <w:color w:val="auto"/>
        </w:rPr>
      </w:pPr>
    </w:p>
    <w:p>
      <w:pPr>
        <w:spacing w:after="0"/>
        <w:tabs>
          <w:tab w:leader="none" w:pos="5840" w:val="left"/>
        </w:tabs>
        <w:rPr>
          <w:sz w:val="20"/>
          <w:szCs w:val="20"/>
          <w:color w:val="auto"/>
        </w:rPr>
      </w:pPr>
      <w:r>
        <w:rPr>
          <w:rFonts w:ascii="Times New Roman" w:cs="Times New Roman" w:eastAsia="Times New Roman" w:hAnsi="Times New Roman"/>
          <w:sz w:val="20"/>
          <w:szCs w:val="20"/>
          <w:b w:val="1"/>
          <w:bCs w:val="1"/>
          <w:color w:val="auto"/>
        </w:rPr>
        <w:t>Date</w:t>
      </w:r>
      <w:r>
        <w:rPr>
          <w:sz w:val="20"/>
          <w:szCs w:val="20"/>
          <w:color w:val="auto"/>
        </w:rPr>
        <w:tab/>
      </w:r>
      <w:r>
        <w:rPr>
          <w:rFonts w:ascii="Times New Roman" w:cs="Times New Roman" w:eastAsia="Times New Roman" w:hAnsi="Times New Roman"/>
          <w:sz w:val="20"/>
          <w:szCs w:val="20"/>
          <w:b w:val="1"/>
          <w:bCs w:val="1"/>
          <w:color w:val="auto"/>
        </w:rPr>
        <w:t>Date</w:t>
      </w:r>
    </w:p>
    <w:p>
      <w:pPr>
        <w:sectPr>
          <w:pgSz w:w="11900" w:h="16838" w:orient="portrait"/>
          <w:cols w:equalWidth="0" w:num="1">
            <w:col w:w="11220"/>
          </w:cols>
          <w:pgMar w:left="340" w:top="1440"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20"/>
          <w:szCs w:val="20"/>
          <w:b w:val="1"/>
          <w:bCs w:val="1"/>
          <w:color w:val="auto"/>
        </w:rPr>
        <w:t>APPENDIX TO</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AMKOR TECHNOLOGY,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SECOND AMENDED AND RESTATED 2007 EQUITY INCENTIVE PLAN</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GLOBAL OUTSIDE DIRECTOR NONSTATUTORY STOCK OPTION AWARD AGREEMENT</w:t>
      </w:r>
    </w:p>
    <w:p>
      <w:pPr>
        <w:spacing w:after="0" w:line="200" w:lineRule="exact"/>
        <w:rPr>
          <w:sz w:val="20"/>
          <w:szCs w:val="20"/>
          <w:color w:val="auto"/>
        </w:rPr>
      </w:pPr>
    </w:p>
    <w:p>
      <w:pPr>
        <w:spacing w:after="0" w:line="330" w:lineRule="exact"/>
        <w:rPr>
          <w:sz w:val="20"/>
          <w:szCs w:val="20"/>
          <w:color w:val="auto"/>
        </w:rPr>
      </w:pPr>
    </w:p>
    <w:p>
      <w:pPr>
        <w:jc w:val="both"/>
        <w:ind w:firstLine="648"/>
        <w:spacing w:after="0" w:line="311" w:lineRule="auto"/>
        <w:rPr>
          <w:sz w:val="20"/>
          <w:szCs w:val="20"/>
          <w:color w:val="auto"/>
        </w:rPr>
      </w:pPr>
      <w:r>
        <w:rPr>
          <w:rFonts w:ascii="Times New Roman" w:cs="Times New Roman" w:eastAsia="Times New Roman" w:hAnsi="Times New Roman"/>
          <w:sz w:val="20"/>
          <w:szCs w:val="20"/>
          <w:color w:val="auto"/>
        </w:rPr>
        <w:t>Capitalized terms used but not defined in this Appendix shall have the same meanings assigned to them in the Plan and/or the Global Outside Director Nonstatutory Stock Option Award Agreement.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87"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0"/>
          <w:szCs w:val="20"/>
          <w:color w:val="auto"/>
        </w:rPr>
        <w:t>This Appendix includes general terms and conditions for all non-U.S. Participants and additional terms and conditions that govern the Option if Participant resides in one of the countries listed below. If Participant is a citizen or resident of a country other than the one in which Participant is currently residing (or is considered as such for local law purposes), or if Participant transfers residency to a different country after the Option is granted, the Company will, in its discretion, determine the extent to which the terms and conditions contained herein will apply to Participant.</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87"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0"/>
          <w:szCs w:val="20"/>
          <w:color w:val="auto"/>
        </w:rPr>
        <w:t>This Appendix also includes information regarding certain other issues of which Participant should be aware with respect to Participant’s participation in the Plan. The information is based on the securities, exchange control and other laws in effect in the respective countries as of July 2020. Such laws are often complex and change frequently. As a result, Participant should not rely on the information noted herein as the only source of information relating to the consequences of participation in the Plan because the information may be out-of-date at the time Participant exercises the Option or sells any Shares acquired under the Plan.</w:t>
      </w:r>
    </w:p>
    <w:p>
      <w:pPr>
        <w:spacing w:after="0" w:line="208"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0"/>
          <w:szCs w:val="20"/>
          <w:color w:val="auto"/>
        </w:rPr>
        <w:t>In addition, the information contained herein is general in nature and may not apply to Participant’s particular situation. As a result, the Company is not in a position to assure Participant of any particular result. Accordingly, Participant should seek appropriate professional advice as to how the relevant laws in Participant’s country may apply to Participant’s individual situation.</w:t>
      </w:r>
    </w:p>
    <w:p>
      <w:pPr>
        <w:spacing w:after="0" w:line="20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If Participant is a citizen or resident of a country other than the one in which Participant is currently residing (or is considered as such for local law purposes), or if Participant transfers residency to a different country after the Option is granted, the information contained in this Appendix may not be applicable to Participant in the same manner.</w:t>
      </w:r>
    </w:p>
    <w:p>
      <w:pPr>
        <w:sectPr>
          <w:pgSz w:w="11900" w:h="16838" w:orient="portrait"/>
          <w:cols w:equalWidth="0" w:num="1">
            <w:col w:w="11240"/>
          </w:cols>
          <w:pgMar w:left="320" w:top="1436" w:right="339" w:bottom="1440" w:gutter="0" w:footer="0" w:header="0"/>
        </w:sectPr>
      </w:pPr>
    </w:p>
    <w:bookmarkStart w:id="60" w:name="page61"/>
    <w:bookmarkEnd w:id="60"/>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GENERAL TERMS AND CONDITIONS APPLICABLE TO ALL NON-U.S. PARTICIPANTS</w:t>
      </w:r>
    </w:p>
    <w:p>
      <w:pPr>
        <w:spacing w:after="0" w:line="283" w:lineRule="exact"/>
        <w:rPr>
          <w:sz w:val="20"/>
          <w:szCs w:val="20"/>
          <w:color w:val="auto"/>
        </w:rPr>
      </w:pPr>
    </w:p>
    <w:p>
      <w:pPr>
        <w:ind w:left="1300" w:hanging="644"/>
        <w:spacing w:after="0"/>
        <w:tabs>
          <w:tab w:leader="none" w:pos="1300" w:val="left"/>
        </w:tabs>
        <w:numPr>
          <w:ilvl w:val="0"/>
          <w:numId w:val="44"/>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b w:val="1"/>
          <w:bCs w:val="1"/>
          <w:i w:val="1"/>
          <w:iCs w:val="1"/>
          <w:u w:val="single" w:color="auto"/>
          <w:color w:val="auto"/>
        </w:rPr>
        <w:t>Data Privacy Information and Consent</w:t>
      </w:r>
      <w:r>
        <w:rPr>
          <w:rFonts w:ascii="Times New Roman" w:cs="Times New Roman" w:eastAsia="Times New Roman" w:hAnsi="Times New Roman"/>
          <w:sz w:val="20"/>
          <w:szCs w:val="20"/>
          <w:b w:val="1"/>
          <w:bCs w:val="1"/>
          <w:i w:val="1"/>
          <w:iCs w:val="1"/>
          <w:color w:val="auto"/>
        </w:rPr>
        <w:t>.</w:t>
      </w:r>
    </w:p>
    <w:p>
      <w:pPr>
        <w:spacing w:after="0" w:line="283" w:lineRule="exact"/>
        <w:rPr>
          <w:rFonts w:ascii="Times New Roman" w:cs="Times New Roman" w:eastAsia="Times New Roman" w:hAnsi="Times New Roman"/>
          <w:sz w:val="20"/>
          <w:szCs w:val="20"/>
          <w:i w:val="1"/>
          <w:iCs w:val="1"/>
          <w:color w:val="auto"/>
        </w:rPr>
      </w:pPr>
    </w:p>
    <w:p>
      <w:pPr>
        <w:jc w:val="both"/>
        <w:ind w:firstLine="1304"/>
        <w:spacing w:after="0" w:line="288" w:lineRule="auto"/>
        <w:tabs>
          <w:tab w:leader="none" w:pos="1944" w:val="left"/>
        </w:tabs>
        <w:numPr>
          <w:ilvl w:val="1"/>
          <w:numId w:val="44"/>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u w:val="single" w:color="auto"/>
          <w:color w:val="auto"/>
        </w:rPr>
        <w:t>Data Collection and Usage</w:t>
      </w:r>
      <w:r>
        <w:rPr>
          <w:rFonts w:ascii="Times New Roman" w:cs="Times New Roman" w:eastAsia="Times New Roman" w:hAnsi="Times New Roman"/>
          <w:sz w:val="20"/>
          <w:szCs w:val="20"/>
          <w:b w:val="1"/>
          <w:bCs w:val="1"/>
          <w:i w:val="1"/>
          <w:iCs w:val="1"/>
          <w:color w:val="auto"/>
        </w:rPr>
        <w:t>. The Company collects, processes and uses certain personal information about Participant, including, but not limited to, Participant’s name, home address, telephone number, email address, date of birth, social insurance number, passport or other identification number, nationality, job title, any Shares or directorships held in the Company, details of all awards granted under the Plan or any other entitlement to Shares awarded, canceled, exercised, vested, unvested or outstanding in Participant’s favor (“Data”), for purposes of implementing, administering and managing the Plan. The legal basis, where required, for the processing of Data is Participant’s consent.</w:t>
      </w:r>
    </w:p>
    <w:p>
      <w:pPr>
        <w:spacing w:after="0" w:line="207" w:lineRule="exact"/>
        <w:rPr>
          <w:rFonts w:ascii="Times New Roman" w:cs="Times New Roman" w:eastAsia="Times New Roman" w:hAnsi="Times New Roman"/>
          <w:sz w:val="20"/>
          <w:szCs w:val="20"/>
          <w:b w:val="1"/>
          <w:bCs w:val="1"/>
          <w:i w:val="1"/>
          <w:iCs w:val="1"/>
          <w:color w:val="auto"/>
        </w:rPr>
      </w:pPr>
    </w:p>
    <w:p>
      <w:pPr>
        <w:jc w:val="both"/>
        <w:ind w:firstLine="1304"/>
        <w:spacing w:after="0" w:line="288" w:lineRule="auto"/>
        <w:tabs>
          <w:tab w:leader="none" w:pos="1944" w:val="left"/>
        </w:tabs>
        <w:numPr>
          <w:ilvl w:val="1"/>
          <w:numId w:val="44"/>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u w:val="single" w:color="auto"/>
          <w:color w:val="auto"/>
        </w:rPr>
        <w:t>Stock Plan Administration Service Providers</w:t>
      </w:r>
      <w:r>
        <w:rPr>
          <w:rFonts w:ascii="Times New Roman" w:cs="Times New Roman" w:eastAsia="Times New Roman" w:hAnsi="Times New Roman"/>
          <w:sz w:val="20"/>
          <w:szCs w:val="20"/>
          <w:b w:val="1"/>
          <w:bCs w:val="1"/>
          <w:i w:val="1"/>
          <w:iCs w:val="1"/>
          <w:color w:val="auto"/>
        </w:rPr>
        <w:t>. The Company transfers Data to E*TRADE Financial Corporate Services, Inc. and certain of its affiliates (“E*TRADE”), an independent service provider which is assisting the Company with the implementation, administration and management of the Plan. The Company may select a different service provider or additional service providers and share Data with such other provider serving in a similar manner. Participant may be asked to agree on separate terms and data processing practices with E*TRADE and such other service providers, with such agreement being a condition to the ability to participate in the Plan.</w:t>
      </w:r>
    </w:p>
    <w:p>
      <w:pPr>
        <w:spacing w:after="0" w:line="207" w:lineRule="exact"/>
        <w:rPr>
          <w:rFonts w:ascii="Times New Roman" w:cs="Times New Roman" w:eastAsia="Times New Roman" w:hAnsi="Times New Roman"/>
          <w:sz w:val="20"/>
          <w:szCs w:val="20"/>
          <w:b w:val="1"/>
          <w:bCs w:val="1"/>
          <w:i w:val="1"/>
          <w:iCs w:val="1"/>
          <w:color w:val="auto"/>
        </w:rPr>
      </w:pPr>
    </w:p>
    <w:p>
      <w:pPr>
        <w:jc w:val="both"/>
        <w:ind w:firstLine="1304"/>
        <w:spacing w:after="0" w:line="298" w:lineRule="auto"/>
        <w:tabs>
          <w:tab w:leader="none" w:pos="1944" w:val="left"/>
        </w:tabs>
        <w:numPr>
          <w:ilvl w:val="1"/>
          <w:numId w:val="44"/>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u w:val="single" w:color="auto"/>
          <w:color w:val="auto"/>
        </w:rPr>
        <w:t>International Data Transfers</w:t>
      </w:r>
      <w:r>
        <w:rPr>
          <w:rFonts w:ascii="Times New Roman" w:cs="Times New Roman" w:eastAsia="Times New Roman" w:hAnsi="Times New Roman"/>
          <w:sz w:val="20"/>
          <w:szCs w:val="20"/>
          <w:b w:val="1"/>
          <w:bCs w:val="1"/>
          <w:i w:val="1"/>
          <w:iCs w:val="1"/>
          <w:color w:val="auto"/>
        </w:rPr>
        <w:t>. The Company and E*TRADE are based in the U.S., which means that it will be necessary for Data to be transferred to, and processed in, the U.S. Participant’s country or jurisdiction may have different data privacy laws and protections than the U.S. The Company’s legal basis for the transfer of Data, where required, is Participant’s consent.</w:t>
      </w:r>
    </w:p>
    <w:p>
      <w:pPr>
        <w:spacing w:after="0" w:line="196" w:lineRule="exact"/>
        <w:rPr>
          <w:rFonts w:ascii="Times New Roman" w:cs="Times New Roman" w:eastAsia="Times New Roman" w:hAnsi="Times New Roman"/>
          <w:sz w:val="20"/>
          <w:szCs w:val="20"/>
          <w:b w:val="1"/>
          <w:bCs w:val="1"/>
          <w:i w:val="1"/>
          <w:iCs w:val="1"/>
          <w:color w:val="auto"/>
        </w:rPr>
      </w:pPr>
    </w:p>
    <w:p>
      <w:pPr>
        <w:jc w:val="both"/>
        <w:ind w:firstLine="1304"/>
        <w:spacing w:after="0" w:line="290" w:lineRule="auto"/>
        <w:tabs>
          <w:tab w:leader="none" w:pos="1944" w:val="left"/>
        </w:tabs>
        <w:numPr>
          <w:ilvl w:val="1"/>
          <w:numId w:val="44"/>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u w:val="single" w:color="auto"/>
          <w:color w:val="auto"/>
        </w:rPr>
        <w:t>Data Retention</w:t>
      </w:r>
      <w:r>
        <w:rPr>
          <w:rFonts w:ascii="Times New Roman" w:cs="Times New Roman" w:eastAsia="Times New Roman" w:hAnsi="Times New Roman"/>
          <w:sz w:val="20"/>
          <w:szCs w:val="20"/>
          <w:b w:val="1"/>
          <w:bCs w:val="1"/>
          <w:i w:val="1"/>
          <w:iCs w:val="1"/>
          <w:color w:val="auto"/>
        </w:rPr>
        <w:t>. The Company will hold and use Data only as long as is necessary to implement, administer and manage Participant’s participation in the Plan, or as required to comply with legal or regulatory obligations, including under tax, exchange control, labor and securities laws. This period may extend beyond the Participant's period as a Service Provider. When the Company no longer needs Data for any of the above purposes, it will cease processing it in this context and remove it from all of its systems used for such purposes to the fullest extent practicable.</w:t>
      </w:r>
    </w:p>
    <w:p>
      <w:pPr>
        <w:spacing w:after="0" w:line="203" w:lineRule="exact"/>
        <w:rPr>
          <w:rFonts w:ascii="Times New Roman" w:cs="Times New Roman" w:eastAsia="Times New Roman" w:hAnsi="Times New Roman"/>
          <w:sz w:val="20"/>
          <w:szCs w:val="20"/>
          <w:b w:val="1"/>
          <w:bCs w:val="1"/>
          <w:i w:val="1"/>
          <w:iCs w:val="1"/>
          <w:color w:val="auto"/>
        </w:rPr>
      </w:pPr>
    </w:p>
    <w:p>
      <w:pPr>
        <w:jc w:val="both"/>
        <w:ind w:firstLine="1304"/>
        <w:spacing w:after="0" w:line="290" w:lineRule="auto"/>
        <w:tabs>
          <w:tab w:leader="none" w:pos="1944" w:val="left"/>
        </w:tabs>
        <w:numPr>
          <w:ilvl w:val="1"/>
          <w:numId w:val="44"/>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u w:val="single" w:color="auto"/>
          <w:color w:val="auto"/>
        </w:rPr>
        <w:t>Voluntariness and Consequences of Consent Denial or Withdrawal</w:t>
      </w:r>
      <w:r>
        <w:rPr>
          <w:rFonts w:ascii="Times New Roman" w:cs="Times New Roman" w:eastAsia="Times New Roman" w:hAnsi="Times New Roman"/>
          <w:sz w:val="20"/>
          <w:szCs w:val="20"/>
          <w:b w:val="1"/>
          <w:bCs w:val="1"/>
          <w:i w:val="1"/>
          <w:iCs w:val="1"/>
          <w:color w:val="auto"/>
        </w:rPr>
        <w:t>. Participation in the Plan is voluntary and Participant is providing the consents herein on a purely voluntary basis. If Participant does not consent, or if Participant later seeks to revoke his or her consent, Participant’s status as a Service Provider will not be affected; the only consequence of refusing or withdrawing consent is that the Company would not be able to grant the Option or other equity awards to Participant under the Plan or administer or maintain such awards.</w:t>
      </w:r>
    </w:p>
    <w:p>
      <w:pPr>
        <w:sectPr>
          <w:pgSz w:w="11900" w:h="16838" w:orient="portrait"/>
          <w:cols w:equalWidth="0" w:num="1">
            <w:col w:w="11240"/>
          </w:cols>
          <w:pgMar w:left="320" w:top="1440" w:right="339" w:bottom="1440" w:gutter="0" w:footer="0" w:header="0"/>
        </w:sectPr>
      </w:pPr>
    </w:p>
    <w:bookmarkStart w:id="61" w:name="page62"/>
    <w:bookmarkEnd w:id="61"/>
    <w:p>
      <w:pPr>
        <w:jc w:val="both"/>
        <w:ind w:left="-80" w:firstLine="1304"/>
        <w:spacing w:after="0" w:line="288" w:lineRule="auto"/>
        <w:tabs>
          <w:tab w:leader="none" w:pos="1864" w:val="left"/>
        </w:tabs>
        <w:numPr>
          <w:ilvl w:val="1"/>
          <w:numId w:val="45"/>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u w:val="single" w:color="auto"/>
          <w:color w:val="auto"/>
        </w:rPr>
        <w:t>Data Subject Rights.</w:t>
      </w:r>
      <w:r>
        <w:rPr>
          <w:rFonts w:ascii="Times New Roman" w:cs="Times New Roman" w:eastAsia="Times New Roman" w:hAnsi="Times New Roman"/>
          <w:sz w:val="20"/>
          <w:szCs w:val="20"/>
          <w:b w:val="1"/>
          <w:bCs w:val="1"/>
          <w:i w:val="1"/>
          <w:iCs w:val="1"/>
          <w:color w:val="auto"/>
        </w:rPr>
        <w:t xml:space="preserve"> Participant may have a number of rights under data privacy laws in his or her jurisdiction. Depending on where Participant is based, such rights may include the right to (i) request access to or copies of Data the Company processes, (ii) rectify incorrect Data, (iii) delete Data, (iv) restrict the processing of Data, (v) restrict the portability of Data, (vi) lodge complaints with competent authorities in Participant’s jurisdiction, and/or (vii) receive a list with the names and addresses of any potential recipients of Data. To receive clarification regarding these rights or to exercise these rights, Participant can contact the Company.</w:t>
      </w:r>
    </w:p>
    <w:p>
      <w:pPr>
        <w:spacing w:after="0" w:line="207" w:lineRule="exact"/>
        <w:rPr>
          <w:rFonts w:ascii="Times New Roman" w:cs="Times New Roman" w:eastAsia="Times New Roman" w:hAnsi="Times New Roman"/>
          <w:sz w:val="20"/>
          <w:szCs w:val="20"/>
          <w:b w:val="1"/>
          <w:bCs w:val="1"/>
          <w:i w:val="1"/>
          <w:iCs w:val="1"/>
          <w:color w:val="auto"/>
        </w:rPr>
      </w:pPr>
    </w:p>
    <w:p>
      <w:pPr>
        <w:jc w:val="both"/>
        <w:ind w:left="-80" w:firstLine="1304"/>
        <w:spacing w:after="0" w:line="287" w:lineRule="auto"/>
        <w:tabs>
          <w:tab w:leader="none" w:pos="1864" w:val="left"/>
        </w:tabs>
        <w:numPr>
          <w:ilvl w:val="1"/>
          <w:numId w:val="45"/>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u w:val="single" w:color="auto"/>
          <w:color w:val="auto"/>
        </w:rPr>
        <w:t>Other Legal Basis and Additional Consent</w:t>
      </w:r>
      <w:r>
        <w:rPr>
          <w:rFonts w:ascii="Times New Roman" w:cs="Times New Roman" w:eastAsia="Times New Roman" w:hAnsi="Times New Roman"/>
          <w:sz w:val="20"/>
          <w:szCs w:val="20"/>
          <w:b w:val="1"/>
          <w:bCs w:val="1"/>
          <w:i w:val="1"/>
          <w:iCs w:val="1"/>
          <w:color w:val="auto"/>
        </w:rPr>
        <w:t>. Participant understands that the Company may rely on a different legal basis for the collection, processing or transfer of Data in the future and/or request Participant to provide another data privacy consent. If applicable, upon request of the Company, Participant will provide a separate executed data privacy agreement (or any other agreements or consents) that the Company may deem necessary to obtain from Participant for the purpose of administering his or her participation in the Plan in compliance with the data privacy laws in Participant’s country, either now or in the future. Participant understands and agrees that Participant will not be able to participate in the Plan if Participant fails to provide any such agreement requested by the Company.</w:t>
      </w:r>
    </w:p>
    <w:p>
      <w:pPr>
        <w:spacing w:after="0" w:line="211" w:lineRule="exact"/>
        <w:rPr>
          <w:rFonts w:ascii="Times New Roman" w:cs="Times New Roman" w:eastAsia="Times New Roman" w:hAnsi="Times New Roman"/>
          <w:sz w:val="20"/>
          <w:szCs w:val="20"/>
          <w:b w:val="1"/>
          <w:bCs w:val="1"/>
          <w:i w:val="1"/>
          <w:iCs w:val="1"/>
          <w:color w:val="auto"/>
        </w:rPr>
      </w:pPr>
    </w:p>
    <w:p>
      <w:pPr>
        <w:ind w:left="1220" w:hanging="644"/>
        <w:spacing w:after="0"/>
        <w:tabs>
          <w:tab w:leader="none" w:pos="1220" w:val="left"/>
        </w:tabs>
        <w:numPr>
          <w:ilvl w:val="0"/>
          <w:numId w:val="46"/>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u w:val="single" w:color="auto"/>
          <w:color w:val="auto"/>
        </w:rPr>
        <w:t>Nature of Grant</w:t>
      </w:r>
      <w:r>
        <w:rPr>
          <w:rFonts w:ascii="Times New Roman" w:cs="Times New Roman" w:eastAsia="Times New Roman" w:hAnsi="Times New Roman"/>
          <w:sz w:val="20"/>
          <w:szCs w:val="20"/>
          <w:color w:val="auto"/>
        </w:rPr>
        <w:t>. By accepting the Option, Participant acknowledges, understands, and agrees that:</w:t>
      </w:r>
    </w:p>
    <w:p>
      <w:pPr>
        <w:spacing w:after="0" w:line="283" w:lineRule="exact"/>
        <w:rPr>
          <w:rFonts w:ascii="Times New Roman" w:cs="Times New Roman" w:eastAsia="Times New Roman" w:hAnsi="Times New Roman"/>
          <w:sz w:val="20"/>
          <w:szCs w:val="20"/>
          <w:i w:val="1"/>
          <w:iCs w:val="1"/>
          <w:color w:val="auto"/>
        </w:rPr>
      </w:pPr>
    </w:p>
    <w:p>
      <w:pPr>
        <w:ind w:left="-80" w:firstLine="1304"/>
        <w:spacing w:after="0" w:line="311" w:lineRule="auto"/>
        <w:tabs>
          <w:tab w:leader="none" w:pos="1864"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Plan is established voluntarily by the Company, it is discretionary in nature and may be amended, suspended or terminated by the Company at any time, to the extent permitted by the Plan;</w:t>
      </w:r>
    </w:p>
    <w:p>
      <w:pPr>
        <w:spacing w:after="0" w:line="186" w:lineRule="exact"/>
        <w:rPr>
          <w:rFonts w:ascii="Times New Roman" w:cs="Times New Roman" w:eastAsia="Times New Roman" w:hAnsi="Times New Roman"/>
          <w:sz w:val="20"/>
          <w:szCs w:val="20"/>
          <w:color w:val="auto"/>
        </w:rPr>
      </w:pPr>
    </w:p>
    <w:p>
      <w:pPr>
        <w:ind w:firstLine="1305"/>
        <w:spacing w:after="0" w:line="311" w:lineRule="auto"/>
        <w:tabs>
          <w:tab w:leader="none" w:pos="1863" w:val="left"/>
        </w:tabs>
        <w:numPr>
          <w:ilvl w:val="2"/>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 of the Option is exceptional, voluntary and occasional and does not create any contractual or other right to receive future grants of stock options, or benefits in lieu of stock options, even if stock options have been granted in the past;</w:t>
      </w:r>
    </w:p>
    <w:p>
      <w:pPr>
        <w:spacing w:after="0" w:line="186" w:lineRule="exact"/>
        <w:rPr>
          <w:rFonts w:ascii="Times New Roman" w:cs="Times New Roman" w:eastAsia="Times New Roman" w:hAnsi="Times New Roman"/>
          <w:sz w:val="20"/>
          <w:szCs w:val="20"/>
          <w:color w:val="auto"/>
        </w:rPr>
      </w:pPr>
    </w:p>
    <w:p>
      <w:pPr>
        <w:ind w:left="1880" w:hanging="575"/>
        <w:spacing w:after="0"/>
        <w:tabs>
          <w:tab w:leader="none" w:pos="1880" w:val="left"/>
        </w:tabs>
        <w:numPr>
          <w:ilvl w:val="2"/>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decisions with respect to future stock option or other grants, if any, will be at the sole discretion of the Company;</w:t>
      </w:r>
    </w:p>
    <w:p>
      <w:pPr>
        <w:spacing w:after="0" w:line="294" w:lineRule="exact"/>
        <w:rPr>
          <w:rFonts w:ascii="Times New Roman" w:cs="Times New Roman" w:eastAsia="Times New Roman" w:hAnsi="Times New Roman"/>
          <w:sz w:val="19"/>
          <w:szCs w:val="19"/>
          <w:color w:val="auto"/>
        </w:rPr>
      </w:pPr>
    </w:p>
    <w:p>
      <w:pPr>
        <w:ind w:left="1880" w:hanging="575"/>
        <w:spacing w:after="0"/>
        <w:tabs>
          <w:tab w:leader="none" w:pos="1880" w:val="left"/>
        </w:tabs>
        <w:numPr>
          <w:ilvl w:val="2"/>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is voluntarily participating in the Plan;</w:t>
      </w:r>
    </w:p>
    <w:p>
      <w:pPr>
        <w:spacing w:after="0" w:line="283" w:lineRule="exact"/>
        <w:rPr>
          <w:rFonts w:ascii="Times New Roman" w:cs="Times New Roman" w:eastAsia="Times New Roman" w:hAnsi="Times New Roman"/>
          <w:sz w:val="20"/>
          <w:szCs w:val="20"/>
          <w:color w:val="auto"/>
        </w:rPr>
      </w:pPr>
    </w:p>
    <w:p>
      <w:pPr>
        <w:ind w:left="1880" w:hanging="575"/>
        <w:spacing w:after="0"/>
        <w:tabs>
          <w:tab w:leader="none" w:pos="1880" w:val="left"/>
        </w:tabs>
        <w:numPr>
          <w:ilvl w:val="2"/>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future value of the Shares underlying the Option is unknown, indeterminable, and cannot be predicted with</w:t>
      </w:r>
    </w:p>
    <w:p>
      <w:pPr>
        <w:spacing w:after="0" w:line="40"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certainty;</w:t>
      </w:r>
    </w:p>
    <w:p>
      <w:pPr>
        <w:spacing w:after="0" w:line="283" w:lineRule="exact"/>
        <w:rPr>
          <w:rFonts w:ascii="Times New Roman" w:cs="Times New Roman" w:eastAsia="Times New Roman" w:hAnsi="Times New Roman"/>
          <w:sz w:val="20"/>
          <w:szCs w:val="20"/>
          <w:color w:val="auto"/>
        </w:rPr>
      </w:pPr>
    </w:p>
    <w:p>
      <w:pPr>
        <w:ind w:left="1880" w:hanging="575"/>
        <w:spacing w:after="0"/>
        <w:tabs>
          <w:tab w:leader="none" w:pos="1880" w:val="left"/>
        </w:tabs>
        <w:numPr>
          <w:ilvl w:val="2"/>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underlying Shares subject to the Option do not increase in value, the Option will have no value;</w:t>
      </w:r>
    </w:p>
    <w:p>
      <w:pPr>
        <w:sectPr>
          <w:pgSz w:w="11900" w:h="16838" w:orient="portrait"/>
          <w:cols w:equalWidth="0" w:num="1">
            <w:col w:w="11160"/>
          </w:cols>
          <w:pgMar w:left="400" w:top="1436" w:right="339" w:bottom="1440" w:gutter="0" w:footer="0" w:header="0"/>
        </w:sectPr>
      </w:pPr>
    </w:p>
    <w:bookmarkStart w:id="62" w:name="page63"/>
    <w:bookmarkEnd w:id="62"/>
    <w:p>
      <w:pPr>
        <w:ind w:left="-576" w:firstLine="1305"/>
        <w:spacing w:after="0" w:line="311" w:lineRule="auto"/>
        <w:tabs>
          <w:tab w:leader="none" w:pos="1287"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Participant exercises the Option and acquires Shares, the value of such Shares may increase or decrease, even below the Exercise Price;</w:t>
      </w:r>
    </w:p>
    <w:p>
      <w:pPr>
        <w:spacing w:after="0" w:line="186" w:lineRule="exact"/>
        <w:rPr>
          <w:rFonts w:ascii="Times New Roman" w:cs="Times New Roman" w:eastAsia="Times New Roman" w:hAnsi="Times New Roman"/>
          <w:sz w:val="20"/>
          <w:szCs w:val="20"/>
          <w:color w:val="auto"/>
        </w:rPr>
      </w:pPr>
    </w:p>
    <w:p>
      <w:pPr>
        <w:ind w:left="-576" w:firstLine="1305"/>
        <w:spacing w:after="0" w:line="311" w:lineRule="auto"/>
        <w:tabs>
          <w:tab w:leader="none" w:pos="1287"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claim or entitlement to compensation or damages shall arise from forfeiture of the Option resulting from the termination of Participant’s status as a Service Provider;</w:t>
      </w:r>
    </w:p>
    <w:p>
      <w:pPr>
        <w:spacing w:after="0" w:line="186" w:lineRule="exact"/>
        <w:rPr>
          <w:rFonts w:ascii="Times New Roman" w:cs="Times New Roman" w:eastAsia="Times New Roman" w:hAnsi="Times New Roman"/>
          <w:sz w:val="20"/>
          <w:szCs w:val="20"/>
          <w:color w:val="auto"/>
        </w:rPr>
      </w:pPr>
    </w:p>
    <w:p>
      <w:pPr>
        <w:jc w:val="both"/>
        <w:ind w:left="-576" w:firstLine="1305"/>
        <w:spacing w:after="0" w:line="296" w:lineRule="auto"/>
        <w:tabs>
          <w:tab w:leader="none" w:pos="1287"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provided in the Plan or by the Company in its discretion, the Option and the benefits evidenced by this Award Agreement do not create any entitlement to have the Option or any such benefits transferred to, or assumed by, another company nor to be exchanged, cashed out or substituted for, in connection with any corporate transaction affecting the Shares; and</w:t>
      </w:r>
    </w:p>
    <w:p>
      <w:pPr>
        <w:spacing w:after="0" w:line="202" w:lineRule="exact"/>
        <w:rPr>
          <w:rFonts w:ascii="Times New Roman" w:cs="Times New Roman" w:eastAsia="Times New Roman" w:hAnsi="Times New Roman"/>
          <w:sz w:val="20"/>
          <w:szCs w:val="20"/>
          <w:color w:val="auto"/>
        </w:rPr>
      </w:pPr>
    </w:p>
    <w:p>
      <w:pPr>
        <w:jc w:val="both"/>
        <w:ind w:left="-576" w:firstLine="1305"/>
        <w:spacing w:after="0" w:line="296" w:lineRule="auto"/>
        <w:tabs>
          <w:tab w:leader="none" w:pos="1278"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any other Subsidiary shall be liable for any foreign exchange rate fluctuation between Participant’s local currency and the U.S. dollar that may affect the value of the Option or of any amounts due to Participant pursuant to the exercise of the Option or the subsequent sale of any Shares acquired upon exercise.</w:t>
      </w:r>
    </w:p>
    <w:p>
      <w:pPr>
        <w:spacing w:after="0" w:line="202" w:lineRule="exact"/>
        <w:rPr>
          <w:rFonts w:ascii="Times New Roman" w:cs="Times New Roman" w:eastAsia="Times New Roman" w:hAnsi="Times New Roman"/>
          <w:sz w:val="20"/>
          <w:szCs w:val="20"/>
          <w:color w:val="auto"/>
        </w:rPr>
      </w:pPr>
    </w:p>
    <w:p>
      <w:pPr>
        <w:jc w:val="both"/>
        <w:ind w:left="-656" w:firstLine="656"/>
        <w:spacing w:after="0" w:line="291" w:lineRule="auto"/>
        <w:tabs>
          <w:tab w:leader="none" w:pos="64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Language</w:t>
      </w:r>
      <w:r>
        <w:rPr>
          <w:rFonts w:ascii="Times New Roman" w:cs="Times New Roman" w:eastAsia="Times New Roman" w:hAnsi="Times New Roman"/>
          <w:sz w:val="20"/>
          <w:szCs w:val="20"/>
          <w:color w:val="auto"/>
        </w:rPr>
        <w:t>. Participant acknowledges that he or she is sufficiently proficient in English, or has consulted with an advisor who is sufficiently proficient in English, so as to allow Participant to understand the terms and conditions of this Award Agreement. If Participant has received this Award Agreement, or any other documents related to the Option and/or the Plan translated into a language other than English and if the meaning of the translated version is different than the English version, the English version will control.</w:t>
      </w:r>
    </w:p>
    <w:p>
      <w:pPr>
        <w:spacing w:after="0" w:line="207" w:lineRule="exact"/>
        <w:rPr>
          <w:rFonts w:ascii="Times New Roman" w:cs="Times New Roman" w:eastAsia="Times New Roman" w:hAnsi="Times New Roman"/>
          <w:sz w:val="20"/>
          <w:szCs w:val="20"/>
          <w:color w:val="auto"/>
        </w:rPr>
      </w:pPr>
    </w:p>
    <w:p>
      <w:pPr>
        <w:jc w:val="both"/>
        <w:ind w:left="-656" w:firstLine="656"/>
        <w:spacing w:after="0" w:line="285" w:lineRule="auto"/>
        <w:tabs>
          <w:tab w:leader="none" w:pos="64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Foreign Asset/Account, Exchange Control and Tax Reporting</w:t>
      </w:r>
      <w:r>
        <w:rPr>
          <w:rFonts w:ascii="Times New Roman" w:cs="Times New Roman" w:eastAsia="Times New Roman" w:hAnsi="Times New Roman"/>
          <w:sz w:val="20"/>
          <w:szCs w:val="20"/>
          <w:color w:val="auto"/>
        </w:rPr>
        <w:t>. Participant may be subject to foreign asset/account, exchange control, tax reporting or other requirements which may affect Participant’s ability acquire or hold Options or Shares or cash received from participating in the Plan (including dividends and the proceeds arising from the sale of Shares) in a brokerage/bank account outside Participant’s country. The applicable laws of Participant’s country may require that he or she report such Options, Shares, accounts, assets or transactions to the applicable authorities in such country and/or repatriate funds received in connection with the Plan to Participant’s country within a certain time period or according to certain procedures. Participant acknowledges that he or she is responsible for ensuring compliance with any applicable requirements and should consult his or her personal legal advisor to ensure compliance with Applicable Laws.</w:t>
      </w:r>
    </w:p>
    <w:p>
      <w:pPr>
        <w:sectPr>
          <w:pgSz w:w="11900" w:h="16838" w:orient="portrait"/>
          <w:cols w:equalWidth="0" w:num="1">
            <w:col w:w="10584"/>
          </w:cols>
          <w:pgMar w:left="976" w:top="1440"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20"/>
          <w:szCs w:val="20"/>
          <w:b w:val="1"/>
          <w:bCs w:val="1"/>
          <w:color w:val="auto"/>
        </w:rPr>
        <w:t>AMKOR TECHNOLOGY,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SECOND AMENDED AND RESTATED 2007 EQUITY INCENTIVE PLAN</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GLOBAL OUTSIDE DIRECTOR RESTRICTED STOCK AWARD AGREEMENT</w:t>
      </w:r>
    </w:p>
    <w:p>
      <w:pPr>
        <w:spacing w:after="0" w:line="274"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0"/>
          <w:szCs w:val="20"/>
          <w:color w:val="auto"/>
        </w:rPr>
        <w:t>Unless otherwise defined herein, the terms defined in the Amkor Technology, Inc. Second Amended and Restated 2007 Equity Incentive Plan (the “Plan”) will have the same defined meanings in this Global Outside Director Restricted Stock Award Agreement, including the general terms and conditions for all non-U.S. Participants and the additional terms and conditions for certain countries, all as set forth in the appendix attached hereto (the “Appendix” and, together with the Global Outside Director Restricted Stock Award Agreement, the “Award Agreement”).</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Participant Name:</w:t>
      </w:r>
    </w:p>
    <w:p>
      <w:pPr>
        <w:spacing w:after="0" w:line="2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You have been granted the right to receive an Award of Restricted Stock, subject to the terms and conditions of the Plan and this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Award Agreement, as follows:</w:t>
      </w:r>
    </w:p>
    <w:p>
      <w:pPr>
        <w:spacing w:after="0" w:line="2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Grant Number:</w:t>
      </w:r>
    </w:p>
    <w:p>
      <w:pPr>
        <w:spacing w:after="0" w:line="2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Date of Grant:</w:t>
      </w:r>
    </w:p>
    <w:p>
      <w:pPr>
        <w:spacing w:after="0" w:line="2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Vesting Commencement Date:</w:t>
      </w:r>
    </w:p>
    <w:p>
      <w:pPr>
        <w:spacing w:after="0" w:line="2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Number of Shares Granted:</w:t>
      </w:r>
    </w:p>
    <w:p>
      <w:pPr>
        <w:spacing w:after="0" w:line="2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u w:val="single" w:color="auto"/>
          <w:color w:val="auto"/>
        </w:rPr>
        <w:t>Vesting Schedule</w:t>
      </w:r>
      <w:r>
        <w:rPr>
          <w:rFonts w:ascii="Times New Roman" w:cs="Times New Roman" w:eastAsia="Times New Roman" w:hAnsi="Times New Roman"/>
          <w:sz w:val="20"/>
          <w:szCs w:val="20"/>
          <w:b w:val="1"/>
          <w:bCs w:val="1"/>
          <w:color w:val="auto"/>
        </w:rPr>
        <w:t>:</w:t>
      </w:r>
    </w:p>
    <w:p>
      <w:pPr>
        <w:spacing w:after="0" w:line="274"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20"/>
          <w:szCs w:val="20"/>
          <w:color w:val="auto"/>
        </w:rPr>
        <w:t>Subject to any acceleration provisions contained in the Plan or set forth below, the Restricted Stock will vest and the Company’s right to reacquire the Restricted Stock will lapse in accordance with the following schedule:</w:t>
      </w:r>
    </w:p>
    <w:p>
      <w:pPr>
        <w:spacing w:after="0" w:line="183" w:lineRule="exact"/>
        <w:rPr>
          <w:sz w:val="20"/>
          <w:szCs w:val="20"/>
          <w:color w:val="auto"/>
        </w:rPr>
      </w:pPr>
    </w:p>
    <w:p>
      <w:pPr>
        <w:jc w:val="both"/>
        <w:ind w:left="660" w:right="660"/>
        <w:spacing w:after="0" w:line="274" w:lineRule="auto"/>
        <w:rPr>
          <w:sz w:val="20"/>
          <w:szCs w:val="20"/>
          <w:color w:val="auto"/>
        </w:rPr>
      </w:pPr>
      <w:r>
        <w:rPr>
          <w:rFonts w:ascii="Times New Roman" w:cs="Times New Roman" w:eastAsia="Times New Roman" w:hAnsi="Times New Roman"/>
          <w:sz w:val="19"/>
          <w:szCs w:val="19"/>
          <w:b w:val="1"/>
          <w:bCs w:val="1"/>
          <w:color w:val="auto"/>
        </w:rPr>
        <w:t>100% of the Shares subject to this Award shall become vested on the earlier of the first anniversary of the Date of Grant or the date of the first annual meeting of the stockholders of the Company immediately following the date of grant. 100% of the Shares subject to this Award also shall vest upon the Participant’s death or Disability. In the event of a Change in Control (as defined in the Plan), the Award will be treated as the plan administrator determines in accordance with the Plan, including, without limitation, assumption or grant of a substitute award by the successor or acquiring company. If the successor or acquiring company does not assume or provide a substitute for the Award, the Award will fully vest in connection with such Change in Control. Vesting on the dates set forth above, or</w:t>
      </w:r>
    </w:p>
    <w:p>
      <w:pPr>
        <w:sectPr>
          <w:pgSz w:w="11900" w:h="16838" w:orient="portrait"/>
          <w:cols w:equalWidth="0" w:num="1">
            <w:col w:w="11240"/>
          </w:cols>
          <w:pgMar w:left="320" w:top="1422" w:right="339" w:bottom="1440" w:gutter="0" w:footer="0" w:header="0"/>
        </w:sectPr>
      </w:pPr>
    </w:p>
    <w:bookmarkStart w:id="64" w:name="page65"/>
    <w:bookmarkEnd w:id="64"/>
    <w:p>
      <w:pPr>
        <w:ind w:left="4" w:right="660"/>
        <w:spacing w:after="0" w:line="287" w:lineRule="auto"/>
        <w:rPr>
          <w:sz w:val="20"/>
          <w:szCs w:val="20"/>
          <w:color w:val="auto"/>
        </w:rPr>
      </w:pPr>
      <w:r>
        <w:rPr>
          <w:rFonts w:ascii="Times New Roman" w:cs="Times New Roman" w:eastAsia="Times New Roman" w:hAnsi="Times New Roman"/>
          <w:sz w:val="20"/>
          <w:szCs w:val="20"/>
          <w:b w:val="1"/>
          <w:bCs w:val="1"/>
          <w:color w:val="auto"/>
        </w:rPr>
        <w:t>upon death, Disability or Change in Control shall be subject in all cases to the Participant continuing to be a Service Provider on such dates.</w:t>
      </w:r>
    </w:p>
    <w:p>
      <w:pPr>
        <w:spacing w:after="0" w:line="169" w:lineRule="exact"/>
        <w:rPr>
          <w:sz w:val="20"/>
          <w:szCs w:val="20"/>
          <w:color w:val="auto"/>
        </w:rPr>
      </w:pPr>
    </w:p>
    <w:p>
      <w:pPr>
        <w:jc w:val="both"/>
        <w:ind w:left="-656" w:firstLine="656"/>
        <w:spacing w:after="0" w:line="249" w:lineRule="auto"/>
        <w:tabs>
          <w:tab w:leader="none" w:pos="64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w:t>
      </w:r>
      <w:r>
        <w:rPr>
          <w:rFonts w:ascii="Times New Roman" w:cs="Times New Roman" w:eastAsia="Times New Roman" w:hAnsi="Times New Roman"/>
          <w:sz w:val="20"/>
          <w:szCs w:val="20"/>
          <w:color w:val="auto"/>
        </w:rPr>
        <w:t>. The Company hereby grants to the individual named in this Award Agreement (“Participant”) under the Plan as a separate incentive an Award of Shares of Restricted Stock, subject to all of the terms and conditions in this Award Agreement and the Plan, which is incorporated herein by reference. In the event of a conflict between the terms and conditions of the Plan and the terms and conditions of this Award Agreement, the terms and conditions of the Plan will prevail.</w:t>
      </w:r>
    </w:p>
    <w:p>
      <w:pPr>
        <w:spacing w:after="0" w:line="179"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Escrow of Shares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656" w:firstLine="656"/>
        <w:spacing w:after="0" w:line="254" w:lineRule="auto"/>
        <w:tabs>
          <w:tab w:leader="none" w:pos="64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Shares of Restricted Stock will, upon execution of this Award Agreement, be delivered and deposited with an escrow holder designated by the Company (the “Escrow Holder”). The Shares of Restricted Stock will be held by the Escrow Holder until such time as the Shares of Restricted Stock vest or the date Participant ceases to be a Service Provider (if earlier).</w:t>
      </w:r>
    </w:p>
    <w:p>
      <w:pPr>
        <w:spacing w:after="0" w:line="174" w:lineRule="exact"/>
        <w:rPr>
          <w:rFonts w:ascii="Times New Roman" w:cs="Times New Roman" w:eastAsia="Times New Roman" w:hAnsi="Times New Roman"/>
          <w:sz w:val="20"/>
          <w:szCs w:val="20"/>
          <w:color w:val="auto"/>
        </w:rPr>
      </w:pPr>
    </w:p>
    <w:p>
      <w:pPr>
        <w:ind w:left="-656" w:right="20" w:firstLine="656"/>
        <w:spacing w:after="0" w:line="269" w:lineRule="auto"/>
        <w:tabs>
          <w:tab w:leader="none" w:pos="64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Escrow Holder will not be liable for any act it may do or omit to do with respect to holding the Shares of Restricted Stock in escrow while acting in good faith and in the exercise of its judgment.</w:t>
      </w:r>
    </w:p>
    <w:p>
      <w:pPr>
        <w:spacing w:after="0" w:line="159" w:lineRule="exact"/>
        <w:rPr>
          <w:rFonts w:ascii="Times New Roman" w:cs="Times New Roman" w:eastAsia="Times New Roman" w:hAnsi="Times New Roman"/>
          <w:sz w:val="20"/>
          <w:szCs w:val="20"/>
          <w:color w:val="auto"/>
        </w:rPr>
      </w:pPr>
    </w:p>
    <w:p>
      <w:pPr>
        <w:jc w:val="both"/>
        <w:ind w:left="-656" w:firstLine="656"/>
        <w:spacing w:after="0" w:line="245" w:lineRule="auto"/>
        <w:tabs>
          <w:tab w:leader="none" w:pos="64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Participant’s termination as a Service Provider for any reason, the Escrow Holder, upon receipt of written notice of such termination, will take all steps necessary to accomplish the transfer of the unvested Shares of Restricted Stock (after giving effect to any accelerated vesting resulting from such termination) to the Company. Participant hereby appoints the Escrow Holder with full power of substitution, as Participant’s true and lawful attorney in fact with irrevocable power and authority in the name and on behalf of Participant to take any action and execute all documents and instruments, including, without limitation, stock powers which may be necessary to transfer the certificate or certificates evidencing such unvested Shares of Restricted Stock to the Company upon such termination.</w:t>
      </w:r>
    </w:p>
    <w:p>
      <w:pPr>
        <w:spacing w:after="0" w:line="184" w:lineRule="exact"/>
        <w:rPr>
          <w:rFonts w:ascii="Times New Roman" w:cs="Times New Roman" w:eastAsia="Times New Roman" w:hAnsi="Times New Roman"/>
          <w:sz w:val="20"/>
          <w:szCs w:val="20"/>
          <w:color w:val="auto"/>
        </w:rPr>
      </w:pPr>
    </w:p>
    <w:p>
      <w:pPr>
        <w:ind w:left="-656" w:right="20" w:firstLine="656"/>
        <w:spacing w:after="0" w:line="269" w:lineRule="auto"/>
        <w:tabs>
          <w:tab w:leader="none" w:pos="64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Escrow Holder will take all steps necessary to accomplish the transfer of Shares of Restricted Stock to Participant after they vest following Participant’s request that the Escrow Holder do so.</w:t>
      </w:r>
    </w:p>
    <w:p>
      <w:pPr>
        <w:spacing w:after="0" w:line="159" w:lineRule="exact"/>
        <w:rPr>
          <w:rFonts w:ascii="Times New Roman" w:cs="Times New Roman" w:eastAsia="Times New Roman" w:hAnsi="Times New Roman"/>
          <w:sz w:val="20"/>
          <w:szCs w:val="20"/>
          <w:color w:val="auto"/>
        </w:rPr>
      </w:pPr>
    </w:p>
    <w:p>
      <w:pPr>
        <w:jc w:val="both"/>
        <w:ind w:left="-656" w:firstLine="656"/>
        <w:spacing w:after="0" w:line="244" w:lineRule="auto"/>
        <w:tabs>
          <w:tab w:leader="none" w:pos="64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hereof, Participant will have all the rights of a stockholder with respect to the Shares of Restricted Stock while they are unvested; provided, however, that if any (x) dividends or distributions are paid in Shares or other property, the Shares or other property will be subject to the same restrictions on transferability and forfeitability as the Shares of Restricted Stock with respect to which they were paid and (y) dividends are paid in cash, such cash dividends will be withheld (in the Company’s general assets) and paid only upon the vesting of the underlying Shares of Restricted Stock (with such cash dividends to be forfeited upon the forfeiture of the underlying Shares of Restricted Stock). For the avoidance of doubt, Participant may not sell or otherwise dispose of any Shares of Restricted Stock while they are unvested.</w:t>
      </w:r>
    </w:p>
    <w:p>
      <w:pPr>
        <w:spacing w:after="0" w:line="185" w:lineRule="exact"/>
        <w:rPr>
          <w:rFonts w:ascii="Times New Roman" w:cs="Times New Roman" w:eastAsia="Times New Roman" w:hAnsi="Times New Roman"/>
          <w:sz w:val="20"/>
          <w:szCs w:val="20"/>
          <w:color w:val="auto"/>
        </w:rPr>
      </w:pPr>
    </w:p>
    <w:p>
      <w:pPr>
        <w:jc w:val="both"/>
        <w:ind w:left="-656" w:firstLine="656"/>
        <w:spacing w:after="0" w:line="246" w:lineRule="auto"/>
        <w:tabs>
          <w:tab w:leader="none" w:pos="64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any recapitalization, stock split, reverse stock split, reorganization, merger, consolidation, split-up, spin-off, combination, repurchase, or exchange of Shares or other securities of the Company, or other change in the corporate structure of the Company, affecting the Shares, in which the Shares of Restricted Stock are increased, reduced or otherwise changed, and by virtue of any such change Participant in his or her capacity as owner of unvested Shares of Restricted Stock (if applicable) is entitled to new or additional or different shares of stock, cash or securities (other</w:t>
      </w:r>
    </w:p>
    <w:p>
      <w:pPr>
        <w:sectPr>
          <w:pgSz w:w="11900" w:h="16838" w:orient="portrait"/>
          <w:cols w:equalWidth="0" w:num="1">
            <w:col w:w="10584"/>
          </w:cols>
          <w:pgMar w:left="976" w:top="1422" w:right="339" w:bottom="1440" w:gutter="0" w:footer="0" w:header="0"/>
        </w:sectPr>
      </w:pPr>
    </w:p>
    <w:bookmarkStart w:id="65" w:name="page66"/>
    <w:bookmarkEnd w:id="65"/>
    <w:p>
      <w:pPr>
        <w:jc w:val="both"/>
        <w:spacing w:after="0" w:line="243" w:lineRule="auto"/>
        <w:rPr>
          <w:sz w:val="20"/>
          <w:szCs w:val="20"/>
          <w:color w:val="auto"/>
        </w:rPr>
      </w:pPr>
      <w:r>
        <w:rPr>
          <w:rFonts w:ascii="Times New Roman" w:cs="Times New Roman" w:eastAsia="Times New Roman" w:hAnsi="Times New Roman"/>
          <w:sz w:val="20"/>
          <w:szCs w:val="20"/>
          <w:color w:val="auto"/>
        </w:rPr>
        <w:t>than rights or warrants to purchase securities); such new or additional or different shares, cash or securities will thereupon be considered to be unvested Shares of Restricted Stock and will be subject to all of the conditions and restrictions which were applicable to the unvested Shares of Restricted Stock pursuant to this Award Agreement. If Participant receives rights or warrants with respect to any unvested Shares of Restricted Stock, such rights or warrants may be held or exercised by Participant, provided that until such exercise any such rights or warrants and after such exercise any shares or other securities acquired by the exercise of such rights or warrants will be considered to be unvested Shares of Restricted Stock and will be subject to all of the conditions and restrictions which were applicable to the unvested Shares of Restricted Stock pursuant to this Award Agreement. The Administrator in its absolute discretion at any time may accelerate the vesting of all or any portion of such new or additional shares of stock, cash or securities, rights or warrants to purchase securities or shares or other securities acquired by the exercise of such rights or warrants.</w:t>
      </w:r>
    </w:p>
    <w:p>
      <w:pPr>
        <w:spacing w:after="0" w:line="186" w:lineRule="exact"/>
        <w:rPr>
          <w:sz w:val="20"/>
          <w:szCs w:val="20"/>
          <w:color w:val="auto"/>
        </w:rPr>
      </w:pPr>
    </w:p>
    <w:p>
      <w:pPr>
        <w:ind w:firstLine="656"/>
        <w:spacing w:after="0" w:line="269" w:lineRule="auto"/>
        <w:tabs>
          <w:tab w:leader="none" w:pos="1296"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instruct the transfer agent for its Common Stock to place a legend on the certificates representing the Restricted Stock or otherwise note its records as to the restrictions on transfer set forth in this Award Agreement.</w:t>
      </w:r>
    </w:p>
    <w:p>
      <w:pPr>
        <w:spacing w:after="0" w:line="159" w:lineRule="exact"/>
        <w:rPr>
          <w:sz w:val="20"/>
          <w:szCs w:val="20"/>
          <w:color w:val="auto"/>
        </w:rPr>
      </w:pPr>
    </w:p>
    <w:p>
      <w:pPr>
        <w:jc w:val="both"/>
        <w:ind w:firstLine="656"/>
        <w:spacing w:after="0" w:line="260" w:lineRule="auto"/>
        <w:tabs>
          <w:tab w:leader="none" w:pos="1296"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Vesting Schedule</w:t>
      </w:r>
      <w:r>
        <w:rPr>
          <w:rFonts w:ascii="Times New Roman" w:cs="Times New Roman" w:eastAsia="Times New Roman" w:hAnsi="Times New Roman"/>
          <w:sz w:val="19"/>
          <w:szCs w:val="19"/>
          <w:color w:val="auto"/>
        </w:rPr>
        <w:t>. The Shares of Restricted Stock awarded by this Award Agreement will vest in accordance with the vesting provisions set forth in this Award Agreement. Unless otherwise provided in the vesting provisions set forth in this Award Agreement, Shares of Restricted Stock scheduled to vest on a certain date or upon the occurrence of a certain condition will not vest in Participant in accordance with any of the provisions of this Award Agreement, unless Participant has been continuously a Service Provider from the Date of Grant until the date such vesting is scheduled to occur. For the avoidance of doubt, service during only a portion of the vesting period until the respective vesting date shall not entitle Participant to vest in a pro rata portion of the Shares of Restricted Stock scheduled to vest on such date.</w:t>
      </w:r>
    </w:p>
    <w:p>
      <w:pPr>
        <w:spacing w:after="0" w:line="172" w:lineRule="exact"/>
        <w:rPr>
          <w:rFonts w:ascii="Times New Roman" w:cs="Times New Roman" w:eastAsia="Times New Roman" w:hAnsi="Times New Roman"/>
          <w:sz w:val="19"/>
          <w:szCs w:val="19"/>
          <w:color w:val="auto"/>
        </w:rPr>
      </w:pPr>
    </w:p>
    <w:p>
      <w:pPr>
        <w:ind w:left="1300" w:hanging="644"/>
        <w:spacing w:after="0"/>
        <w:tabs>
          <w:tab w:leader="none" w:pos="130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Forfeiture upon Termination of Status as a Service Provider</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Notwithstanding any contrary provision of this Award Agreement, but subject to the vesting provisions set forth in this Award Agreement, the balance of the Shares of Restricted Stock that have not vested at the time of Participant’s termination as a Service Provider for any reason will be forfeited (with no consideration due to Participant) and automatically transferred to and reacquired by the Company at no cost to the Company upon the date of such termination and Participant will have no further rights thereunder. Participant hereby appoints the Escrow Agent with full power of substitution, as Participant’s true and lawful attorney-in-fact with irrevocable power and authority in the name and on behalf of Participant to take any action and execute all documents and instruments, including, without limitation, stock powers which may be necessary to transfer the certificate or certificates evidencing such unvested Shares of Restricted Stock to the Company upon such termination as a Service Provider.</w:t>
      </w:r>
    </w:p>
    <w:p>
      <w:pPr>
        <w:spacing w:after="0" w:line="189" w:lineRule="exact"/>
        <w:rPr>
          <w:sz w:val="20"/>
          <w:szCs w:val="20"/>
          <w:color w:val="auto"/>
        </w:rPr>
      </w:pPr>
    </w:p>
    <w:p>
      <w:pPr>
        <w:jc w:val="both"/>
        <w:ind w:firstLine="656"/>
        <w:spacing w:after="0" w:line="246" w:lineRule="auto"/>
        <w:tabs>
          <w:tab w:leader="none" w:pos="1296"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Death of Participant</w:t>
      </w:r>
      <w:r>
        <w:rPr>
          <w:rFonts w:ascii="Times New Roman" w:cs="Times New Roman" w:eastAsia="Times New Roman" w:hAnsi="Times New Roman"/>
          <w:sz w:val="20"/>
          <w:szCs w:val="20"/>
          <w:color w:val="auto"/>
        </w:rPr>
        <w:t>. Any distribution or delivery to be made to Participant under this Award Agreement will, if Participant is then deceased, be made to the administrator or executor of Participant’s estate, Participant's legal heirs or, provided such designation has been permitted by the Company and/or is valid under Applicable Laws, Participant's designated beneficiary.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84"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Responsibility for Taxes</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413" w:right="339" w:bottom="1440" w:gutter="0" w:footer="0" w:header="0"/>
        </w:sectPr>
      </w:pPr>
    </w:p>
    <w:bookmarkStart w:id="66" w:name="page67"/>
    <w:bookmarkEnd w:id="66"/>
    <w:p>
      <w:pPr>
        <w:jc w:val="both"/>
        <w:ind w:left="-656" w:firstLine="656"/>
        <w:spacing w:after="0" w:line="243" w:lineRule="auto"/>
        <w:tabs>
          <w:tab w:leader="none" w:pos="64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acknowledges and agrees that, regardless of any action taken by the Company, the ultimate liability for all income tax, social insurance, payment on account or other tax-related items related to Participant’s participation in the Plan and legally applicable to Participant (“Tax-Related Items”) is and remains Participant’s responsibility and may exceed the amount, if any, actually withheld by the Company. Participant further acknowledges that the Company (i) makes no representations or undertakings regarding the treatment of any Tax-Related Items in connection with any aspect of the Restricted Stock, including, but not limited to, the grant or vesting of Restricted Stock, or the subsequent sale of Shares and the receipt of any dividends; and (ii) does not commit to and is under no obligation to structure the terms of the grant or any aspect of the Restricted Stock to reduce or eliminate Participant’s liability for Tax-Related Items or achieve any particular tax result. Further, if Participant is subject to Tax-Related Items in more than one jurisdiction, Participant acknowledges that the Company may be required to withhold or account for Tax-Related Items in more than one jurisdiction.</w:t>
      </w:r>
    </w:p>
    <w:p>
      <w:pPr>
        <w:spacing w:after="0" w:line="185" w:lineRule="exact"/>
        <w:rPr>
          <w:rFonts w:ascii="Times New Roman" w:cs="Times New Roman" w:eastAsia="Times New Roman" w:hAnsi="Times New Roman"/>
          <w:sz w:val="20"/>
          <w:szCs w:val="20"/>
          <w:color w:val="auto"/>
        </w:rPr>
      </w:pPr>
    </w:p>
    <w:p>
      <w:pPr>
        <w:jc w:val="both"/>
        <w:ind w:left="-656" w:firstLine="656"/>
        <w:spacing w:after="0" w:line="243" w:lineRule="auto"/>
        <w:tabs>
          <w:tab w:leader="none" w:pos="64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the relevant taxable or tax withholding event, as applicable, Participant agrees to make adequate arrangements satisfactory to the Company to satisfy all Tax-Related Items. In this regard, Participant authorizes the Company, or its agents, at its discretion, to satisfy any applicable withholding obligations with regard to all Tax-Related Items by one or a combination of the following: (i) withholding from Participant’s compensation payable to Participant by the Company (if any), (ii) withholding from proceeds of the sale of the Shares subject to the Restricted Stock either through a voluntary sale or through a mandatory sale arranged by the Company (on Participant’s behalf pursuant to this authorization without further consent), (iii) withholding Shares subject to the Restricted Stock, or (iv) any method determined by the Administrator to be in compliance with Applicable Laws. Notwithstanding the foregoing, if Participant is subject to Section 16 of the Exchange Act at the time the withholding obligation for Tax-Related Items becomes due, the Administrator will satisfy any applicable withholding obligation by directing the Company to withhold Shares subject to the Restricted Stock.</w:t>
      </w:r>
    </w:p>
    <w:p>
      <w:pPr>
        <w:spacing w:after="0" w:line="185" w:lineRule="exact"/>
        <w:rPr>
          <w:rFonts w:ascii="Times New Roman" w:cs="Times New Roman" w:eastAsia="Times New Roman" w:hAnsi="Times New Roman"/>
          <w:sz w:val="20"/>
          <w:szCs w:val="20"/>
          <w:color w:val="auto"/>
        </w:rPr>
      </w:pPr>
    </w:p>
    <w:p>
      <w:pPr>
        <w:jc w:val="both"/>
        <w:ind w:left="-656" w:firstLine="656"/>
        <w:spacing w:after="0" w:line="244" w:lineRule="auto"/>
        <w:tabs>
          <w:tab w:leader="none" w:pos="64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withhold or account for Tax-Related Items by considering statutory withholding amounts or other applicable withholding rates, including maximum rates applicable in Participant’s jurisdiction(s). In the event of over-withholding, Participant may receive a refund of any over-withheld amount in cash (with no entitlement to the equivalent in Shares), or if not refunded, Participant may seek a refund from local tax authorities. In the event of under-withholding, Participant may be required to pay any additional Tax-Related Items directly to the applicable tax authority or to the Company. If the obligation for Tax-Related Items is satisfied by withholding Shares, for tax purposes, Participant is deemed to have received the full number of Shares subject to the vested Award, notwithstanding that a number of the Shares is held back solely for the purpose of paying the Tax-Related Items.</w:t>
      </w:r>
    </w:p>
    <w:p>
      <w:pPr>
        <w:spacing w:after="0" w:line="212" w:lineRule="exact"/>
        <w:rPr>
          <w:rFonts w:ascii="Times New Roman" w:cs="Times New Roman" w:eastAsia="Times New Roman" w:hAnsi="Times New Roman"/>
          <w:sz w:val="20"/>
          <w:szCs w:val="20"/>
          <w:color w:val="auto"/>
        </w:rPr>
      </w:pPr>
    </w:p>
    <w:p>
      <w:pPr>
        <w:jc w:val="both"/>
        <w:ind w:left="-656" w:firstLine="656"/>
        <w:spacing w:after="0" w:line="241" w:lineRule="auto"/>
        <w:tabs>
          <w:tab w:leader="none" w:pos="64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Participant agrees to pay to the Company any amount of Tax-Related Items that the Company may be required to withhold or account for as a result of Participant’s participation in the Plan that cannot be satisfied by the means previously described. The Company may refuse to issue or deliver the Shares or the proceeds of the sale of the Shares acquired upon vesting of the Restricted Stock, if Participant fails to comply with his or her obligations in connection with the Tax-Related Items.</w:t>
      </w:r>
    </w:p>
    <w:p>
      <w:pPr>
        <w:spacing w:after="0" w:line="187" w:lineRule="exact"/>
        <w:rPr>
          <w:sz w:val="20"/>
          <w:szCs w:val="20"/>
          <w:color w:val="auto"/>
        </w:rPr>
      </w:pPr>
    </w:p>
    <w:p>
      <w:pPr>
        <w:jc w:val="both"/>
        <w:ind w:left="-656" w:firstLine="656"/>
        <w:spacing w:after="0" w:line="249" w:lineRule="auto"/>
        <w:tabs>
          <w:tab w:leader="none" w:pos="64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Rights as Stockholder</w:t>
      </w:r>
      <w:r>
        <w:rPr>
          <w:rFonts w:ascii="Times New Roman" w:cs="Times New Roman" w:eastAsia="Times New Roman" w:hAnsi="Times New Roman"/>
          <w:sz w:val="20"/>
          <w:szCs w:val="20"/>
          <w:color w:val="auto"/>
        </w:rPr>
        <w:t>. Neither Participant nor any person claiming under or through Participant will have any of the rights or privileges of a stockholder of the Company in respect of any Shares deliverable hereunder unless and until certificates representing such Shares have been issued, recorded on the records of the Company or its transfer agents or registrars, and delivered to Participant or the Escrow Agent. Except as provided in Section 2(e), after such issuance, recordation and delivery,</w:t>
      </w:r>
    </w:p>
    <w:p>
      <w:pPr>
        <w:sectPr>
          <w:pgSz w:w="11900" w:h="16838" w:orient="portrait"/>
          <w:cols w:equalWidth="0" w:num="1">
            <w:col w:w="10584"/>
          </w:cols>
          <w:pgMar w:left="976" w:top="1413" w:right="339" w:bottom="1440" w:gutter="0" w:footer="0" w:header="0"/>
        </w:sectPr>
      </w:pPr>
    </w:p>
    <w:bookmarkStart w:id="67" w:name="page68"/>
    <w:bookmarkEnd w:id="67"/>
    <w:p>
      <w:pPr>
        <w:ind w:right="20"/>
        <w:spacing w:after="0" w:line="269" w:lineRule="auto"/>
        <w:rPr>
          <w:sz w:val="20"/>
          <w:szCs w:val="20"/>
          <w:color w:val="auto"/>
        </w:rPr>
      </w:pPr>
      <w:r>
        <w:rPr>
          <w:rFonts w:ascii="Times New Roman" w:cs="Times New Roman" w:eastAsia="Times New Roman" w:hAnsi="Times New Roman"/>
          <w:sz w:val="20"/>
          <w:szCs w:val="20"/>
          <w:color w:val="auto"/>
        </w:rPr>
        <w:t>Participant will have all the rights of a stockholder of the Company with respect to such Shares, including voting and receipt of dividends and distributions on such Shares.</w:t>
      </w:r>
    </w:p>
    <w:p>
      <w:pPr>
        <w:spacing w:after="0" w:line="159" w:lineRule="exact"/>
        <w:rPr>
          <w:sz w:val="20"/>
          <w:szCs w:val="20"/>
          <w:color w:val="auto"/>
        </w:rPr>
      </w:pPr>
    </w:p>
    <w:p>
      <w:pPr>
        <w:jc w:val="both"/>
        <w:ind w:firstLine="656"/>
        <w:spacing w:after="0" w:line="243" w:lineRule="auto"/>
        <w:tabs>
          <w:tab w:leader="none" w:pos="1296"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Guarantee of Continued Service</w:t>
      </w:r>
      <w:r>
        <w:rPr>
          <w:rFonts w:ascii="Times New Roman" w:cs="Times New Roman" w:eastAsia="Times New Roman" w:hAnsi="Times New Roman"/>
          <w:sz w:val="20"/>
          <w:szCs w:val="20"/>
          <w:color w:val="auto"/>
        </w:rPr>
        <w:t>. PARTICIPANT ACKNOWLEDGES AND AGREES THAT THE VESTING OF THE SHARES OF RESTRICTED STOCK PURSUANT TO THE VESTING SCHEDULE HEREOF IS EARNED ONLY BY CONTINUING AS A SERVICE PROVIDER AND NOT THROUGH THE ACT OF BEING HIRED, BEING GRANTED THIS RESTRICTED STOCK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COMPANY TO TERMINATE PARTICIPANT’S RELATIONSHIP AS A SERVICE PROVIDER AT ANY TIME, WITH OR WITHOUT CAUSE.</w:t>
      </w:r>
    </w:p>
    <w:p>
      <w:pPr>
        <w:spacing w:after="0" w:line="185" w:lineRule="exact"/>
        <w:rPr>
          <w:rFonts w:ascii="Times New Roman" w:cs="Times New Roman" w:eastAsia="Times New Roman" w:hAnsi="Times New Roman"/>
          <w:sz w:val="20"/>
          <w:szCs w:val="20"/>
          <w:color w:val="auto"/>
        </w:rPr>
      </w:pPr>
    </w:p>
    <w:p>
      <w:pPr>
        <w:jc w:val="both"/>
        <w:ind w:firstLine="656"/>
        <w:spacing w:after="0" w:line="254" w:lineRule="auto"/>
        <w:tabs>
          <w:tab w:leader="none" w:pos="1296"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Address for Notices</w:t>
      </w:r>
      <w:r>
        <w:rPr>
          <w:rFonts w:ascii="Times New Roman" w:cs="Times New Roman" w:eastAsia="Times New Roman" w:hAnsi="Times New Roman"/>
          <w:sz w:val="20"/>
          <w:szCs w:val="20"/>
          <w:color w:val="auto"/>
        </w:rPr>
        <w:t>. Any notice to be given to the Company under the terms of this Award Agreement will be addressed to the Company, in care of its General Counsel at Amkor Technology, Inc., 2045 E. Innovation Circle, Tempe, Arizona, 85284, or at such other address as the Company may hereafter designate in writing.</w:t>
      </w:r>
    </w:p>
    <w:p>
      <w:pPr>
        <w:spacing w:after="0" w:line="174" w:lineRule="exact"/>
        <w:rPr>
          <w:rFonts w:ascii="Times New Roman" w:cs="Times New Roman" w:eastAsia="Times New Roman" w:hAnsi="Times New Roman"/>
          <w:sz w:val="20"/>
          <w:szCs w:val="20"/>
          <w:color w:val="auto"/>
        </w:rPr>
      </w:pPr>
    </w:p>
    <w:p>
      <w:pPr>
        <w:jc w:val="both"/>
        <w:ind w:firstLine="656"/>
        <w:spacing w:after="0" w:line="244" w:lineRule="auto"/>
        <w:tabs>
          <w:tab w:leader="none" w:pos="1287"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Appendix</w:t>
      </w:r>
      <w:r>
        <w:rPr>
          <w:rFonts w:ascii="Times New Roman" w:cs="Times New Roman" w:eastAsia="Times New Roman" w:hAnsi="Times New Roman"/>
          <w:sz w:val="20"/>
          <w:szCs w:val="20"/>
          <w:color w:val="auto"/>
        </w:rPr>
        <w:t>. For Participants outside the United States, the Restricted Stock shall be subject to the general terms and conditions for all non-U.S. Participants and the additional terms and conditions for certain countries set forth in the Appendix attached hereto. Moreover, if Participant relocates from the U.S. to one of the countries included in the Appendix or if Participant relocates between countries included in the Appendix during the vesting period of the Restricted Stock, the general terms and conditions for all non-U.S. Participants and the additional terms and conditions for such country shall apply to Participant, to the extent the Company determines that the application of such terms and conditions is necessary or advisable for legal or administrative reasons. The Appendix constitutes part of this Award Agreement.</w:t>
      </w:r>
    </w:p>
    <w:p>
      <w:pPr>
        <w:spacing w:after="0" w:line="185" w:lineRule="exact"/>
        <w:rPr>
          <w:rFonts w:ascii="Times New Roman" w:cs="Times New Roman" w:eastAsia="Times New Roman" w:hAnsi="Times New Roman"/>
          <w:sz w:val="20"/>
          <w:szCs w:val="20"/>
          <w:color w:val="auto"/>
        </w:rPr>
      </w:pPr>
    </w:p>
    <w:p>
      <w:pPr>
        <w:jc w:val="both"/>
        <w:ind w:right="20" w:firstLine="656"/>
        <w:spacing w:after="0" w:line="254" w:lineRule="auto"/>
        <w:tabs>
          <w:tab w:leader="none" w:pos="1279"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Waivers</w:t>
      </w:r>
      <w:r>
        <w:rPr>
          <w:rFonts w:ascii="Times New Roman" w:cs="Times New Roman" w:eastAsia="Times New Roman" w:hAnsi="Times New Roman"/>
          <w:sz w:val="20"/>
          <w:szCs w:val="20"/>
          <w:color w:val="auto"/>
        </w:rPr>
        <w:t>. Participant acknowledges that a waiver by the Company of breach of any provision of this Award Agreement shall not operate or be construed as a waiver of any other provision of this Award Agreement, or of any subsequent breach by Participant or any other participants.</w:t>
      </w:r>
    </w:p>
    <w:p>
      <w:pPr>
        <w:spacing w:after="0" w:line="174" w:lineRule="exact"/>
        <w:rPr>
          <w:rFonts w:ascii="Times New Roman" w:cs="Times New Roman" w:eastAsia="Times New Roman" w:hAnsi="Times New Roman"/>
          <w:sz w:val="20"/>
          <w:szCs w:val="20"/>
          <w:color w:val="auto"/>
        </w:rPr>
      </w:pPr>
    </w:p>
    <w:p>
      <w:pPr>
        <w:jc w:val="both"/>
        <w:ind w:firstLine="656"/>
        <w:spacing w:after="0" w:line="245" w:lineRule="auto"/>
        <w:tabs>
          <w:tab w:leader="none" w:pos="1287"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 is Not Transferable</w:t>
      </w:r>
      <w:r>
        <w:rPr>
          <w:rFonts w:ascii="Times New Roman" w:cs="Times New Roman" w:eastAsia="Times New Roman" w:hAnsi="Times New Roman"/>
          <w:sz w:val="20"/>
          <w:szCs w:val="20"/>
          <w:color w:val="auto"/>
        </w:rPr>
        <w:t>. Except to the limited extent provided in Section 5, the unvested Shares of Restricted Stock subject to this grant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any unvested Shares of Restricted Stock subject to this grant, or any right or privilege conferred hereby, or upon any attempted sale under any execution, attachment or similar process, this grant and the rights and privileges conferred hereby immediately will become null and void.</w:t>
      </w:r>
    </w:p>
    <w:p>
      <w:pPr>
        <w:spacing w:after="0" w:line="184" w:lineRule="exact"/>
        <w:rPr>
          <w:rFonts w:ascii="Times New Roman" w:cs="Times New Roman" w:eastAsia="Times New Roman" w:hAnsi="Times New Roman"/>
          <w:sz w:val="20"/>
          <w:szCs w:val="20"/>
          <w:color w:val="auto"/>
        </w:rPr>
      </w:pPr>
    </w:p>
    <w:p>
      <w:pPr>
        <w:jc w:val="both"/>
        <w:ind w:firstLine="656"/>
        <w:spacing w:after="0" w:line="254" w:lineRule="auto"/>
        <w:tabs>
          <w:tab w:leader="none" w:pos="1287"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Binding Agreement</w:t>
      </w:r>
      <w:r>
        <w:rPr>
          <w:rFonts w:ascii="Times New Roman" w:cs="Times New Roman" w:eastAsia="Times New Roman" w:hAnsi="Times New Roman"/>
          <w:sz w:val="20"/>
          <w:szCs w:val="20"/>
          <w:color w:val="auto"/>
        </w:rPr>
        <w:t>. Subject to the limitation on the transferability of this grant contained herein, this Award Agreement will be binding upon and inure to the benefit of the heirs, legatees, legal representatives, successors and assigns of the parties hereto (provided that neither the Shares of Restricted Stock nor this Award Agreement may be assigned by Participant).</w:t>
      </w:r>
    </w:p>
    <w:p>
      <w:pPr>
        <w:sectPr>
          <w:pgSz w:w="11900" w:h="16838" w:orient="portrait"/>
          <w:cols w:equalWidth="0" w:num="1">
            <w:col w:w="11240"/>
          </w:cols>
          <w:pgMar w:left="320" w:top="1413" w:right="339" w:bottom="1440" w:gutter="0" w:footer="0" w:header="0"/>
        </w:sectPr>
      </w:pPr>
    </w:p>
    <w:bookmarkStart w:id="68" w:name="page69"/>
    <w:bookmarkEnd w:id="68"/>
    <w:p>
      <w:pPr>
        <w:jc w:val="both"/>
        <w:ind w:left="-8" w:firstLine="656"/>
        <w:spacing w:after="0" w:line="264" w:lineRule="auto"/>
        <w:tabs>
          <w:tab w:leader="none" w:pos="1279" w:val="left"/>
        </w:tabs>
        <w:numPr>
          <w:ilvl w:val="1"/>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Additional Conditions to Release from Escrow</w:t>
      </w:r>
      <w:r>
        <w:rPr>
          <w:rFonts w:ascii="Times New Roman" w:cs="Times New Roman" w:eastAsia="Times New Roman" w:hAnsi="Times New Roman"/>
          <w:sz w:val="19"/>
          <w:szCs w:val="19"/>
          <w:color w:val="auto"/>
        </w:rPr>
        <w:t>. The Company will not be required to issue any certificate or certificates for Shares hereunder or release such Shares from the escrow established pursuant to Section 2 prior to fulfillment of all the following conditions:</w:t>
      </w:r>
    </w:p>
    <w:p>
      <w:pPr>
        <w:jc w:val="both"/>
        <w:ind w:left="-8" w:firstLine="8"/>
        <w:spacing w:after="0"/>
        <w:tabs>
          <w:tab w:leader="none" w:pos="285"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admission of such Shares to listing on all stock exchanges on which such class of stock is then listed; (b) the completion of any registration or other qualification of such Shares under any Applicable Laws or under the rulings or regulations of the U.S. Securities and Exchange Commission or any other U.S. or non-U.S. governmental regulatory body, which the Administrator, in its absolute discretion, deems necessary or advisable; (c) the obtaining of any approval or other clearance from any state or federal governmental agency, which the Administrator, in its absolute discretion, determines to be necessary or advisable; and (d) the lapse of such reasonable period of time following the date of grant of the Restricted Stock as the Administrator may establish from time to time for reasons of administrative convenience. Participant understands that the Company is under no obligation to register or qualify the Shares subject to the Restricted Stock with any U.S. state or non-U.S. securities commission or to seek approval or clearance from any governmental authority for the issuance or sale of the Shares. Further, Participant agrees that the Company shall have unilateral authority to amend the Plan and this Award Agreement without Participant’s consent to the extent necessary to comply with Applicable Laws.</w:t>
      </w:r>
    </w:p>
    <w:p>
      <w:pPr>
        <w:spacing w:after="0" w:line="189" w:lineRule="exact"/>
        <w:rPr>
          <w:rFonts w:ascii="Times New Roman" w:cs="Times New Roman" w:eastAsia="Times New Roman" w:hAnsi="Times New Roman"/>
          <w:sz w:val="20"/>
          <w:szCs w:val="20"/>
          <w:color w:val="auto"/>
        </w:rPr>
      </w:pPr>
    </w:p>
    <w:p>
      <w:pPr>
        <w:jc w:val="both"/>
        <w:ind w:left="-8" w:firstLine="656"/>
        <w:spacing w:after="0" w:line="245" w:lineRule="auto"/>
        <w:tabs>
          <w:tab w:leader="none" w:pos="1279"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Administrator Authority</w:t>
      </w:r>
      <w:r>
        <w:rPr>
          <w:rFonts w:ascii="Times New Roman" w:cs="Times New Roman" w:eastAsia="Times New Roman" w:hAnsi="Times New Roman"/>
          <w:sz w:val="20"/>
          <w:szCs w:val="20"/>
          <w:color w:val="auto"/>
        </w:rPr>
        <w:t>. The Administrator has the power to interpret the Plan and this Award Agreement and to adopt such rules for the administration, interpretation and application of the Plan and this Award Agreement as are consistent therewith and to interpret or revoke any such rules (including, but not limited to, the determination of whether or not any Shares of Restricted Stock have vested). All actions taken and all interpretations and determinations made by the Administrator in good faith will be final and binding upon Participant, the Company and all other interested persons. No member of the Administrator will be personally liable for any action, determination or interpretation made in good faith with respect to the Plan or this Award Agreement.</w:t>
      </w:r>
    </w:p>
    <w:p>
      <w:pPr>
        <w:spacing w:after="0" w:line="184" w:lineRule="exact"/>
        <w:rPr>
          <w:rFonts w:ascii="Times New Roman" w:cs="Times New Roman" w:eastAsia="Times New Roman" w:hAnsi="Times New Roman"/>
          <w:sz w:val="20"/>
          <w:szCs w:val="20"/>
          <w:color w:val="auto"/>
        </w:rPr>
      </w:pPr>
    </w:p>
    <w:p>
      <w:pPr>
        <w:jc w:val="both"/>
        <w:ind w:left="-8" w:firstLine="656"/>
        <w:spacing w:after="0" w:line="249" w:lineRule="auto"/>
        <w:tabs>
          <w:tab w:leader="none" w:pos="1279"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Delivery and Acceptance</w:t>
      </w:r>
      <w:r>
        <w:rPr>
          <w:rFonts w:ascii="Times New Roman" w:cs="Times New Roman" w:eastAsia="Times New Roman" w:hAnsi="Times New Roman"/>
          <w:sz w:val="20"/>
          <w:szCs w:val="20"/>
          <w:color w:val="auto"/>
        </w:rPr>
        <w:t>. The Company may, in its sole discretion, decide to deliver any documents related to the Shares of Restricted Stock or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79" w:lineRule="exact"/>
        <w:rPr>
          <w:rFonts w:ascii="Times New Roman" w:cs="Times New Roman" w:eastAsia="Times New Roman" w:hAnsi="Times New Roman"/>
          <w:sz w:val="20"/>
          <w:szCs w:val="20"/>
          <w:color w:val="auto"/>
        </w:rPr>
      </w:pPr>
    </w:p>
    <w:p>
      <w:pPr>
        <w:ind w:left="-8" w:firstLine="656"/>
        <w:spacing w:after="0" w:line="269" w:lineRule="auto"/>
        <w:tabs>
          <w:tab w:leader="none" w:pos="1279"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Captions</w:t>
      </w:r>
      <w:r>
        <w:rPr>
          <w:rFonts w:ascii="Times New Roman" w:cs="Times New Roman" w:eastAsia="Times New Roman" w:hAnsi="Times New Roman"/>
          <w:sz w:val="20"/>
          <w:szCs w:val="20"/>
          <w:color w:val="auto"/>
        </w:rPr>
        <w:t>. Captions provided herein are for convenience only and are not to serve as a basis for interpretation or construction of this Award Agreement.</w:t>
      </w:r>
    </w:p>
    <w:p>
      <w:pPr>
        <w:spacing w:after="0" w:line="159" w:lineRule="exact"/>
        <w:rPr>
          <w:rFonts w:ascii="Times New Roman" w:cs="Times New Roman" w:eastAsia="Times New Roman" w:hAnsi="Times New Roman"/>
          <w:sz w:val="20"/>
          <w:szCs w:val="20"/>
          <w:color w:val="auto"/>
        </w:rPr>
      </w:pPr>
    </w:p>
    <w:p>
      <w:pPr>
        <w:jc w:val="both"/>
        <w:ind w:left="-8" w:firstLine="656"/>
        <w:spacing w:after="0" w:line="254" w:lineRule="auto"/>
        <w:tabs>
          <w:tab w:leader="none" w:pos="1279"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Agreement Severable</w:t>
      </w:r>
      <w:r>
        <w:rPr>
          <w:rFonts w:ascii="Times New Roman" w:cs="Times New Roman" w:eastAsia="Times New Roman" w:hAnsi="Times New Roman"/>
          <w:sz w:val="20"/>
          <w:szCs w:val="20"/>
          <w:color w:val="auto"/>
        </w:rPr>
        <w:t>. In the event that any provision in this Award Agreement is held invalid or unenforceable, such provision will be severable from, and such invalidity or unenforceability will not be construed to have any effect on, the remaining provisions of this Award Agreement.</w:t>
      </w:r>
    </w:p>
    <w:p>
      <w:pPr>
        <w:spacing w:after="0" w:line="174" w:lineRule="exact"/>
        <w:rPr>
          <w:rFonts w:ascii="Times New Roman" w:cs="Times New Roman" w:eastAsia="Times New Roman" w:hAnsi="Times New Roman"/>
          <w:sz w:val="20"/>
          <w:szCs w:val="20"/>
          <w:color w:val="auto"/>
        </w:rPr>
      </w:pPr>
    </w:p>
    <w:p>
      <w:pPr>
        <w:jc w:val="both"/>
        <w:ind w:left="-8" w:firstLine="656"/>
        <w:spacing w:after="0" w:line="246" w:lineRule="auto"/>
        <w:tabs>
          <w:tab w:leader="none" w:pos="1279"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Modifications to the Award Agreement</w:t>
      </w:r>
      <w:r>
        <w:rPr>
          <w:rFonts w:ascii="Times New Roman" w:cs="Times New Roman" w:eastAsia="Times New Roman" w:hAnsi="Times New Roman"/>
          <w:sz w:val="20"/>
          <w:szCs w:val="20"/>
          <w:color w:val="auto"/>
        </w:rPr>
        <w:t>. The Plan and this Award Agreement constitute the entire understanding of the parties on the subjects covered herein. Participant expressly warrants that he or she is not accepting this Award Agreement in reliance on any promises, representations, or inducements other than those contained herein. Except as otherwise provided herein or in the Plan, modifications to this Award Agreement can be made only in an express written contract executed by Participant and a duly authorized officer of the Company.</w:t>
      </w:r>
    </w:p>
    <w:p>
      <w:pPr>
        <w:spacing w:after="0" w:line="184" w:lineRule="exact"/>
        <w:rPr>
          <w:rFonts w:ascii="Times New Roman" w:cs="Times New Roman" w:eastAsia="Times New Roman" w:hAnsi="Times New Roman"/>
          <w:sz w:val="20"/>
          <w:szCs w:val="20"/>
          <w:color w:val="auto"/>
        </w:rPr>
      </w:pPr>
    </w:p>
    <w:p>
      <w:pPr>
        <w:ind w:left="-8" w:firstLine="656"/>
        <w:spacing w:after="0" w:line="269" w:lineRule="auto"/>
        <w:tabs>
          <w:tab w:leader="none" w:pos="1279"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Code Section 409A</w:t>
      </w:r>
      <w:r>
        <w:rPr>
          <w:rFonts w:ascii="Times New Roman" w:cs="Times New Roman" w:eastAsia="Times New Roman" w:hAnsi="Times New Roman"/>
          <w:sz w:val="20"/>
          <w:szCs w:val="20"/>
          <w:color w:val="auto"/>
        </w:rPr>
        <w:t>. The Award Agreement is intended to comply with, or be exempt from, Code Section 409A and all regulations, guidance, compliance programs and other interpretative</w:t>
      </w:r>
    </w:p>
    <w:p>
      <w:pPr>
        <w:sectPr>
          <w:pgSz w:w="11900" w:h="16838" w:orient="portrait"/>
          <w:cols w:equalWidth="0" w:num="1">
            <w:col w:w="11232"/>
          </w:cols>
          <w:pgMar w:left="328" w:top="1413" w:right="339" w:bottom="1440" w:gutter="0" w:footer="0" w:header="0"/>
        </w:sectPr>
      </w:pPr>
    </w:p>
    <w:bookmarkStart w:id="69" w:name="page70"/>
    <w:bookmarkEnd w:id="69"/>
    <w:p>
      <w:pPr>
        <w:jc w:val="both"/>
        <w:spacing w:after="0" w:line="244" w:lineRule="auto"/>
        <w:rPr>
          <w:sz w:val="20"/>
          <w:szCs w:val="20"/>
          <w:color w:val="auto"/>
        </w:rPr>
      </w:pPr>
      <w:r>
        <w:rPr>
          <w:rFonts w:ascii="Times New Roman" w:cs="Times New Roman" w:eastAsia="Times New Roman" w:hAnsi="Times New Roman"/>
          <w:sz w:val="20"/>
          <w:szCs w:val="20"/>
          <w:color w:val="auto"/>
        </w:rPr>
        <w:t>authority thereunder, and shall be interpreted in a manner consistent therewith. Notwithstanding anything contained herein to the contrary, in the event the Award Agreement is subject to Code Section 409A, the Company may, in its sole discretion and without Participant’s prior consent, amend the Plan and/or the Award Agreement, adopt policies and procedures, or take any other actions as deemed appropriate by the Company to (i) exempt the Plan and/or the Award Agreement from the application of Code Section 409A, (ii) preserve the intended tax treatment of the Award Agreement or (iii) comply with the requirements of Code Section 409A. Notwithstanding anything contained herein to the contrary, in no event shall the Company or any Subsidiary have any liability or obligation to any Participant or any other person in the event that the Plan or the Award Agreement is not exempt from, or compliant with, Code Section 409A.</w:t>
      </w:r>
    </w:p>
    <w:p>
      <w:pPr>
        <w:spacing w:after="0" w:line="186" w:lineRule="exact"/>
        <w:rPr>
          <w:sz w:val="20"/>
          <w:szCs w:val="20"/>
          <w:color w:val="auto"/>
        </w:rPr>
      </w:pPr>
    </w:p>
    <w:p>
      <w:pPr>
        <w:jc w:val="both"/>
        <w:ind w:firstLine="656"/>
        <w:spacing w:after="0" w:line="254" w:lineRule="auto"/>
        <w:tabs>
          <w:tab w:leader="none" w:pos="1287"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of Plan</w:t>
      </w:r>
      <w:r>
        <w:rPr>
          <w:rFonts w:ascii="Times New Roman" w:cs="Times New Roman" w:eastAsia="Times New Roman" w:hAnsi="Times New Roman"/>
          <w:sz w:val="20"/>
          <w:szCs w:val="20"/>
          <w:color w:val="auto"/>
        </w:rPr>
        <w:t>. By accepting the Restricted Stock, Participant expressly warrants that he or she has received an Award of Restricted Stock under the Plan, and has received, read and understands the Plan. Participant understands that the Plan is discretionary in nature and may be amended, suspended or terminated by the Company at any time, to the extent permitted by the Plan.</w:t>
      </w:r>
    </w:p>
    <w:p>
      <w:pPr>
        <w:spacing w:after="0" w:line="174" w:lineRule="exact"/>
        <w:rPr>
          <w:rFonts w:ascii="Times New Roman" w:cs="Times New Roman" w:eastAsia="Times New Roman" w:hAnsi="Times New Roman"/>
          <w:sz w:val="20"/>
          <w:szCs w:val="20"/>
          <w:color w:val="auto"/>
        </w:rPr>
      </w:pPr>
    </w:p>
    <w:p>
      <w:pPr>
        <w:jc w:val="both"/>
        <w:ind w:right="20" w:firstLine="656"/>
        <w:spacing w:after="0" w:line="266" w:lineRule="auto"/>
        <w:tabs>
          <w:tab w:leader="none" w:pos="1287"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Governing Law; Venue</w:t>
      </w:r>
      <w:r>
        <w:rPr>
          <w:rFonts w:ascii="Times New Roman" w:cs="Times New Roman" w:eastAsia="Times New Roman" w:hAnsi="Times New Roman"/>
          <w:sz w:val="19"/>
          <w:szCs w:val="19"/>
          <w:color w:val="auto"/>
        </w:rPr>
        <w:t>. This Award Agreement will be governed by the laws of the State of Delaware, without giving effect to the conflict of law principles thereof. For purposes of litigating any dispute that arises under this Award or this Award Agreement, the parties hereby submit to and consent to the exclusive jurisdiction of the State of Arizona, and agree that such litigation will be conducted solely in the courts of Maricopa County, Arizona, or the federal courts for the United States for the District of Arizona, and no other courts.</w:t>
      </w:r>
    </w:p>
    <w:p>
      <w:pPr>
        <w:spacing w:after="0" w:line="165" w:lineRule="exact"/>
        <w:rPr>
          <w:rFonts w:ascii="Times New Roman" w:cs="Times New Roman" w:eastAsia="Times New Roman" w:hAnsi="Times New Roman"/>
          <w:sz w:val="19"/>
          <w:szCs w:val="19"/>
          <w:color w:val="auto"/>
        </w:rPr>
      </w:pPr>
    </w:p>
    <w:p>
      <w:pPr>
        <w:jc w:val="both"/>
        <w:ind w:firstLine="656"/>
        <w:spacing w:after="0" w:line="256" w:lineRule="auto"/>
        <w:tabs>
          <w:tab w:leader="none" w:pos="1287"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Insider Trading Restrictions/Market Abuse Laws</w:t>
      </w:r>
      <w:r>
        <w:rPr>
          <w:rFonts w:ascii="Times New Roman" w:cs="Times New Roman" w:eastAsia="Times New Roman" w:hAnsi="Times New Roman"/>
          <w:sz w:val="19"/>
          <w:szCs w:val="19"/>
          <w:color w:val="auto"/>
        </w:rPr>
        <w:t>. By accepting the Restricted Stock, Participant acknowledges that he or she is bound by all the terms and conditions of the Company’s insider trading policy as may be in effect from time to time. Participant further acknowledges that, depending on Participant’s or his or her broker’s country or the country in which the Shares are listed, he or she may be subject to insider trading restrictions and/or market abuse laws which may affect Participant’s ability to accept, acquire, sell or otherwise dispose of Shares, rights to Shares, or rights linked to the value of Shares during such times as Participant is considered to have “inside information” regarding the Company (as defined by the laws in the applicable jurisdictions). Local insider trading laws and regulations may prohibit the cancellation or amendment of orders Participant placed before Participant possessed inside information. Furthermore, Participant could be prohibited from (i) disclosing the inside information to any third party and (ii) “tipping” third parties or causing them otherwise to buy or sell securities. Any restrictions under these laws or regulations are separate from and in addition to any restrictions that may be imposed under the Company’s insider trading policy as may be in effect from time to time. Participant acknowledges that it is Participant’s responsibility to comply with any applicable restrictions, and Participant should speak to his or her personal advisor on this matter.</w:t>
      </w:r>
    </w:p>
    <w:p>
      <w:pPr>
        <w:spacing w:after="0" w:line="177" w:lineRule="exact"/>
        <w:rPr>
          <w:rFonts w:ascii="Times New Roman" w:cs="Times New Roman" w:eastAsia="Times New Roman" w:hAnsi="Times New Roman"/>
          <w:sz w:val="19"/>
          <w:szCs w:val="19"/>
          <w:color w:val="auto"/>
        </w:rPr>
      </w:pPr>
    </w:p>
    <w:p>
      <w:pPr>
        <w:jc w:val="both"/>
        <w:ind w:firstLine="656"/>
        <w:spacing w:after="0" w:line="246" w:lineRule="auto"/>
        <w:tabs>
          <w:tab w:leader="none" w:pos="1287"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Participant's acceptance of the Restricted Stock by signing below or by otherwise accepting the Restricted Stock following such procedures as established by the Company (including an online acceptance process) constitute Participant's agreement to be bound by the terms and conditions of this Award Agreement and the Plan. The Company may refuse to allow Participant to vest in the Restricted Stock unless Participant has signed this Award Agreement or otherwise accepted the Restricted Stock following such procedures as established by the Company (including an online acceptance process).</w:t>
      </w:r>
    </w:p>
    <w:p>
      <w:pPr>
        <w:sectPr>
          <w:pgSz w:w="11900" w:h="16838" w:orient="portrait"/>
          <w:cols w:equalWidth="0" w:num="1">
            <w:col w:w="11240"/>
          </w:cols>
          <w:pgMar w:left="320" w:top="1413" w:right="339" w:bottom="1440" w:gutter="0" w:footer="0" w:header="0"/>
        </w:sectPr>
      </w:pPr>
    </w:p>
    <w:bookmarkStart w:id="70" w:name="page71"/>
    <w:bookmarkEnd w:id="70"/>
    <w:p>
      <w:pPr>
        <w:spacing w:after="0" w:line="23" w:lineRule="exact"/>
        <w:rPr>
          <w:sz w:val="20"/>
          <w:szCs w:val="20"/>
          <w:color w:val="auto"/>
        </w:rPr>
      </w:pPr>
    </w:p>
    <w:p>
      <w:pPr>
        <w:spacing w:after="0"/>
        <w:tabs>
          <w:tab w:leader="none" w:pos="5380" w:val="left"/>
        </w:tabs>
        <w:rPr>
          <w:sz w:val="20"/>
          <w:szCs w:val="20"/>
          <w:color w:val="auto"/>
        </w:rPr>
      </w:pPr>
      <w:r>
        <w:rPr>
          <w:rFonts w:ascii="Times New Roman" w:cs="Times New Roman" w:eastAsia="Times New Roman" w:hAnsi="Times New Roman"/>
          <w:sz w:val="19"/>
          <w:szCs w:val="19"/>
          <w:b w:val="1"/>
          <w:bCs w:val="1"/>
          <w:color w:val="auto"/>
        </w:rPr>
        <w:t>Participant</w:t>
      </w:r>
      <w:r>
        <w:rPr>
          <w:sz w:val="20"/>
          <w:szCs w:val="20"/>
          <w:color w:val="auto"/>
        </w:rPr>
        <w:tab/>
      </w:r>
      <w:r>
        <w:rPr>
          <w:rFonts w:ascii="Times New Roman" w:cs="Times New Roman" w:eastAsia="Times New Roman" w:hAnsi="Times New Roman"/>
          <w:sz w:val="21"/>
          <w:szCs w:val="21"/>
          <w:b w:val="1"/>
          <w:bCs w:val="1"/>
          <w:color w:val="auto"/>
        </w:rPr>
        <w:t>Amkor 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386715</wp:posOffset>
            </wp:positionV>
            <wp:extent cx="643763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4376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643763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437630" cy="8255"/>
                    </a:xfrm>
                    <a:prstGeom prst="rect">
                      <a:avLst/>
                    </a:prstGeom>
                    <a:noFill/>
                  </pic:spPr>
                </pic:pic>
              </a:graphicData>
            </a:graphic>
          </wp:anchor>
        </w:drawing>
      </w:r>
    </w:p>
    <w:p>
      <w:pPr>
        <w:spacing w:after="0" w:line="317" w:lineRule="exact"/>
        <w:rPr>
          <w:sz w:val="20"/>
          <w:szCs w:val="20"/>
          <w:color w:val="auto"/>
        </w:rPr>
      </w:pPr>
    </w:p>
    <w:p>
      <w:pPr>
        <w:spacing w:after="0"/>
        <w:tabs>
          <w:tab w:leader="none" w:pos="5380" w:val="left"/>
        </w:tabs>
        <w:rPr>
          <w:sz w:val="20"/>
          <w:szCs w:val="20"/>
          <w:color w:val="auto"/>
        </w:rPr>
      </w:pPr>
      <w:r>
        <w:rPr>
          <w:rFonts w:ascii="Times New Roman" w:cs="Times New Roman" w:eastAsia="Times New Roman" w:hAnsi="Times New Roman"/>
          <w:sz w:val="20"/>
          <w:szCs w:val="20"/>
          <w:b w:val="1"/>
          <w:bCs w:val="1"/>
          <w:color w:val="auto"/>
        </w:rPr>
        <w:t>Date</w:t>
      </w:r>
      <w:r>
        <w:rPr>
          <w:sz w:val="20"/>
          <w:szCs w:val="20"/>
          <w:color w:val="auto"/>
        </w:rPr>
        <w:tab/>
      </w:r>
      <w:r>
        <w:rPr>
          <w:rFonts w:ascii="Times New Roman" w:cs="Times New Roman" w:eastAsia="Times New Roman" w:hAnsi="Times New Roman"/>
          <w:sz w:val="20"/>
          <w:szCs w:val="20"/>
          <w:b w:val="1"/>
          <w:bCs w:val="1"/>
          <w:color w:val="auto"/>
        </w:rPr>
        <w:t>Date</w:t>
      </w:r>
    </w:p>
    <w:p>
      <w:pPr>
        <w:sectPr>
          <w:pgSz w:w="11900" w:h="16838" w:orient="portrait"/>
          <w:cols w:equalWidth="0" w:num="1">
            <w:col w:w="10119"/>
          </w:cols>
          <w:pgMar w:left="340" w:top="1440" w:right="1440" w:bottom="1440" w:gutter="0" w:footer="0" w:header="0"/>
        </w:sectPr>
      </w:pPr>
    </w:p>
    <w:bookmarkStart w:id="71" w:name="page72"/>
    <w:bookmarkEnd w:id="71"/>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APPENDIX TO</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AMKOR TECHNOLOGY,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SECOND AMENDED AND RESTATED 2007 EQUITY INCENTIVE PLAN</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GLOBAL OUTSIDE DIRECTOR RESTRICTED STOCK AWARD AGREEMENT</w:t>
      </w:r>
    </w:p>
    <w:p>
      <w:pPr>
        <w:spacing w:after="0" w:line="200" w:lineRule="exact"/>
        <w:rPr>
          <w:sz w:val="20"/>
          <w:szCs w:val="20"/>
          <w:color w:val="auto"/>
        </w:rPr>
      </w:pPr>
    </w:p>
    <w:p>
      <w:pPr>
        <w:spacing w:after="0" w:line="330" w:lineRule="exact"/>
        <w:rPr>
          <w:sz w:val="20"/>
          <w:szCs w:val="20"/>
          <w:color w:val="auto"/>
        </w:rPr>
      </w:pPr>
    </w:p>
    <w:p>
      <w:pPr>
        <w:jc w:val="both"/>
        <w:ind w:firstLine="648"/>
        <w:spacing w:after="0" w:line="311" w:lineRule="auto"/>
        <w:rPr>
          <w:sz w:val="20"/>
          <w:szCs w:val="20"/>
          <w:color w:val="auto"/>
        </w:rPr>
      </w:pPr>
      <w:r>
        <w:rPr>
          <w:rFonts w:ascii="Times New Roman" w:cs="Times New Roman" w:eastAsia="Times New Roman" w:hAnsi="Times New Roman"/>
          <w:sz w:val="20"/>
          <w:szCs w:val="20"/>
          <w:color w:val="auto"/>
        </w:rPr>
        <w:t>Capitalized terms used but not defined in this Appendix shall have the same meanings assigned to them in the Plan and/or the Global Outside Director Restricted Stock Award Agreement.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87"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0"/>
          <w:szCs w:val="20"/>
          <w:color w:val="auto"/>
        </w:rPr>
        <w:t>This Appendix includes general terms and conditions for all non-U.S. Participants and additional terms and conditions that govern the Restricted Stock if Participant resides in one of the countries listed below. If Participant is a citizen or resident of a country other than the one in which Participant is currently residing (or is considered as such for local law purposes), or if Participant transfers residency to a different country after the Restricted Stock is granted, the Company will, in its discretion, determine the extent to which the terms and conditions contained herein will apply to Participant.</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87"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0"/>
          <w:szCs w:val="20"/>
          <w:color w:val="auto"/>
        </w:rPr>
        <w:t>This Appendix also includes information regarding certain other issues of which Participant should be aware with respect to Participant’s participation in the Plan. The information is based on the securities, exchange control and other laws in effect in the respective countries as of July 2020. Such laws are often complex and change frequently. As a result, Participant should not rely on the information noted herein as the only source of information relating to the consequences of participation in the Plan because the information may be out-of-date at the time the Restricted Stock vests or Participants sells any Shares acquired under the Plan.</w:t>
      </w:r>
    </w:p>
    <w:p>
      <w:pPr>
        <w:spacing w:after="0" w:line="208"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0"/>
          <w:szCs w:val="20"/>
          <w:color w:val="auto"/>
        </w:rPr>
        <w:t>In addition, the information contained herein is general in nature and may not apply to Participant’s particular situation. As a result, the Company is not in a position to assure Participant of any particular result. Accordingly, Participant should seek appropriate professional advice as to how the relevant laws in Participant’s country may apply to Participant’s individual situation.</w:t>
      </w:r>
    </w:p>
    <w:p>
      <w:pPr>
        <w:spacing w:after="0" w:line="20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If Participant is a citizen or resident of a country other than the one in which Participant is currently residing (or is considered as such for local law purposes), or if Participant transfers residency to a different country after the Restricted Stock is granted, the information contained in this Appendix may not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 applicable to Participant in the same manner.</w:t>
      </w:r>
    </w:p>
    <w:p>
      <w:pPr>
        <w:sectPr>
          <w:pgSz w:w="11900" w:h="16838" w:orient="portrait"/>
          <w:cols w:equalWidth="0" w:num="1">
            <w:col w:w="11240"/>
          </w:cols>
          <w:pgMar w:left="320" w:top="1440"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20"/>
          <w:szCs w:val="20"/>
          <w:b w:val="1"/>
          <w:bCs w:val="1"/>
          <w:u w:val="single" w:color="auto"/>
          <w:color w:val="auto"/>
        </w:rPr>
        <w:t>GENERAL TERMS AND CONDITIONS APPLICABLE TO ALL NON-U.S. PARTICIPANTS</w:t>
      </w:r>
    </w:p>
    <w:p>
      <w:pPr>
        <w:spacing w:after="0" w:line="256" w:lineRule="exact"/>
        <w:rPr>
          <w:sz w:val="20"/>
          <w:szCs w:val="20"/>
          <w:color w:val="auto"/>
        </w:rPr>
      </w:pPr>
    </w:p>
    <w:p>
      <w:pPr>
        <w:ind w:left="660" w:hanging="328"/>
        <w:spacing w:after="0"/>
        <w:tabs>
          <w:tab w:leader="none" w:pos="660" w:val="left"/>
        </w:tabs>
        <w:numPr>
          <w:ilvl w:val="0"/>
          <w:numId w:val="60"/>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u w:val="single" w:color="auto"/>
          <w:color w:val="auto"/>
        </w:rPr>
        <w:t>Data Privacy Information and Consent</w:t>
      </w:r>
      <w:r>
        <w:rPr>
          <w:rFonts w:ascii="Times New Roman" w:cs="Times New Roman" w:eastAsia="Times New Roman" w:hAnsi="Times New Roman"/>
          <w:sz w:val="20"/>
          <w:szCs w:val="20"/>
          <w:b w:val="1"/>
          <w:bCs w:val="1"/>
          <w:i w:val="1"/>
          <w:iCs w:val="1"/>
          <w:color w:val="auto"/>
        </w:rPr>
        <w:t>.</w:t>
      </w:r>
    </w:p>
    <w:p>
      <w:pPr>
        <w:spacing w:after="0" w:line="215" w:lineRule="exact"/>
        <w:rPr>
          <w:rFonts w:ascii="Times New Roman" w:cs="Times New Roman" w:eastAsia="Times New Roman" w:hAnsi="Times New Roman"/>
          <w:sz w:val="20"/>
          <w:szCs w:val="20"/>
          <w:b w:val="1"/>
          <w:bCs w:val="1"/>
          <w:i w:val="1"/>
          <w:iCs w:val="1"/>
          <w:color w:val="auto"/>
        </w:rPr>
      </w:pPr>
    </w:p>
    <w:p>
      <w:pPr>
        <w:jc w:val="both"/>
        <w:ind w:firstLine="656"/>
        <w:spacing w:after="0" w:line="246" w:lineRule="auto"/>
        <w:tabs>
          <w:tab w:leader="none" w:pos="1296"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Data Collection and Usage</w:t>
      </w:r>
      <w:r>
        <w:rPr>
          <w:rFonts w:ascii="Times New Roman" w:cs="Times New Roman" w:eastAsia="Times New Roman" w:hAnsi="Times New Roman"/>
          <w:sz w:val="20"/>
          <w:szCs w:val="20"/>
          <w:b w:val="1"/>
          <w:bCs w:val="1"/>
          <w:i w:val="1"/>
          <w:iCs w:val="1"/>
          <w:color w:val="auto"/>
        </w:rPr>
        <w:t>. The Company collects, processes and uses certain personal information about Participant, including, but not limited to, Participant’s name, home address, telephone number, email address, date of birth, social insurance number, passport or other identification number, nationality, job title, any Shares or directorships held in the Company, details of all awards granted under the Plan or any other entitlement to Shares awarded, canceled, exercised, vested, unvested or outstanding in Participant’s favor (“Data”), for purposes of implementing, administering and managing the Plan. The legal basis, where required, for the processing of Data is Participant’s consent.</w:t>
      </w:r>
    </w:p>
    <w:p>
      <w:pPr>
        <w:spacing w:after="0" w:line="178" w:lineRule="exact"/>
        <w:rPr>
          <w:rFonts w:ascii="Times New Roman" w:cs="Times New Roman" w:eastAsia="Times New Roman" w:hAnsi="Times New Roman"/>
          <w:sz w:val="20"/>
          <w:szCs w:val="20"/>
          <w:color w:val="auto"/>
        </w:rPr>
      </w:pPr>
    </w:p>
    <w:p>
      <w:pPr>
        <w:jc w:val="both"/>
        <w:ind w:firstLine="656"/>
        <w:spacing w:after="0" w:line="246" w:lineRule="auto"/>
        <w:tabs>
          <w:tab w:leader="none" w:pos="1296"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Stock Plan Administration Service Providers</w:t>
      </w:r>
      <w:r>
        <w:rPr>
          <w:rFonts w:ascii="Times New Roman" w:cs="Times New Roman" w:eastAsia="Times New Roman" w:hAnsi="Times New Roman"/>
          <w:sz w:val="20"/>
          <w:szCs w:val="20"/>
          <w:b w:val="1"/>
          <w:bCs w:val="1"/>
          <w:i w:val="1"/>
          <w:iCs w:val="1"/>
          <w:color w:val="auto"/>
        </w:rPr>
        <w:t>. The Company transfers Data to E*TRADE Financial Corporate Services, Inc. and certain of its affiliates (“E*TRADE”), an independent service provider which is assisting the Company with the implementation, administration and management of the Plan. The Company may select a different service provider or additional service providers and share Data with such other provider serving in a similar manner. Participant may be asked to agree on separate terms and data processing practices with E*TRADE and such other service providers, with such agreement being a condition to the ability to participate in the Plan.</w:t>
      </w:r>
    </w:p>
    <w:p>
      <w:pPr>
        <w:spacing w:after="0" w:line="178" w:lineRule="exact"/>
        <w:rPr>
          <w:rFonts w:ascii="Times New Roman" w:cs="Times New Roman" w:eastAsia="Times New Roman" w:hAnsi="Times New Roman"/>
          <w:sz w:val="20"/>
          <w:szCs w:val="20"/>
          <w:color w:val="auto"/>
        </w:rPr>
      </w:pPr>
    </w:p>
    <w:p>
      <w:pPr>
        <w:jc w:val="both"/>
        <w:ind w:right="20" w:firstLine="656"/>
        <w:spacing w:after="0" w:line="256" w:lineRule="auto"/>
        <w:tabs>
          <w:tab w:leader="none" w:pos="1296"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International Data Transfers</w:t>
      </w:r>
      <w:r>
        <w:rPr>
          <w:rFonts w:ascii="Times New Roman" w:cs="Times New Roman" w:eastAsia="Times New Roman" w:hAnsi="Times New Roman"/>
          <w:sz w:val="20"/>
          <w:szCs w:val="20"/>
          <w:b w:val="1"/>
          <w:bCs w:val="1"/>
          <w:i w:val="1"/>
          <w:iCs w:val="1"/>
          <w:color w:val="auto"/>
        </w:rPr>
        <w:t>. The Company and E*TRADE are based in the U.S., which means that it will be necessary for Data to be transferred to, and processed in, the U.S. Participant’s country or jurisdiction may have different data privacy laws and protections than the U.S. The Company’s legal basis for the transfer of Data, where required, is Participant’s consent.</w:t>
      </w:r>
    </w:p>
    <w:p>
      <w:pPr>
        <w:spacing w:after="0" w:line="168" w:lineRule="exact"/>
        <w:rPr>
          <w:rFonts w:ascii="Times New Roman" w:cs="Times New Roman" w:eastAsia="Times New Roman" w:hAnsi="Times New Roman"/>
          <w:sz w:val="20"/>
          <w:szCs w:val="20"/>
          <w:color w:val="auto"/>
        </w:rPr>
      </w:pPr>
    </w:p>
    <w:p>
      <w:pPr>
        <w:jc w:val="both"/>
        <w:ind w:firstLine="656"/>
        <w:spacing w:after="0" w:line="247" w:lineRule="auto"/>
        <w:tabs>
          <w:tab w:leader="none" w:pos="1296"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Data Retention</w:t>
      </w:r>
      <w:r>
        <w:rPr>
          <w:rFonts w:ascii="Times New Roman" w:cs="Times New Roman" w:eastAsia="Times New Roman" w:hAnsi="Times New Roman"/>
          <w:sz w:val="20"/>
          <w:szCs w:val="20"/>
          <w:b w:val="1"/>
          <w:bCs w:val="1"/>
          <w:i w:val="1"/>
          <w:iCs w:val="1"/>
          <w:color w:val="auto"/>
        </w:rPr>
        <w:t>. The Company will hold and use Data only as long as is necessary to implement, administer and manage Participant’s participation in the Plan, or as required to comply with legal or regulatory obligations, including under tax, exchange control, labor and securities laws. This period may extend beyond the Participant's period as a Service Provider. When the Company no longer needs Data for any of the above purposes, it will cease processing it in this context and remove it from all of its systems used for such purposes to the fullest extent practicable.</w:t>
      </w:r>
    </w:p>
    <w:p>
      <w:pPr>
        <w:spacing w:after="0" w:line="180" w:lineRule="exact"/>
        <w:rPr>
          <w:rFonts w:ascii="Times New Roman" w:cs="Times New Roman" w:eastAsia="Times New Roman" w:hAnsi="Times New Roman"/>
          <w:sz w:val="20"/>
          <w:szCs w:val="20"/>
          <w:color w:val="auto"/>
        </w:rPr>
      </w:pPr>
    </w:p>
    <w:p>
      <w:pPr>
        <w:jc w:val="both"/>
        <w:ind w:firstLine="656"/>
        <w:spacing w:after="0" w:line="247" w:lineRule="auto"/>
        <w:tabs>
          <w:tab w:leader="none" w:pos="1296"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Voluntariness and Consequences of Consent Denial or Withdrawal</w:t>
      </w:r>
      <w:r>
        <w:rPr>
          <w:rFonts w:ascii="Times New Roman" w:cs="Times New Roman" w:eastAsia="Times New Roman" w:hAnsi="Times New Roman"/>
          <w:sz w:val="20"/>
          <w:szCs w:val="20"/>
          <w:b w:val="1"/>
          <w:bCs w:val="1"/>
          <w:i w:val="1"/>
          <w:iCs w:val="1"/>
          <w:color w:val="auto"/>
        </w:rPr>
        <w:t>. Participation in the Plan is voluntary and Participant is providing the consents herein on a purely voluntary basis. If Participant does not consent, or if Participant later seeks to revoke his or her consent, Participant’s status as a Service Provider will not be affected; the only consequence of refusing or withdrawing consent is that the Company would not be able to grant the Restricted Stock or other equity awards to Participant under the Plan or administer or maintain such awards.</w:t>
      </w:r>
    </w:p>
    <w:p>
      <w:pPr>
        <w:spacing w:after="0" w:line="180" w:lineRule="exact"/>
        <w:rPr>
          <w:rFonts w:ascii="Times New Roman" w:cs="Times New Roman" w:eastAsia="Times New Roman" w:hAnsi="Times New Roman"/>
          <w:sz w:val="20"/>
          <w:szCs w:val="20"/>
          <w:color w:val="auto"/>
        </w:rPr>
      </w:pPr>
    </w:p>
    <w:p>
      <w:pPr>
        <w:jc w:val="both"/>
        <w:ind w:firstLine="656"/>
        <w:spacing w:after="0" w:line="246" w:lineRule="auto"/>
        <w:tabs>
          <w:tab w:leader="none" w:pos="1296"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Data Subject Rights.</w:t>
      </w:r>
      <w:r>
        <w:rPr>
          <w:rFonts w:ascii="Times New Roman" w:cs="Times New Roman" w:eastAsia="Times New Roman" w:hAnsi="Times New Roman"/>
          <w:sz w:val="20"/>
          <w:szCs w:val="20"/>
          <w:b w:val="1"/>
          <w:bCs w:val="1"/>
          <w:i w:val="1"/>
          <w:iCs w:val="1"/>
          <w:color w:val="auto"/>
        </w:rPr>
        <w:t xml:space="preserve"> Participant may have a number of rights under data privacy laws in his or her jurisdiction. Depending on where Participant is based, such rights may include the right to (i) request access to or copies of Data the Company processes, (ii) rectify incorrect Data, (iii) delete Data, (iv) restrict the processing of Data, (v) restrict the portability of Data, (vi) lodge complaints with competent authorities in Participant’s jurisdiction, and/or (vii) receive a list with the names and addresses of any potential recipients of Data. To receive clarification regarding these rights or to exercise these rights, Participant can contact the Company.</w:t>
      </w:r>
    </w:p>
    <w:p>
      <w:pPr>
        <w:sectPr>
          <w:pgSz w:w="11900" w:h="16838" w:orient="portrait"/>
          <w:cols w:equalWidth="0" w:num="1">
            <w:col w:w="11240"/>
          </w:cols>
          <w:pgMar w:left="320" w:top="1436" w:right="339" w:bottom="1440" w:gutter="0" w:footer="0" w:header="0"/>
        </w:sectPr>
      </w:pPr>
    </w:p>
    <w:bookmarkStart w:id="73" w:name="page74"/>
    <w:bookmarkEnd w:id="73"/>
    <w:p>
      <w:pPr>
        <w:jc w:val="both"/>
        <w:ind w:left="-332" w:firstLine="656"/>
        <w:spacing w:after="0" w:line="245" w:lineRule="auto"/>
        <w:tabs>
          <w:tab w:leader="none" w:pos="964"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Other Legal Basis and Additional Consent</w:t>
      </w:r>
      <w:r>
        <w:rPr>
          <w:rFonts w:ascii="Times New Roman" w:cs="Times New Roman" w:eastAsia="Times New Roman" w:hAnsi="Times New Roman"/>
          <w:sz w:val="20"/>
          <w:szCs w:val="20"/>
          <w:b w:val="1"/>
          <w:bCs w:val="1"/>
          <w:i w:val="1"/>
          <w:iCs w:val="1"/>
          <w:color w:val="auto"/>
        </w:rPr>
        <w:t>. Participant understands that the Company may rely on a different legal basis for the collection, processing or transfer of Data in the future and/or request Participant to provide another data privacy consent. If applicable, upon request of the Company, Participant will provide a separate executed data privacy agreement (or any other agreements or consents) that the Company may deem necessary to obtain from Participant for the purpose of administering his or her participation in the Plan in compliance with the data privacy laws in Participant’s country, either now or in the future. Participant understands and agrees that Participant will not be able to participate in the Plan if Participant fails to provide any such agreement requested by the Company.</w:t>
      </w:r>
    </w:p>
    <w:p>
      <w:pPr>
        <w:spacing w:after="0" w:line="183" w:lineRule="exact"/>
        <w:rPr>
          <w:rFonts w:ascii="Times New Roman" w:cs="Times New Roman" w:eastAsia="Times New Roman" w:hAnsi="Times New Roman"/>
          <w:sz w:val="20"/>
          <w:szCs w:val="20"/>
          <w:color w:val="auto"/>
        </w:rPr>
      </w:pPr>
    </w:p>
    <w:p>
      <w:pPr>
        <w:ind w:left="308" w:hanging="308"/>
        <w:spacing w:after="0"/>
        <w:tabs>
          <w:tab w:leader="none" w:pos="308"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Nature of Grant</w:t>
      </w:r>
      <w:r>
        <w:rPr>
          <w:rFonts w:ascii="Times New Roman" w:cs="Times New Roman" w:eastAsia="Times New Roman" w:hAnsi="Times New Roman"/>
          <w:sz w:val="20"/>
          <w:szCs w:val="20"/>
          <w:color w:val="auto"/>
        </w:rPr>
        <w:t>. By accepting the Restricted Stock, Participant acknowledges, understands, and agrees that:</w:t>
      </w:r>
    </w:p>
    <w:p>
      <w:pPr>
        <w:spacing w:after="0" w:line="215" w:lineRule="exact"/>
        <w:rPr>
          <w:rFonts w:ascii="Times New Roman" w:cs="Times New Roman" w:eastAsia="Times New Roman" w:hAnsi="Times New Roman"/>
          <w:sz w:val="20"/>
          <w:szCs w:val="20"/>
          <w:color w:val="auto"/>
        </w:rPr>
      </w:pPr>
    </w:p>
    <w:p>
      <w:pPr>
        <w:ind w:left="-332" w:firstLine="656"/>
        <w:spacing w:after="0" w:line="269" w:lineRule="auto"/>
        <w:tabs>
          <w:tab w:leader="none" w:pos="964"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Plan is established voluntarily by the Company, it is discretionary in nature and may be amended, suspended or terminated by the Company at any time, to the extent permitted by the Plan;</w:t>
      </w:r>
    </w:p>
    <w:p>
      <w:pPr>
        <w:spacing w:after="0" w:line="159" w:lineRule="exact"/>
        <w:rPr>
          <w:rFonts w:ascii="Times New Roman" w:cs="Times New Roman" w:eastAsia="Times New Roman" w:hAnsi="Times New Roman"/>
          <w:sz w:val="20"/>
          <w:szCs w:val="20"/>
          <w:color w:val="auto"/>
        </w:rPr>
      </w:pPr>
    </w:p>
    <w:p>
      <w:pPr>
        <w:ind w:left="-332" w:firstLine="656"/>
        <w:spacing w:after="0" w:line="269" w:lineRule="auto"/>
        <w:tabs>
          <w:tab w:leader="none" w:pos="964"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 of the Restricted Stock is exceptional, voluntary and occasional and does not create any contractual or other right to receive future grants of restricted stock, or benefits in lieu of restricted stock, even if restricted stock has been granted in the past;</w:t>
      </w:r>
    </w:p>
    <w:p>
      <w:pPr>
        <w:spacing w:after="0" w:line="159" w:lineRule="exact"/>
        <w:rPr>
          <w:rFonts w:ascii="Times New Roman" w:cs="Times New Roman" w:eastAsia="Times New Roman" w:hAnsi="Times New Roman"/>
          <w:sz w:val="20"/>
          <w:szCs w:val="20"/>
          <w:color w:val="auto"/>
        </w:rPr>
      </w:pPr>
    </w:p>
    <w:p>
      <w:pPr>
        <w:ind w:left="968" w:hanging="644"/>
        <w:spacing w:after="0"/>
        <w:tabs>
          <w:tab w:leader="none" w:pos="968"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decisions with respect to future restricted stock or other grants, if any, will be at the sole discretion of the Company;</w:t>
      </w:r>
    </w:p>
    <w:p>
      <w:pPr>
        <w:spacing w:after="0" w:line="215" w:lineRule="exact"/>
        <w:rPr>
          <w:rFonts w:ascii="Times New Roman" w:cs="Times New Roman" w:eastAsia="Times New Roman" w:hAnsi="Times New Roman"/>
          <w:sz w:val="20"/>
          <w:szCs w:val="20"/>
          <w:color w:val="auto"/>
        </w:rPr>
      </w:pPr>
    </w:p>
    <w:p>
      <w:pPr>
        <w:ind w:left="968" w:hanging="644"/>
        <w:spacing w:after="0"/>
        <w:tabs>
          <w:tab w:leader="none" w:pos="968"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is voluntarily participating in the Plan;</w:t>
      </w:r>
    </w:p>
    <w:p>
      <w:pPr>
        <w:spacing w:after="0" w:line="215" w:lineRule="exact"/>
        <w:rPr>
          <w:rFonts w:ascii="Times New Roman" w:cs="Times New Roman" w:eastAsia="Times New Roman" w:hAnsi="Times New Roman"/>
          <w:sz w:val="20"/>
          <w:szCs w:val="20"/>
          <w:color w:val="auto"/>
        </w:rPr>
      </w:pPr>
    </w:p>
    <w:p>
      <w:pPr>
        <w:ind w:left="968" w:hanging="644"/>
        <w:spacing w:after="0"/>
        <w:tabs>
          <w:tab w:leader="none" w:pos="968"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future value of the Shares Restricted Stock is unknown, indeterminable, and cannot be predicted with certainty;</w:t>
      </w:r>
    </w:p>
    <w:p>
      <w:pPr>
        <w:spacing w:after="0" w:line="215" w:lineRule="exact"/>
        <w:rPr>
          <w:rFonts w:ascii="Times New Roman" w:cs="Times New Roman" w:eastAsia="Times New Roman" w:hAnsi="Times New Roman"/>
          <w:sz w:val="20"/>
          <w:szCs w:val="20"/>
          <w:color w:val="auto"/>
        </w:rPr>
      </w:pPr>
    </w:p>
    <w:p>
      <w:pPr>
        <w:ind w:left="-332" w:firstLine="656"/>
        <w:spacing w:after="0" w:line="269" w:lineRule="auto"/>
        <w:tabs>
          <w:tab w:leader="none" w:pos="964"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claim or entitlement to compensation or damages shall arise from forfeiture of the Restricted Stock resulting from the termination of Participant’s status as a Service Provider;</w:t>
      </w:r>
    </w:p>
    <w:p>
      <w:pPr>
        <w:spacing w:after="0" w:line="159" w:lineRule="exact"/>
        <w:rPr>
          <w:rFonts w:ascii="Times New Roman" w:cs="Times New Roman" w:eastAsia="Times New Roman" w:hAnsi="Times New Roman"/>
          <w:sz w:val="20"/>
          <w:szCs w:val="20"/>
          <w:color w:val="auto"/>
        </w:rPr>
      </w:pPr>
    </w:p>
    <w:p>
      <w:pPr>
        <w:jc w:val="both"/>
        <w:ind w:left="-332" w:firstLine="656"/>
        <w:spacing w:after="0" w:line="254" w:lineRule="auto"/>
        <w:tabs>
          <w:tab w:leader="none" w:pos="964"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provided in the Plan or by the Company in its discretion, the Restricted Stock and the benefits evidenced by this Award Agreement do not create any entitlement to have the Restricted Stock or any such benefits transferred to, or assumed by, another company nor to be exchanged, cashed out or substituted for, in connection with any corporate transaction affecting the Shares; and</w:t>
      </w:r>
    </w:p>
    <w:p>
      <w:pPr>
        <w:spacing w:after="0" w:line="174" w:lineRule="exact"/>
        <w:rPr>
          <w:rFonts w:ascii="Times New Roman" w:cs="Times New Roman" w:eastAsia="Times New Roman" w:hAnsi="Times New Roman"/>
          <w:sz w:val="20"/>
          <w:szCs w:val="20"/>
          <w:color w:val="auto"/>
        </w:rPr>
      </w:pPr>
    </w:p>
    <w:p>
      <w:pPr>
        <w:jc w:val="both"/>
        <w:ind w:left="-332" w:firstLine="656"/>
        <w:spacing w:after="0" w:line="254" w:lineRule="auto"/>
        <w:tabs>
          <w:tab w:leader="none" w:pos="964"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any other Subsidiary shall be liable for any foreign exchange rate fluctuation between Participant’s local currency and the U.S. dollar that may affect the value of the Restricted Stock or of any amounts due to Participant pursuant to the subsequent sale of any Shares of Restricted Stock.</w:t>
      </w:r>
    </w:p>
    <w:p>
      <w:pPr>
        <w:spacing w:after="0" w:line="174" w:lineRule="exact"/>
        <w:rPr>
          <w:sz w:val="20"/>
          <w:szCs w:val="20"/>
          <w:color w:val="auto"/>
        </w:rPr>
      </w:pPr>
    </w:p>
    <w:p>
      <w:pPr>
        <w:jc w:val="both"/>
        <w:ind w:left="-332" w:firstLine="332"/>
        <w:spacing w:after="0" w:line="249" w:lineRule="auto"/>
        <w:tabs>
          <w:tab w:leader="none" w:pos="419" w:val="left"/>
        </w:tabs>
        <w:numPr>
          <w:ilvl w:val="0"/>
          <w:numId w:val="6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Language</w:t>
      </w:r>
      <w:r>
        <w:rPr>
          <w:rFonts w:ascii="Times New Roman" w:cs="Times New Roman" w:eastAsia="Times New Roman" w:hAnsi="Times New Roman"/>
          <w:sz w:val="20"/>
          <w:szCs w:val="20"/>
          <w:color w:val="auto"/>
        </w:rPr>
        <w:t>. Participant acknowledges that he or she is sufficiently proficient in English, or has consulted with an advisor who is sufficiently proficient in English, so as to allow Participant to understand the terms and conditions of this Award Agreement. If Participant has received this Award Agreement, or any other documents related to the Restricted Stock and/or the Plan translated into a language other than English and if the meaning of the translated version is different than the English version, the English version will control.</w:t>
      </w:r>
    </w:p>
    <w:p>
      <w:pPr>
        <w:sectPr>
          <w:pgSz w:w="11900" w:h="16838" w:orient="portrait"/>
          <w:cols w:equalWidth="0" w:num="1">
            <w:col w:w="10908"/>
          </w:cols>
          <w:pgMar w:left="652" w:top="1409" w:right="339" w:bottom="1440" w:gutter="0" w:footer="0" w:header="0"/>
        </w:sectPr>
      </w:pPr>
    </w:p>
    <w:bookmarkStart w:id="74" w:name="page75"/>
    <w:bookmarkEnd w:id="74"/>
    <w:p>
      <w:pPr>
        <w:jc w:val="both"/>
        <w:ind w:left="-332" w:firstLine="332"/>
        <w:spacing w:after="0" w:line="243" w:lineRule="auto"/>
        <w:tabs>
          <w:tab w:leader="none" w:pos="388" w:val="left"/>
        </w:tabs>
        <w:numPr>
          <w:ilvl w:val="0"/>
          <w:numId w:val="6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Foreign Asset/Account, Exchange Control and Tax Reporting</w:t>
      </w:r>
      <w:r>
        <w:rPr>
          <w:rFonts w:ascii="Times New Roman" w:cs="Times New Roman" w:eastAsia="Times New Roman" w:hAnsi="Times New Roman"/>
          <w:sz w:val="20"/>
          <w:szCs w:val="20"/>
          <w:color w:val="auto"/>
        </w:rPr>
        <w:t>. Participant may be subject to foreign asset/account, exchange control, tax reporting or other requirements which may affect Participant’s ability acquire or hold Shares of Restricted Stock or cash received from participating in the Plan (including dividends and the proceeds arising from the sale of Shares) in a brokerage/bank account outside Participant’s country. The applicable laws of Participant’s country may require that he or she report such Shares of Restricted Stock, accounts, assets or transactions to the applicable authorities in such country and/or repatriate funds received in connection with the Plan to Participant’s country within a certain time period or according to certain procedures. Participant acknowledges that he or she is responsible for ensuring compliance with any applicable requirements and should consult his or her personal legal advisor to ensure compliance with Applicable Laws.</w:t>
      </w:r>
    </w:p>
    <w:p>
      <w:pPr>
        <w:sectPr>
          <w:pgSz w:w="11900" w:h="16838" w:orient="portrait"/>
          <w:cols w:equalWidth="0" w:num="1">
            <w:col w:w="10908"/>
          </w:cols>
          <w:pgMar w:left="652" w:top="1413" w:right="339" w:bottom="1440" w:gutter="0" w:footer="0" w:header="0"/>
        </w:sectPr>
      </w:pPr>
    </w:p>
    <w:bookmarkStart w:id="75" w:name="page76"/>
    <w:bookmarkEnd w:id="75"/>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Guillaume Marie Jean Rutten, certify that:</w:t>
      </w:r>
    </w:p>
    <w:p>
      <w:pPr>
        <w:spacing w:after="0" w:line="77" w:lineRule="exact"/>
        <w:rPr>
          <w:sz w:val="20"/>
          <w:szCs w:val="20"/>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Amkor Technology, Inc.;</w:t>
      </w:r>
    </w:p>
    <w:p>
      <w:pPr>
        <w:spacing w:after="0" w:line="10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1"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980" w:hanging="324"/>
        <w:spacing w:after="0" w:line="282" w:lineRule="auto"/>
        <w:tabs>
          <w:tab w:leader="none" w:pos="968"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9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/s/ Guillaume Marie Jean Rutten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26035</wp:posOffset>
            </wp:positionV>
            <wp:extent cx="3522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522980" cy="8890"/>
                    </a:xfrm>
                    <a:prstGeom prst="rect">
                      <a:avLst/>
                    </a:prstGeom>
                    <a:noFill/>
                  </pic:spPr>
                </pic:pic>
              </a:graphicData>
            </a:graphic>
          </wp:anchor>
        </w:drawing>
      </w:r>
    </w:p>
    <w:p>
      <w:pPr>
        <w:spacing w:after="0" w:line="4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Guillaume Marie Jean Rutten</w:t>
      </w:r>
    </w:p>
    <w:p>
      <w:pPr>
        <w:spacing w:after="0" w:line="3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30, 2020</w:t>
      </w:r>
    </w:p>
    <w:p>
      <w:pPr>
        <w:sectPr>
          <w:pgSz w:w="11900" w:h="16838" w:orient="portrait"/>
          <w:cols w:equalWidth="0" w:num="1">
            <w:col w:w="11240"/>
          </w:cols>
          <w:pgMar w:left="320" w:top="1440" w:right="339" w:bottom="1440" w:gutter="0" w:footer="0" w:header="0"/>
        </w:sectPr>
      </w:pPr>
    </w:p>
    <w:bookmarkStart w:id="76" w:name="page77"/>
    <w:bookmarkEnd w:id="76"/>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Megan Faust, certify that:</w:t>
      </w:r>
    </w:p>
    <w:p>
      <w:pPr>
        <w:spacing w:after="0" w:line="90" w:lineRule="exact"/>
        <w:rPr>
          <w:sz w:val="20"/>
          <w:szCs w:val="20"/>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Amkor Technology, Inc.;</w:t>
      </w:r>
    </w:p>
    <w:p>
      <w:pPr>
        <w:spacing w:after="0" w:line="10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1"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980" w:hanging="324"/>
        <w:spacing w:after="0" w:line="282" w:lineRule="auto"/>
        <w:tabs>
          <w:tab w:leader="none" w:pos="968"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8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/s/ Megan Faust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17145</wp:posOffset>
            </wp:positionV>
            <wp:extent cx="35229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Megan Faust</w:t>
      </w:r>
    </w:p>
    <w:p>
      <w:pPr>
        <w:spacing w:after="0" w:line="1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Executive Vice President and</w:t>
      </w:r>
    </w:p>
    <w:p>
      <w:pPr>
        <w:ind w:left="57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30, 2020</w:t>
      </w:r>
    </w:p>
    <w:p>
      <w:pPr>
        <w:sectPr>
          <w:pgSz w:w="11900" w:h="16838" w:orient="portrait"/>
          <w:cols w:equalWidth="0" w:num="1">
            <w:col w:w="11240"/>
          </w:cols>
          <w:pgMar w:left="320" w:top="1440"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CHIEF EXECUTIVE OFFICER AND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Amkor Technology, Inc. (the “Company”) on Form 10-Q for the period ended September 30, 2020, as filed with the Securities and Exchange Commission on the date hereof (the “Report”), I, Guillaume Marie Jean Rutten, President and Chief Executive Officer of the Company, certify, pursuant to 18 U.S.C. Section 1350, as adopted pursuant to Section 906 of the Sarbanes-Oxley Act of 2002, that:</w:t>
      </w:r>
    </w:p>
    <w:p>
      <w:pPr>
        <w:spacing w:after="0" w:line="55" w:lineRule="exact"/>
        <w:rPr>
          <w:sz w:val="20"/>
          <w:szCs w:val="20"/>
          <w:color w:val="auto"/>
        </w:rPr>
      </w:pPr>
    </w:p>
    <w:p>
      <w:pPr>
        <w:ind w:left="920" w:hanging="264"/>
        <w:spacing w:after="0"/>
        <w:tabs>
          <w:tab w:leader="none" w:pos="9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90" w:lineRule="exact"/>
        <w:rPr>
          <w:rFonts w:ascii="Times New Roman" w:cs="Times New Roman" w:eastAsia="Times New Roman" w:hAnsi="Times New Roman"/>
          <w:sz w:val="18"/>
          <w:szCs w:val="18"/>
          <w:color w:val="auto"/>
        </w:rPr>
      </w:pPr>
    </w:p>
    <w:p>
      <w:pPr>
        <w:ind w:left="660" w:hanging="4"/>
        <w:spacing w:after="0" w:line="282" w:lineRule="auto"/>
        <w:tabs>
          <w:tab w:leader="none" w:pos="94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9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/s/ Guillaume Marie Jean Rutten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26035</wp:posOffset>
            </wp:positionV>
            <wp:extent cx="35229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4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Guillaume Marie Jean Rutten</w:t>
      </w:r>
    </w:p>
    <w:p>
      <w:pPr>
        <w:spacing w:after="0" w:line="3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30, 2020</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Amkor Technology, Inc. (the “Company”) on Form 10-Q for the period ended September 30, 2020, as filed with the Securities and Exchange Commission on the date hereof (the “Report”), I, Megan Faust, Corporate Vice President and Chief Financial Officer of the Company, certify, pursuant to 18 U.S.C. Section 1350, as adopted pursuant to Section 906 of the Sarbanes-Oxley Act of 2002, that:</w:t>
      </w:r>
    </w:p>
    <w:p>
      <w:pPr>
        <w:spacing w:after="0" w:line="41" w:lineRule="exact"/>
        <w:rPr>
          <w:sz w:val="20"/>
          <w:szCs w:val="20"/>
          <w:color w:val="auto"/>
        </w:rPr>
      </w:pPr>
    </w:p>
    <w:p>
      <w:pPr>
        <w:ind w:left="920" w:hanging="264"/>
        <w:spacing w:after="0"/>
        <w:tabs>
          <w:tab w:leader="none" w:pos="9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03" w:lineRule="exact"/>
        <w:rPr>
          <w:rFonts w:ascii="Times New Roman" w:cs="Times New Roman" w:eastAsia="Times New Roman" w:hAnsi="Times New Roman"/>
          <w:sz w:val="18"/>
          <w:szCs w:val="18"/>
          <w:color w:val="auto"/>
        </w:rPr>
      </w:pPr>
    </w:p>
    <w:p>
      <w:pPr>
        <w:ind w:left="660" w:hanging="4"/>
        <w:spacing w:after="0" w:line="282" w:lineRule="auto"/>
        <w:tabs>
          <w:tab w:leader="none" w:pos="94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8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/s/ Megan Faust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17145</wp:posOffset>
            </wp:positionV>
            <wp:extent cx="35229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Megan Faust</w:t>
      </w:r>
    </w:p>
    <w:p>
      <w:pPr>
        <w:spacing w:after="0" w:line="1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Executive Vice President and</w:t>
      </w:r>
    </w:p>
    <w:p>
      <w:pPr>
        <w:ind w:left="57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30, 2020</w:t>
      </w:r>
    </w:p>
    <w:sectPr>
      <w:pgSz w:w="11900" w:h="16838" w:orient="portrait"/>
      <w:cols w:equalWidth="0" w:num="1">
        <w:col w:w="11240"/>
      </w:cols>
      <w:pgMar w:left="320" w:top="12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1)"/>
      <w:numFmt w:val="decimal"/>
      <w:start w:val="1"/>
    </w:lvl>
  </w:abstractNum>
  <w:abstractNum w:abstractNumId="3">
    <w:nsid w:val="5072367"/>
    <w:multiLevelType w:val="hybridMultilevel"/>
    <w:lvl w:ilvl="0">
      <w:lvlJc w:val="left"/>
      <w:lvlText w:val="%1"/>
      <w:numFmt w:val="decimal"/>
      <w:start w:val="1"/>
    </w:lvl>
    <w:lvl w:ilvl="1">
      <w:lvlJc w:val="left"/>
      <w:lvlText w:val="(%2)"/>
      <w:numFmt w:val="decimal"/>
      <w:start w:val="1"/>
    </w:lvl>
  </w:abstractNum>
  <w:abstractNum w:abstractNumId="4">
    <w:nsid w:val="3804823E"/>
    <w:multiLevelType w:val="hybridMultilevel"/>
    <w:lvl w:ilvl="0">
      <w:lvlJc w:val="left"/>
      <w:lvlText w:val="%1."/>
      <w:numFmt w:val="decimal"/>
      <w:start w:val="7"/>
    </w:lvl>
    <w:lvl w:ilvl="1">
      <w:lvlJc w:val="left"/>
      <w:lvlText w:val="%2"/>
      <w:numFmt w:val="decimal"/>
      <w:start w:val="1"/>
    </w:lvl>
  </w:abstractNum>
  <w:abstractNum w:abstractNumId="5">
    <w:nsid w:val="77465F01"/>
    <w:multiLevelType w:val="hybridMultilevel"/>
    <w:lvl w:ilvl="0">
      <w:lvlJc w:val="left"/>
      <w:lvlText w:val="(%1)"/>
      <w:numFmt w:val="decimal"/>
      <w:start w:val="1"/>
    </w:lvl>
  </w:abstractNum>
  <w:abstractNum w:abstractNumId="6">
    <w:nsid w:val="7724C67E"/>
    <w:multiLevelType w:val="hybridMultilevel"/>
    <w:lvl w:ilvl="0">
      <w:lvlJc w:val="left"/>
      <w:lvlText w:val="%1"/>
      <w:numFmt w:val="decimal"/>
      <w:start w:val="1"/>
    </w:lvl>
    <w:lvl w:ilvl="1">
      <w:lvlJc w:val="left"/>
      <w:lvlText w:val="(%2)"/>
      <w:numFmt w:val="decimal"/>
      <w:start w:val="1"/>
    </w:lvl>
  </w:abstractNum>
  <w:abstractNum w:abstractNumId="7">
    <w:nsid w:val="5C482A97"/>
    <w:multiLevelType w:val="hybridMultilevel"/>
    <w:lvl w:ilvl="0">
      <w:lvlJc w:val="left"/>
      <w:lvlText w:val="%1."/>
      <w:numFmt w:val="decimal"/>
      <w:start w:val="8"/>
    </w:lvl>
    <w:lvl w:ilvl="1">
      <w:lvlJc w:val="left"/>
      <w:lvlText w:val="%2"/>
      <w:numFmt w:val="decimal"/>
      <w:start w:val="1"/>
    </w:lvl>
  </w:abstractNum>
  <w:abstractNum w:abstractNumId="8">
    <w:nsid w:val="2463B9EA"/>
    <w:multiLevelType w:val="hybridMultilevel"/>
    <w:lvl w:ilvl="0">
      <w:lvlJc w:val="left"/>
      <w:lvlText w:val="(%1)"/>
      <w:numFmt w:val="decimal"/>
      <w:start w:val="1"/>
    </w:lvl>
  </w:abstractNum>
  <w:abstractNum w:abstractNumId="9">
    <w:nsid w:val="5E884ADC"/>
    <w:multiLevelType w:val="hybridMultilevel"/>
    <w:lvl w:ilvl="0">
      <w:lvlJc w:val="left"/>
      <w:lvlText w:val="(%1)"/>
      <w:numFmt w:val="decimal"/>
      <w:start w:val="2"/>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1"/>
      <w:numFmt w:val="decimal"/>
      <w:start w:val="1"/>
    </w:lvl>
    <w:lvl w:ilvl="1">
      <w:lvlJc w:val="left"/>
      <w:lvlText w:val="(%2)"/>
      <w:numFmt w:val="decimal"/>
      <w:start w:val="1"/>
    </w:lvl>
  </w:abstractNum>
  <w:abstractNum w:abstractNumId="12">
    <w:nsid w:val="580BD78F"/>
    <w:multiLevelType w:val="hybridMultilevel"/>
    <w:lvl w:ilvl="0">
      <w:lvlJc w:val="left"/>
      <w:lvlText w:val="%1."/>
      <w:numFmt w:val="decimal"/>
      <w:start w:val="16"/>
    </w:lvl>
    <w:lvl w:ilvl="1">
      <w:lvlJc w:val="left"/>
      <w:lvlText w:val="%2"/>
      <w:numFmt w:val="decimal"/>
      <w:start w:val="1"/>
    </w:lvl>
  </w:abstractNum>
  <w:abstractNum w:abstractNumId="13">
    <w:nsid w:val="153EA438"/>
    <w:multiLevelType w:val="hybridMultilevel"/>
    <w:lvl w:ilvl="0">
      <w:lvlJc w:val="left"/>
      <w:lvlText w:val="(%1)"/>
      <w:numFmt w:val="decimal"/>
      <w:start w:val="1"/>
    </w:lvl>
  </w:abstractNum>
  <w:abstractNum w:abstractNumId="14">
    <w:nsid w:val="3855585C"/>
    <w:multiLevelType w:val="hybridMultilevel"/>
    <w:lvl w:ilvl="0">
      <w:lvlJc w:val="left"/>
      <w:lvlText w:val="•"/>
      <w:numFmt w:val="bullet"/>
      <w:start w:val="1"/>
    </w:lvl>
  </w:abstractNum>
  <w:abstractNum w:abstractNumId="15">
    <w:nsid w:val="70A64E2A"/>
    <w:multiLevelType w:val="hybridMultilevel"/>
    <w:lvl w:ilvl="0">
      <w:lvlJc w:val="left"/>
      <w:lvlText w:val="•"/>
      <w:numFmt w:val="bullet"/>
      <w:start w:val="1"/>
    </w:lvl>
  </w:abstractNum>
  <w:abstractNum w:abstractNumId="16">
    <w:nsid w:val="6A2342EC"/>
    <w:multiLevelType w:val="hybridMultilevel"/>
    <w:lvl w:ilvl="0">
      <w:lvlJc w:val="left"/>
      <w:lvlText w:val="•"/>
      <w:numFmt w:val="bullet"/>
      <w:start w:val="1"/>
    </w:lvl>
  </w:abstractNum>
  <w:abstractNum w:abstractNumId="17">
    <w:nsid w:val="2A487CB0"/>
    <w:multiLevelType w:val="hybridMultilevel"/>
    <w:lvl w:ilvl="0">
      <w:lvlJc w:val="left"/>
      <w:lvlText w:val="•"/>
      <w:numFmt w:val="bullet"/>
      <w:start w:val="1"/>
    </w:lvl>
  </w:abstractNum>
  <w:abstractNum w:abstractNumId="18">
    <w:nsid w:val="1D4ED43B"/>
    <w:multiLevelType w:val="hybridMultilevel"/>
    <w:lvl w:ilvl="0">
      <w:lvlJc w:val="left"/>
      <w:lvlText w:val="•"/>
      <w:numFmt w:val="bullet"/>
      <w:start w:val="1"/>
    </w:lvl>
  </w:abstractNum>
  <w:abstractNum w:abstractNumId="19">
    <w:nsid w:val="725A06FB"/>
    <w:multiLevelType w:val="hybridMultilevel"/>
    <w:lvl w:ilvl="0">
      <w:lvlJc w:val="left"/>
      <w:lvlText w:val="•"/>
      <w:numFmt w:val="bullet"/>
      <w:start w:val="1"/>
    </w:lvl>
  </w:abstractNum>
  <w:abstractNum w:abstractNumId="20">
    <w:nsid w:val="2CD89A32"/>
    <w:multiLevelType w:val="hybridMultilevel"/>
    <w:lvl w:ilvl="0">
      <w:lvlJc w:val="left"/>
      <w:lvlText w:val="•"/>
      <w:numFmt w:val="bullet"/>
      <w:start w:val="1"/>
    </w:lvl>
  </w:abstractNum>
  <w:abstractNum w:abstractNumId="21">
    <w:nsid w:val="57E4CCAF"/>
    <w:multiLevelType w:val="hybridMultilevel"/>
    <w:lvl w:ilvl="0">
      <w:lvlJc w:val="left"/>
      <w:lvlText w:val="•"/>
      <w:numFmt w:val="bullet"/>
      <w:start w:val="1"/>
    </w:lvl>
  </w:abstractNum>
  <w:abstractNum w:abstractNumId="22">
    <w:nsid w:val="7A6D8D3C"/>
    <w:multiLevelType w:val="hybridMultilevel"/>
    <w:lvl w:ilvl="0">
      <w:lvlJc w:val="left"/>
      <w:lvlText w:val="•"/>
      <w:numFmt w:val="bullet"/>
      <w:start w:val="1"/>
    </w:lvl>
  </w:abstractNum>
  <w:abstractNum w:abstractNumId="23">
    <w:nsid w:val="4B588F54"/>
    <w:multiLevelType w:val="hybridMultilevel"/>
    <w:lvl w:ilvl="0">
      <w:lvlJc w:val="left"/>
      <w:lvlText w:val="•"/>
      <w:numFmt w:val="bullet"/>
      <w:start w:val="1"/>
    </w:lvl>
  </w:abstractNum>
  <w:abstractNum w:abstractNumId="24">
    <w:nsid w:val="542289EC"/>
    <w:multiLevelType w:val="hybridMultilevel"/>
    <w:lvl w:ilvl="0">
      <w:lvlJc w:val="left"/>
      <w:lvlText w:val="•"/>
      <w:numFmt w:val="bullet"/>
      <w:start w:val="1"/>
    </w:lvl>
  </w:abstractNum>
  <w:abstractNum w:abstractNumId="25">
    <w:nsid w:val="6DE91B18"/>
    <w:multiLevelType w:val="hybridMultilevel"/>
    <w:lvl w:ilvl="0">
      <w:lvlJc w:val="left"/>
      <w:lvlText w:val="•"/>
      <w:numFmt w:val="bullet"/>
      <w:start w:val="1"/>
    </w:lvl>
  </w:abstractNum>
  <w:abstractNum w:abstractNumId="26">
    <w:nsid w:val="38437FDB"/>
    <w:multiLevelType w:val="hybridMultilevel"/>
    <w:lvl w:ilvl="0">
      <w:lvlJc w:val="left"/>
      <w:lvlText w:val="•"/>
      <w:numFmt w:val="bullet"/>
      <w:start w:val="1"/>
    </w:lvl>
  </w:abstractNum>
  <w:abstractNum w:abstractNumId="27">
    <w:nsid w:val="7644A45C"/>
    <w:multiLevelType w:val="hybridMultilevel"/>
    <w:lvl w:ilvl="0">
      <w:lvlJc w:val="left"/>
      <w:lvlText w:val="•"/>
      <w:numFmt w:val="bullet"/>
      <w:start w:val="1"/>
    </w:lvl>
  </w:abstractNum>
  <w:abstractNum w:abstractNumId="28">
    <w:nsid w:val="32FFF902"/>
    <w:multiLevelType w:val="hybridMultilevel"/>
    <w:lvl w:ilvl="0">
      <w:lvlJc w:val="left"/>
      <w:lvlText w:val="•"/>
      <w:numFmt w:val="bullet"/>
      <w:start w:val="1"/>
    </w:lvl>
  </w:abstractNum>
  <w:abstractNum w:abstractNumId="29">
    <w:nsid w:val="684A481A"/>
    <w:multiLevelType w:val="hybridMultilevel"/>
    <w:lvl w:ilvl="0">
      <w:lvlJc w:val="left"/>
      <w:lvlText w:val="(%1)"/>
      <w:numFmt w:val="lowerLetter"/>
      <w:start w:val="1"/>
    </w:lvl>
  </w:abstractNum>
  <w:abstractNum w:abstractNumId="30">
    <w:nsid w:val="579478FE"/>
    <w:multiLevelType w:val="hybridMultilevel"/>
    <w:lvl w:ilvl="0">
      <w:lvlJc w:val="left"/>
      <w:lvlText w:val="%1."/>
      <w:numFmt w:val="decimal"/>
      <w:start w:val="1"/>
    </w:lvl>
  </w:abstractNum>
  <w:abstractNum w:abstractNumId="31">
    <w:nsid w:val="749ABB43"/>
    <w:multiLevelType w:val="hybridMultilevel"/>
    <w:lvl w:ilvl="0">
      <w:lvlJc w:val="left"/>
      <w:lvlText w:val="%1."/>
      <w:numFmt w:val="decimal"/>
      <w:start w:val="2"/>
    </w:lvl>
  </w:abstractNum>
  <w:abstractNum w:abstractNumId="32">
    <w:nsid w:val="3DC240FB"/>
    <w:multiLevelType w:val="hybridMultilevel"/>
    <w:lvl w:ilvl="0">
      <w:lvlJc w:val="left"/>
      <w:lvlText w:val="%1."/>
      <w:numFmt w:val="decimal"/>
      <w:start w:val="3"/>
    </w:lvl>
    <w:lvl w:ilvl="1">
      <w:lvlJc w:val="left"/>
      <w:lvlText w:val="%2."/>
      <w:numFmt w:val="decimal"/>
      <w:start w:val="1"/>
    </w:lvl>
  </w:abstractNum>
  <w:abstractNum w:abstractNumId="33">
    <w:nsid w:val="1BA026FA"/>
    <w:multiLevelType w:val="hybridMultilevel"/>
    <w:lvl w:ilvl="0">
      <w:lvlJc w:val="left"/>
      <w:lvlText w:val="%1."/>
      <w:numFmt w:val="decimal"/>
      <w:start w:val="4"/>
    </w:lvl>
  </w:abstractNum>
  <w:abstractNum w:abstractNumId="34">
    <w:nsid w:val="79A1DEAA"/>
    <w:multiLevelType w:val="hybridMultilevel"/>
    <w:lvl w:ilvl="0">
      <w:lvlJc w:val="left"/>
      <w:lvlText w:val="%1."/>
      <w:numFmt w:val="decimal"/>
      <w:start w:val="6"/>
    </w:lvl>
    <w:lvl w:ilvl="1">
      <w:lvlJc w:val="left"/>
      <w:lvlText w:val="%2."/>
      <w:numFmt w:val="decimal"/>
      <w:start w:val="1"/>
    </w:lvl>
  </w:abstractNum>
  <w:abstractNum w:abstractNumId="35">
    <w:nsid w:val="75C6C33A"/>
    <w:multiLevelType w:val="hybridMultilevel"/>
    <w:lvl w:ilvl="0">
      <w:lvlJc w:val="left"/>
      <w:lvlText w:val="%1."/>
      <w:numFmt w:val="decimal"/>
      <w:start w:val="3"/>
    </w:lvl>
  </w:abstractNum>
  <w:abstractNum w:abstractNumId="36">
    <w:nsid w:val="12E685FB"/>
    <w:multiLevelType w:val="hybridMultilevel"/>
    <w:lvl w:ilvl="0">
      <w:lvlJc w:val="left"/>
      <w:lvlText w:val="%1."/>
      <w:numFmt w:val="decimal"/>
      <w:start w:val="7"/>
    </w:lvl>
    <w:lvl w:ilvl="1">
      <w:lvlJc w:val="left"/>
      <w:lvlText w:val="%2."/>
      <w:numFmt w:val="decimal"/>
      <w:start w:val="1"/>
    </w:lvl>
  </w:abstractNum>
  <w:abstractNum w:abstractNumId="37">
    <w:nsid w:val="70C6A529"/>
    <w:multiLevelType w:val="hybridMultilevel"/>
    <w:lvl w:ilvl="0">
      <w:lvlJc w:val="left"/>
      <w:lvlText w:val="%1"/>
      <w:numFmt w:val="decimal"/>
      <w:start w:val="1"/>
    </w:lvl>
    <w:lvl w:ilvl="1">
      <w:lvlJc w:val="left"/>
      <w:lvlText w:val="%2."/>
      <w:numFmt w:val="decimal"/>
      <w:start w:val="3"/>
    </w:lvl>
  </w:abstractNum>
  <w:abstractNum w:abstractNumId="38">
    <w:nsid w:val="520EEDD1"/>
    <w:multiLevelType w:val="hybridMultilevel"/>
    <w:lvl w:ilvl="0">
      <w:lvlJc w:val="left"/>
      <w:lvlText w:val="%1."/>
      <w:numFmt w:val="decimal"/>
      <w:start w:val="8"/>
    </w:lvl>
    <w:lvl w:ilvl="1">
      <w:lvlJc w:val="left"/>
      <w:lvlText w:val="%2"/>
      <w:numFmt w:val="decimal"/>
      <w:start w:val="1"/>
    </w:lvl>
  </w:abstractNum>
  <w:abstractNum w:abstractNumId="39">
    <w:nsid w:val="374A3FE6"/>
    <w:multiLevelType w:val="hybridMultilevel"/>
    <w:lvl w:ilvl="0">
      <w:lvlJc w:val="left"/>
      <w:lvlText w:val="%1."/>
      <w:numFmt w:val="decimal"/>
      <w:start w:val="9"/>
    </w:lvl>
  </w:abstractNum>
  <w:abstractNum w:abstractNumId="40">
    <w:nsid w:val="4F4EF005"/>
    <w:multiLevelType w:val="hybridMultilevel"/>
    <w:lvl w:ilvl="0">
      <w:lvlJc w:val="left"/>
      <w:lvlText w:val="%1."/>
      <w:numFmt w:val="decimal"/>
      <w:start w:val="14"/>
    </w:lvl>
  </w:abstractNum>
  <w:abstractNum w:abstractNumId="41">
    <w:nsid w:val="23F9C13C"/>
    <w:multiLevelType w:val="hybridMultilevel"/>
    <w:lvl w:ilvl="0">
      <w:lvlJc w:val="left"/>
      <w:lvlText w:val="%1."/>
      <w:numFmt w:val="decimal"/>
      <w:start w:val="19"/>
    </w:lvl>
  </w:abstractNum>
  <w:abstractNum w:abstractNumId="42">
    <w:nsid w:val="649BB77C"/>
    <w:multiLevelType w:val="hybridMultilevel"/>
    <w:lvl w:ilvl="0">
      <w:lvlJc w:val="left"/>
      <w:lvlText w:val="%1."/>
      <w:numFmt w:val="decimal"/>
      <w:start w:val="25"/>
    </w:lvl>
  </w:abstractNum>
  <w:abstractNum w:abstractNumId="43">
    <w:nsid w:val="275AC794"/>
    <w:multiLevelType w:val="hybridMultilevel"/>
    <w:lvl w:ilvl="0">
      <w:lvlJc w:val="left"/>
      <w:lvlText w:val="%1."/>
      <w:numFmt w:val="decimal"/>
      <w:start w:val="1"/>
    </w:lvl>
    <w:lvl w:ilvl="1">
      <w:lvlJc w:val="left"/>
      <w:lvlText w:val="%2."/>
      <w:numFmt w:val="decimal"/>
      <w:start w:val="1"/>
    </w:lvl>
  </w:abstractNum>
  <w:abstractNum w:abstractNumId="44">
    <w:nsid w:val="39386575"/>
    <w:multiLevelType w:val="hybridMultilevel"/>
    <w:lvl w:ilvl="0">
      <w:lvlJc w:val="left"/>
      <w:lvlText w:val="%1"/>
      <w:numFmt w:val="decimal"/>
      <w:start w:val="1"/>
    </w:lvl>
    <w:lvl w:ilvl="1">
      <w:lvlJc w:val="left"/>
      <w:lvlText w:val="%2."/>
      <w:numFmt w:val="decimal"/>
      <w:start w:val="6"/>
    </w:lvl>
    <w:lvl w:ilvl="2">
      <w:lvlJc w:val="left"/>
      <w:lvlText w:val="%3"/>
      <w:numFmt w:val="decimal"/>
      <w:start w:val="1"/>
    </w:lvl>
  </w:abstractNum>
  <w:abstractNum w:abstractNumId="45">
    <w:nsid w:val="1CF10FD8"/>
    <w:multiLevelType w:val="hybridMultilevel"/>
    <w:lvl w:ilvl="0">
      <w:lvlJc w:val="left"/>
      <w:lvlText w:val="%1."/>
      <w:numFmt w:val="decimal"/>
      <w:start w:val="2"/>
    </w:lvl>
    <w:lvl w:ilvl="1">
      <w:lvlJc w:val="left"/>
      <w:lvlText w:val="%2."/>
      <w:numFmt w:val="decimal"/>
      <w:start w:val="1"/>
    </w:lvl>
    <w:lvl w:ilvl="2">
      <w:lvlJc w:val="left"/>
      <w:lvlText w:val="%3."/>
      <w:numFmt w:val="decimal"/>
      <w:start w:val="2"/>
    </w:lvl>
  </w:abstractNum>
  <w:abstractNum w:abstractNumId="46">
    <w:nsid w:val="180115BE"/>
    <w:multiLevelType w:val="hybridMultilevel"/>
    <w:lvl w:ilvl="0">
      <w:lvlJc w:val="left"/>
      <w:lvlText w:val="%1"/>
      <w:numFmt w:val="decimal"/>
      <w:start w:val="1"/>
    </w:lvl>
    <w:lvl w:ilvl="1">
      <w:lvlJc w:val="left"/>
      <w:lvlText w:val="%2."/>
      <w:numFmt w:val="decimal"/>
      <w:start w:val="7"/>
    </w:lvl>
  </w:abstractNum>
  <w:abstractNum w:abstractNumId="47">
    <w:nsid w:val="235BA861"/>
    <w:multiLevelType w:val="hybridMultilevel"/>
    <w:lvl w:ilvl="0">
      <w:lvlJc w:val="left"/>
      <w:lvlText w:val="%1."/>
      <w:numFmt w:val="decimal"/>
      <w:start w:val="3"/>
    </w:lvl>
    <w:lvl w:ilvl="1">
      <w:lvlJc w:val="left"/>
      <w:lvlText w:val="%2"/>
      <w:numFmt w:val="decimal"/>
      <w:start w:val="1"/>
    </w:lvl>
  </w:abstractNum>
  <w:abstractNum w:abstractNumId="48">
    <w:nsid w:val="47398C89"/>
    <w:multiLevelType w:val="hybridMultilevel"/>
    <w:lvl w:ilvl="0">
      <w:lvlJc w:val="left"/>
      <w:lvlText w:val="%1."/>
      <w:numFmt w:val="decimal"/>
      <w:start w:val="1"/>
    </w:lvl>
  </w:abstractNum>
  <w:abstractNum w:abstractNumId="49">
    <w:nsid w:val="354FE9F9"/>
    <w:multiLevelType w:val="hybridMultilevel"/>
    <w:lvl w:ilvl="0">
      <w:lvlJc w:val="left"/>
      <w:lvlText w:val="%1."/>
      <w:numFmt w:val="decimal"/>
      <w:start w:val="1"/>
    </w:lvl>
  </w:abstractNum>
  <w:abstractNum w:abstractNumId="50">
    <w:nsid w:val="15B5AF5C"/>
    <w:multiLevelType w:val="hybridMultilevel"/>
    <w:lvl w:ilvl="0">
      <w:lvlJc w:val="left"/>
      <w:lvlText w:val="%1."/>
      <w:numFmt w:val="decimal"/>
      <w:start w:val="7"/>
    </w:lvl>
  </w:abstractNum>
  <w:abstractNum w:abstractNumId="51">
    <w:nsid w:val="741226BB"/>
    <w:multiLevelType w:val="hybridMultilevel"/>
    <w:lvl w:ilvl="0">
      <w:lvlJc w:val="left"/>
      <w:lvlText w:val="%1."/>
      <w:numFmt w:val="decimal"/>
      <w:start w:val="3"/>
    </w:lvl>
  </w:abstractNum>
  <w:abstractNum w:abstractNumId="52">
    <w:nsid w:val="D34B6A8"/>
    <w:multiLevelType w:val="hybridMultilevel"/>
    <w:lvl w:ilvl="0">
      <w:lvlJc w:val="left"/>
      <w:lvlText w:val="%1."/>
      <w:numFmt w:val="decimal"/>
      <w:start w:val="5"/>
    </w:lvl>
  </w:abstractNum>
  <w:abstractNum w:abstractNumId="53">
    <w:nsid w:val="10233C99"/>
    <w:multiLevelType w:val="hybridMultilevel"/>
    <w:lvl w:ilvl="0">
      <w:lvlJc w:val="left"/>
      <w:lvlText w:val="%1."/>
      <w:numFmt w:val="decimal"/>
      <w:start w:val="1"/>
    </w:lvl>
  </w:abstractNum>
  <w:abstractNum w:abstractNumId="54">
    <w:nsid w:val="3F6AB60F"/>
    <w:multiLevelType w:val="hybridMultilevel"/>
    <w:lvl w:ilvl="0">
      <w:lvlJc w:val="left"/>
      <w:lvlText w:val="%1."/>
      <w:numFmt w:val="decimal"/>
      <w:start w:val="7"/>
    </w:lvl>
  </w:abstractNum>
  <w:abstractNum w:abstractNumId="55">
    <w:nsid w:val="61574095"/>
    <w:multiLevelType w:val="hybridMultilevel"/>
    <w:lvl w:ilvl="0">
      <w:lvlJc w:val="left"/>
      <w:lvlText w:val="%1."/>
      <w:numFmt w:val="decimal"/>
      <w:start w:val="8"/>
    </w:lvl>
  </w:abstractNum>
  <w:abstractNum w:abstractNumId="56">
    <w:nsid w:val="7E0C57B1"/>
    <w:multiLevelType w:val="hybridMultilevel"/>
    <w:lvl w:ilvl="0">
      <w:lvlJc w:val="left"/>
      <w:lvlText w:val="%1"/>
      <w:numFmt w:val="lowerLetter"/>
      <w:start w:val="1"/>
    </w:lvl>
    <w:lvl w:ilvl="1">
      <w:lvlJc w:val="left"/>
      <w:lvlText w:val="%2."/>
      <w:numFmt w:val="decimal"/>
      <w:start w:val="14"/>
    </w:lvl>
  </w:abstractNum>
  <w:abstractNum w:abstractNumId="57">
    <w:nsid w:val="77AE35EB"/>
    <w:multiLevelType w:val="hybridMultilevel"/>
    <w:lvl w:ilvl="0">
      <w:lvlJc w:val="left"/>
      <w:lvlText w:val="(%1)"/>
      <w:numFmt w:val="lowerLetter"/>
      <w:start w:val="1"/>
    </w:lvl>
    <w:lvl w:ilvl="1">
      <w:lvlJc w:val="left"/>
      <w:lvlText w:val="%2."/>
      <w:numFmt w:val="decimal"/>
      <w:start w:val="15"/>
    </w:lvl>
  </w:abstractNum>
  <w:abstractNum w:abstractNumId="58">
    <w:nsid w:val="579BE4F1"/>
    <w:multiLevelType w:val="hybridMultilevel"/>
    <w:lvl w:ilvl="0">
      <w:lvlJc w:val="left"/>
      <w:lvlText w:val="%1."/>
      <w:numFmt w:val="decimal"/>
      <w:start w:val="21"/>
    </w:lvl>
  </w:abstractNum>
  <w:abstractNum w:abstractNumId="59">
    <w:nsid w:val="310C50B3"/>
    <w:multiLevelType w:val="hybridMultilevel"/>
    <w:lvl w:ilvl="0">
      <w:lvlJc w:val="left"/>
      <w:lvlText w:val="%1."/>
      <w:numFmt w:val="decimal"/>
      <w:start w:val="1"/>
    </w:lvl>
    <w:lvl w:ilvl="1">
      <w:lvlJc w:val="left"/>
      <w:lvlText w:val="%2."/>
      <w:numFmt w:val="decimal"/>
      <w:start w:val="1"/>
    </w:lvl>
  </w:abstractNum>
  <w:abstractNum w:abstractNumId="60">
    <w:nsid w:val="5FF87E05"/>
    <w:multiLevelType w:val="hybridMultilevel"/>
    <w:lvl w:ilvl="0">
      <w:lvlJc w:val="left"/>
      <w:lvlText w:val="%1"/>
      <w:numFmt w:val="lowerLetter"/>
      <w:start w:val="1"/>
    </w:lvl>
    <w:lvl w:ilvl="1">
      <w:lvlJc w:val="left"/>
      <w:lvlText w:val="%2."/>
      <w:numFmt w:val="decimal"/>
      <w:start w:val="7"/>
    </w:lvl>
  </w:abstractNum>
  <w:abstractNum w:abstractNumId="61">
    <w:nsid w:val="2F305DEF"/>
    <w:multiLevelType w:val="hybridMultilevel"/>
    <w:lvl w:ilvl="0">
      <w:lvlJc w:val="left"/>
      <w:lvlText w:val="%1."/>
      <w:numFmt w:val="lowerLetter"/>
      <w:start w:val="1"/>
    </w:lvl>
    <w:lvl w:ilvl="1">
      <w:lvlJc w:val="left"/>
      <w:lvlText w:val="%2."/>
      <w:numFmt w:val="decimal"/>
      <w:start w:val="1"/>
    </w:lvl>
  </w:abstractNum>
  <w:abstractNum w:abstractNumId="62">
    <w:nsid w:val="25A70BF7"/>
    <w:multiLevelType w:val="hybridMultilevel"/>
    <w:lvl w:ilvl="0">
      <w:lvlJc w:val="left"/>
      <w:lvlText w:val="%1."/>
      <w:numFmt w:val="decimal"/>
      <w:start w:val="3"/>
    </w:lvl>
  </w:abstractNum>
  <w:abstractNum w:abstractNumId="63">
    <w:nsid w:val="1DBABF00"/>
    <w:multiLevelType w:val="hybridMultilevel"/>
    <w:lvl w:ilvl="0">
      <w:lvlJc w:val="left"/>
      <w:lvlText w:val="%1."/>
      <w:numFmt w:val="decimal"/>
      <w:start w:val="4"/>
    </w:lvl>
  </w:abstractNum>
  <w:abstractNum w:abstractNumId="64">
    <w:nsid w:val="4AD084E9"/>
    <w:multiLevelType w:val="hybridMultilevel"/>
    <w:lvl w:ilvl="0">
      <w:lvlJc w:val="left"/>
      <w:lvlText w:val="%1."/>
      <w:numFmt w:val="decimal"/>
      <w:start w:val="1"/>
    </w:lvl>
    <w:lvl w:ilvl="1">
      <w:lvlJc w:val="left"/>
      <w:lvlText w:val="%2)"/>
      <w:numFmt w:val="lowerLetter"/>
      <w:start w:val="1"/>
    </w:lvl>
  </w:abstractNum>
  <w:abstractNum w:abstractNumId="65">
    <w:nsid w:val="1F48EAA1"/>
    <w:multiLevelType w:val="hybridMultilevel"/>
    <w:lvl w:ilvl="0">
      <w:lvlJc w:val="left"/>
      <w:lvlText w:val="%1."/>
      <w:numFmt w:val="decimal"/>
      <w:start w:val="1"/>
    </w:lvl>
    <w:lvl w:ilvl="1">
      <w:lvlJc w:val="left"/>
      <w:lvlText w:val="%2)"/>
      <w:numFmt w:val="lowerLetter"/>
      <w:start w:val="1"/>
    </w:lvl>
  </w:abstractNum>
  <w:abstractNum w:abstractNumId="66">
    <w:nsid w:val="1381823A"/>
    <w:multiLevelType w:val="hybridMultilevel"/>
    <w:lvl w:ilvl="0">
      <w:lvlJc w:val="left"/>
      <w:lvlText w:val="(%1)"/>
      <w:numFmt w:val="decimal"/>
      <w:start w:val="1"/>
    </w:lvl>
  </w:abstractNum>
  <w:abstractNum w:abstractNumId="67">
    <w:nsid w:val="5DB70A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2020-10-30T14:04:43Z</dcterms:created>
  <dcterms:modified xsi:type="dcterms:W3CDTF">2020-10-30T14:04:43Z</dcterms:modified>
</cp:coreProperties>
</file>