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940" w:type="dxa"/>
            <w:vAlign w:val="bottom"/>
          </w:tcPr>
          <w:p>
            <w:pPr>
              <w:jc w:val="center"/>
              <w:ind w:left="665"/>
              <w:spacing w:after="0"/>
              <w:rPr>
                <w:sz w:val="20"/>
                <w:szCs w:val="20"/>
                <w:color w:val="auto"/>
              </w:rPr>
            </w:pPr>
            <w:r>
              <w:rPr>
                <w:rFonts w:ascii="Arial" w:cs="Arial" w:eastAsia="Arial" w:hAnsi="Arial"/>
                <w:sz w:val="20"/>
                <w:szCs w:val="20"/>
                <w:b w:val="1"/>
                <w:bCs w:val="1"/>
                <w:color w:val="auto"/>
                <w:w w:val="96"/>
              </w:rPr>
              <w:t>UNITED STATES</w:t>
            </w:r>
          </w:p>
        </w:tc>
        <w:tc>
          <w:tcPr>
            <w:tcW w:w="1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960" w:type="dxa"/>
            <w:vAlign w:val="bottom"/>
            <w:gridSpan w:val="2"/>
          </w:tcPr>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940" w:type="dxa"/>
            <w:vAlign w:val="bottom"/>
          </w:tcPr>
          <w:p>
            <w:pPr>
              <w:jc w:val="center"/>
              <w:ind w:left="685"/>
              <w:spacing w:after="0"/>
              <w:rPr>
                <w:sz w:val="20"/>
                <w:szCs w:val="20"/>
                <w:color w:val="auto"/>
              </w:rPr>
            </w:pPr>
            <w:r>
              <w:rPr>
                <w:rFonts w:ascii="Arial" w:cs="Arial" w:eastAsia="Arial" w:hAnsi="Arial"/>
                <w:sz w:val="20"/>
                <w:szCs w:val="20"/>
                <w:b w:val="1"/>
                <w:bCs w:val="1"/>
                <w:color w:val="auto"/>
                <w:w w:val="89"/>
              </w:rPr>
              <w:t>Washington, D.C. 20549</w:t>
            </w:r>
          </w:p>
        </w:tc>
        <w:tc>
          <w:tcPr>
            <w:tcW w:w="10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940" w:type="dxa"/>
            <w:vAlign w:val="bottom"/>
          </w:tcPr>
          <w:p>
            <w:pPr>
              <w:jc w:val="center"/>
              <w:ind w:left="685"/>
              <w:spacing w:after="0"/>
              <w:rPr>
                <w:sz w:val="20"/>
                <w:szCs w:val="20"/>
                <w:color w:val="auto"/>
              </w:rPr>
            </w:pPr>
            <w:r>
              <w:rPr>
                <w:rFonts w:ascii="Arial" w:cs="Arial" w:eastAsia="Arial" w:hAnsi="Arial"/>
                <w:sz w:val="25"/>
                <w:szCs w:val="25"/>
                <w:b w:val="1"/>
                <w:bCs w:val="1"/>
                <w:color w:val="auto"/>
                <w:w w:val="97"/>
              </w:rPr>
              <w:t>Form 10-K</w:t>
            </w:r>
          </w:p>
        </w:tc>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8280" w:type="dxa"/>
            <w:vAlign w:val="bottom"/>
            <w:gridSpan w:val="3"/>
          </w:tcPr>
          <w:p>
            <w:pPr>
              <w:jc w:val="center"/>
              <w:ind w:left="2995"/>
              <w:spacing w:after="0"/>
              <w:rPr>
                <w:sz w:val="20"/>
                <w:szCs w:val="20"/>
                <w:color w:val="auto"/>
              </w:rPr>
            </w:pPr>
            <w:r>
              <w:rPr>
                <w:rFonts w:ascii="Arial" w:cs="Arial" w:eastAsia="Arial" w:hAnsi="Arial"/>
                <w:sz w:val="20"/>
                <w:szCs w:val="20"/>
                <w:b w:val="1"/>
                <w:bCs w:val="1"/>
                <w:color w:val="auto"/>
                <w:w w:val="97"/>
              </w:rPr>
              <w:t>ANNUAL REPORT PURSUANT TO SECTION 13 OR 15(d)</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gridSpan w:val="2"/>
          </w:tcPr>
          <w:p>
            <w:pPr>
              <w:jc w:val="center"/>
              <w:ind w:right="179"/>
              <w:spacing w:after="0"/>
              <w:rPr>
                <w:sz w:val="20"/>
                <w:szCs w:val="20"/>
                <w:color w:val="auto"/>
              </w:rPr>
            </w:pPr>
            <w:r>
              <w:rPr>
                <w:rFonts w:ascii="Arial" w:cs="Arial" w:eastAsia="Arial" w:hAnsi="Arial"/>
                <w:sz w:val="20"/>
                <w:szCs w:val="20"/>
                <w:b w:val="1"/>
                <w:bCs w:val="1"/>
                <w:color w:val="auto"/>
                <w:w w:val="98"/>
              </w:rPr>
              <w:t>OF THE SECURITIES EXCHANGE ACT OF 1934</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60" w:type="dxa"/>
            <w:vAlign w:val="bottom"/>
            <w:gridSpan w:val="2"/>
          </w:tcPr>
          <w:p>
            <w:pPr>
              <w:jc w:val="center"/>
              <w:ind w:right="179"/>
              <w:spacing w:after="0"/>
              <w:rPr>
                <w:sz w:val="20"/>
                <w:szCs w:val="20"/>
                <w:color w:val="auto"/>
              </w:rPr>
            </w:pPr>
            <w:r>
              <w:rPr>
                <w:rFonts w:ascii="Arial" w:cs="Arial" w:eastAsia="Arial" w:hAnsi="Arial"/>
                <w:sz w:val="18"/>
                <w:szCs w:val="18"/>
                <w:b w:val="1"/>
                <w:bCs w:val="1"/>
                <w:color w:val="auto"/>
                <w:w w:val="90"/>
              </w:rPr>
              <w:t>For the Fiscal Year Ended December 31, 2019</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940" w:type="dxa"/>
            <w:vAlign w:val="bottom"/>
          </w:tcPr>
          <w:p>
            <w:pPr>
              <w:jc w:val="center"/>
              <w:ind w:left="685"/>
              <w:spacing w:after="0"/>
              <w:rPr>
                <w:sz w:val="20"/>
                <w:szCs w:val="20"/>
                <w:color w:val="auto"/>
              </w:rPr>
            </w:pPr>
            <w:r>
              <w:rPr>
                <w:rFonts w:ascii="Arial" w:cs="Arial" w:eastAsia="Arial" w:hAnsi="Arial"/>
                <w:sz w:val="18"/>
                <w:szCs w:val="18"/>
                <w:b w:val="1"/>
                <w:bCs w:val="1"/>
                <w:color w:val="auto"/>
                <w:w w:val="90"/>
              </w:rPr>
              <w:t>Commission File Number 000-29472</w:t>
            </w:r>
          </w:p>
        </w:tc>
        <w:tc>
          <w:tcPr>
            <w:tcW w:w="10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60" w:type="dxa"/>
            <w:vAlign w:val="bottom"/>
            <w:gridSpan w:val="2"/>
          </w:tcPr>
          <w:p>
            <w:pPr>
              <w:jc w:val="center"/>
              <w:ind w:right="159"/>
              <w:spacing w:after="0"/>
              <w:rPr>
                <w:sz w:val="20"/>
                <w:szCs w:val="20"/>
                <w:color w:val="auto"/>
              </w:rPr>
            </w:pPr>
            <w:r>
              <w:rPr>
                <w:rFonts w:ascii="Arial" w:cs="Arial" w:eastAsia="Arial" w:hAnsi="Arial"/>
                <w:sz w:val="36"/>
                <w:szCs w:val="36"/>
                <w:b w:val="1"/>
                <w:bCs w:val="1"/>
                <w:color w:val="auto"/>
                <w:w w:val="90"/>
              </w:rPr>
              <w:t>Amkor Technology, Inc.</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940" w:type="dxa"/>
            <w:vAlign w:val="bottom"/>
          </w:tcPr>
          <w:p>
            <w:pPr>
              <w:jc w:val="center"/>
              <w:ind w:left="665"/>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10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3320" w:type="dxa"/>
            <w:vAlign w:val="bottom"/>
          </w:tcPr>
          <w:p>
            <w:pPr>
              <w:jc w:val="center"/>
              <w:ind w:left="235"/>
              <w:spacing w:after="0"/>
              <w:rPr>
                <w:sz w:val="20"/>
                <w:szCs w:val="20"/>
                <w:color w:val="auto"/>
              </w:rPr>
            </w:pPr>
            <w:r>
              <w:rPr>
                <w:rFonts w:ascii="Arial" w:cs="Arial" w:eastAsia="Arial" w:hAnsi="Arial"/>
                <w:sz w:val="16"/>
                <w:szCs w:val="16"/>
                <w:b w:val="1"/>
                <w:bCs w:val="1"/>
                <w:color w:val="auto"/>
                <w:w w:val="91"/>
              </w:rPr>
              <w:t>Delaware</w:t>
            </w:r>
          </w:p>
        </w:tc>
        <w:tc>
          <w:tcPr>
            <w:tcW w:w="3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80" w:type="dxa"/>
            <w:vAlign w:val="bottom"/>
          </w:tcPr>
          <w:p>
            <w:pPr>
              <w:jc w:val="center"/>
              <w:ind w:right="379"/>
              <w:spacing w:after="0"/>
              <w:rPr>
                <w:sz w:val="20"/>
                <w:szCs w:val="20"/>
                <w:color w:val="auto"/>
              </w:rPr>
            </w:pPr>
            <w:r>
              <w:rPr>
                <w:rFonts w:ascii="Arial" w:cs="Arial" w:eastAsia="Arial" w:hAnsi="Arial"/>
                <w:sz w:val="16"/>
                <w:szCs w:val="16"/>
                <w:b w:val="1"/>
                <w:bCs w:val="1"/>
                <w:color w:val="auto"/>
                <w:w w:val="91"/>
              </w:rPr>
              <w:t>23-1722724</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320" w:type="dxa"/>
            <w:vAlign w:val="bottom"/>
            <w:vMerge w:val="restart"/>
          </w:tcPr>
          <w:p>
            <w:pPr>
              <w:jc w:val="center"/>
              <w:ind w:left="215"/>
              <w:spacing w:after="0"/>
              <w:rPr>
                <w:sz w:val="20"/>
                <w:szCs w:val="20"/>
                <w:color w:val="auto"/>
              </w:rPr>
            </w:pPr>
            <w:r>
              <w:rPr>
                <w:rFonts w:ascii="Arial" w:cs="Arial" w:eastAsia="Arial" w:hAnsi="Arial"/>
                <w:sz w:val="16"/>
                <w:szCs w:val="16"/>
                <w:i w:val="1"/>
                <w:iCs w:val="1"/>
                <w:color w:val="auto"/>
                <w:w w:val="94"/>
              </w:rPr>
              <w:t>(State of incorporation)</w:t>
            </w:r>
          </w:p>
        </w:tc>
        <w:tc>
          <w:tcPr>
            <w:tcW w:w="3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80" w:type="dxa"/>
            <w:vAlign w:val="bottom"/>
          </w:tcPr>
          <w:p>
            <w:pPr>
              <w:jc w:val="center"/>
              <w:ind w:right="359"/>
              <w:spacing w:after="0"/>
              <w:rPr>
                <w:sz w:val="20"/>
                <w:szCs w:val="20"/>
                <w:color w:val="auto"/>
              </w:rPr>
            </w:pPr>
            <w:r>
              <w:rPr>
                <w:rFonts w:ascii="Arial" w:cs="Arial" w:eastAsia="Arial" w:hAnsi="Arial"/>
                <w:sz w:val="16"/>
                <w:szCs w:val="16"/>
                <w:i w:val="1"/>
                <w:iCs w:val="1"/>
                <w:color w:val="auto"/>
                <w:w w:val="91"/>
              </w:rPr>
              <w:t>(I.R.S. Employer</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3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80" w:type="dxa"/>
            <w:vAlign w:val="bottom"/>
            <w:vMerge w:val="restart"/>
          </w:tcPr>
          <w:p>
            <w:pPr>
              <w:jc w:val="center"/>
              <w:ind w:right="379"/>
              <w:spacing w:after="0"/>
              <w:rPr>
                <w:sz w:val="20"/>
                <w:szCs w:val="20"/>
                <w:color w:val="auto"/>
              </w:rPr>
            </w:pPr>
            <w:r>
              <w:rPr>
                <w:rFonts w:ascii="Arial" w:cs="Arial" w:eastAsia="Arial" w:hAnsi="Arial"/>
                <w:sz w:val="16"/>
                <w:szCs w:val="16"/>
                <w:i w:val="1"/>
                <w:iCs w:val="1"/>
                <w:color w:val="auto"/>
                <w:w w:val="95"/>
              </w:rPr>
              <w:t>Identification Number)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940" w:type="dxa"/>
            <w:vAlign w:val="bottom"/>
          </w:tcPr>
          <w:p>
            <w:pPr>
              <w:jc w:val="center"/>
              <w:ind w:left="665"/>
              <w:spacing w:after="0"/>
              <w:rPr>
                <w:sz w:val="20"/>
                <w:szCs w:val="20"/>
                <w:color w:val="auto"/>
              </w:rPr>
            </w:pPr>
            <w:r>
              <w:rPr>
                <w:rFonts w:ascii="Arial" w:cs="Arial" w:eastAsia="Arial" w:hAnsi="Arial"/>
                <w:sz w:val="16"/>
                <w:szCs w:val="16"/>
                <w:b w:val="1"/>
                <w:bCs w:val="1"/>
                <w:color w:val="auto"/>
                <w:w w:val="93"/>
              </w:rPr>
              <w:t>2045 East Innovation Circle</w:t>
            </w:r>
          </w:p>
        </w:tc>
        <w:tc>
          <w:tcPr>
            <w:tcW w:w="10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40" w:type="dxa"/>
            <w:vAlign w:val="bottom"/>
          </w:tcPr>
          <w:p>
            <w:pPr>
              <w:jc w:val="center"/>
              <w:ind w:left="665"/>
              <w:spacing w:after="0"/>
              <w:rPr>
                <w:sz w:val="20"/>
                <w:szCs w:val="20"/>
                <w:color w:val="auto"/>
              </w:rPr>
            </w:pPr>
            <w:r>
              <w:rPr>
                <w:rFonts w:ascii="Arial" w:cs="Arial" w:eastAsia="Arial" w:hAnsi="Arial"/>
                <w:sz w:val="16"/>
                <w:szCs w:val="16"/>
                <w:b w:val="1"/>
                <w:bCs w:val="1"/>
                <w:color w:val="auto"/>
                <w:w w:val="93"/>
              </w:rPr>
              <w:t>Tempe, AZ 85284</w:t>
            </w:r>
          </w:p>
        </w:tc>
        <w:tc>
          <w:tcPr>
            <w:tcW w:w="10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40" w:type="dxa"/>
            <w:vAlign w:val="bottom"/>
          </w:tcPr>
          <w:p>
            <w:pPr>
              <w:jc w:val="center"/>
              <w:ind w:left="665"/>
              <w:spacing w:after="0"/>
              <w:rPr>
                <w:sz w:val="20"/>
                <w:szCs w:val="20"/>
                <w:color w:val="auto"/>
              </w:rPr>
            </w:pPr>
            <w:r>
              <w:rPr>
                <w:rFonts w:ascii="Arial" w:cs="Arial" w:eastAsia="Arial" w:hAnsi="Arial"/>
                <w:sz w:val="16"/>
                <w:szCs w:val="16"/>
                <w:b w:val="1"/>
                <w:bCs w:val="1"/>
                <w:color w:val="auto"/>
                <w:w w:val="93"/>
              </w:rPr>
              <w:t>(480) 821-5000</w:t>
            </w:r>
          </w:p>
        </w:tc>
        <w:tc>
          <w:tcPr>
            <w:tcW w:w="10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940" w:type="dxa"/>
            <w:vAlign w:val="bottom"/>
          </w:tcPr>
          <w:p>
            <w:pPr>
              <w:jc w:val="center"/>
              <w:ind w:left="665"/>
              <w:spacing w:after="0"/>
              <w:rPr>
                <w:sz w:val="20"/>
                <w:szCs w:val="20"/>
                <w:color w:val="auto"/>
              </w:rPr>
            </w:pPr>
            <w:r>
              <w:rPr>
                <w:rFonts w:ascii="Arial" w:cs="Arial" w:eastAsia="Arial" w:hAnsi="Arial"/>
                <w:sz w:val="14"/>
                <w:szCs w:val="14"/>
                <w:i w:val="1"/>
                <w:iCs w:val="1"/>
                <w:color w:val="auto"/>
                <w:w w:val="93"/>
              </w:rPr>
              <w:t>(Address of principal executive offices and zip code)</w:t>
            </w:r>
          </w:p>
        </w:tc>
        <w:tc>
          <w:tcPr>
            <w:tcW w:w="10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60" w:type="dxa"/>
            <w:vAlign w:val="bottom"/>
            <w:gridSpan w:val="2"/>
          </w:tcPr>
          <w:p>
            <w:pPr>
              <w:jc w:val="center"/>
              <w:ind w:right="15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3320" w:type="dxa"/>
            <w:vAlign w:val="bottom"/>
          </w:tcPr>
          <w:p>
            <w:pPr>
              <w:jc w:val="center"/>
              <w:ind w:left="815"/>
              <w:spacing w:after="0"/>
              <w:rPr>
                <w:sz w:val="20"/>
                <w:szCs w:val="20"/>
                <w:color w:val="auto"/>
              </w:rPr>
            </w:pPr>
            <w:r>
              <w:rPr>
                <w:rFonts w:ascii="Arial" w:cs="Arial" w:eastAsia="Arial" w:hAnsi="Arial"/>
                <w:sz w:val="16"/>
                <w:szCs w:val="16"/>
                <w:b w:val="1"/>
                <w:bCs w:val="1"/>
                <w:color w:val="auto"/>
                <w:w w:val="91"/>
              </w:rPr>
              <w:t>Title of Each Class</w:t>
            </w:r>
          </w:p>
        </w:tc>
        <w:tc>
          <w:tcPr>
            <w:tcW w:w="3940" w:type="dxa"/>
            <w:vAlign w:val="bottom"/>
          </w:tcPr>
          <w:p>
            <w:pPr>
              <w:jc w:val="center"/>
              <w:ind w:left="5"/>
              <w:spacing w:after="0"/>
              <w:rPr>
                <w:sz w:val="20"/>
                <w:szCs w:val="20"/>
                <w:color w:val="auto"/>
              </w:rPr>
            </w:pPr>
            <w:r>
              <w:rPr>
                <w:rFonts w:ascii="Arial" w:cs="Arial" w:eastAsia="Arial" w:hAnsi="Arial"/>
                <w:sz w:val="16"/>
                <w:szCs w:val="16"/>
                <w:b w:val="1"/>
                <w:bCs w:val="1"/>
                <w:color w:val="auto"/>
                <w:w w:val="92"/>
              </w:rPr>
              <w:t>Trading Symbol</w:t>
            </w:r>
          </w:p>
        </w:tc>
        <w:tc>
          <w:tcPr>
            <w:tcW w:w="4100" w:type="dxa"/>
            <w:vAlign w:val="bottom"/>
            <w:gridSpan w:val="2"/>
          </w:tcPr>
          <w:p>
            <w:pPr>
              <w:jc w:val="center"/>
              <w:ind w:right="719"/>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320" w:type="dxa"/>
            <w:vAlign w:val="bottom"/>
          </w:tcPr>
          <w:p>
            <w:pPr>
              <w:jc w:val="center"/>
              <w:ind w:left="815"/>
              <w:spacing w:after="0"/>
              <w:rPr>
                <w:sz w:val="20"/>
                <w:szCs w:val="20"/>
                <w:color w:val="auto"/>
              </w:rPr>
            </w:pPr>
            <w:r>
              <w:rPr>
                <w:rFonts w:ascii="Arial" w:cs="Arial" w:eastAsia="Arial" w:hAnsi="Arial"/>
                <w:sz w:val="16"/>
                <w:szCs w:val="16"/>
                <w:color w:val="auto"/>
                <w:w w:val="91"/>
              </w:rPr>
              <w:t>Common Stock, $0.001 par value</w:t>
            </w:r>
          </w:p>
        </w:tc>
        <w:tc>
          <w:tcPr>
            <w:tcW w:w="3940" w:type="dxa"/>
            <w:vAlign w:val="bottom"/>
          </w:tcPr>
          <w:p>
            <w:pPr>
              <w:jc w:val="center"/>
              <w:ind w:left="5"/>
              <w:spacing w:after="0"/>
              <w:rPr>
                <w:sz w:val="20"/>
                <w:szCs w:val="20"/>
                <w:color w:val="auto"/>
              </w:rPr>
            </w:pPr>
            <w:r>
              <w:rPr>
                <w:rFonts w:ascii="Arial" w:cs="Arial" w:eastAsia="Arial" w:hAnsi="Arial"/>
                <w:sz w:val="16"/>
                <w:szCs w:val="16"/>
                <w:color w:val="auto"/>
              </w:rPr>
              <w:t>AMKR</w:t>
            </w:r>
          </w:p>
        </w:tc>
        <w:tc>
          <w:tcPr>
            <w:tcW w:w="4100" w:type="dxa"/>
            <w:vAlign w:val="bottom"/>
            <w:gridSpan w:val="2"/>
          </w:tcPr>
          <w:p>
            <w:pPr>
              <w:jc w:val="center"/>
              <w:ind w:right="719"/>
              <w:spacing w:after="0"/>
              <w:rPr>
                <w:sz w:val="20"/>
                <w:szCs w:val="20"/>
                <w:color w:val="auto"/>
              </w:rPr>
            </w:pPr>
            <w:r>
              <w:rPr>
                <w:rFonts w:ascii="Arial" w:cs="Arial" w:eastAsia="Arial" w:hAnsi="Arial"/>
                <w:sz w:val="16"/>
                <w:szCs w:val="16"/>
                <w:color w:val="auto"/>
                <w:w w:val="94"/>
              </w:rPr>
              <w:t>The NASDAQ Global Select Market</w:t>
            </w:r>
          </w:p>
        </w:tc>
        <w:tc>
          <w:tcPr>
            <w:tcW w:w="0" w:type="dxa"/>
            <w:vAlign w:val="bottom"/>
          </w:tcPr>
          <w:p>
            <w:pPr>
              <w:spacing w:after="0"/>
              <w:rPr>
                <w:sz w:val="1"/>
                <w:szCs w:val="1"/>
                <w:color w:val="auto"/>
              </w:rPr>
            </w:pPr>
          </w:p>
        </w:tc>
      </w:tr>
      <w:tr>
        <w:trPr>
          <w:trHeight w:val="339"/>
        </w:trPr>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60" w:type="dxa"/>
            <w:vAlign w:val="bottom"/>
            <w:gridSpan w:val="2"/>
          </w:tcPr>
          <w:p>
            <w:pPr>
              <w:jc w:val="center"/>
              <w:ind w:right="15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940" w:type="dxa"/>
            <w:vAlign w:val="bottom"/>
          </w:tcPr>
          <w:p>
            <w:pPr>
              <w:jc w:val="center"/>
              <w:ind w:left="685"/>
              <w:spacing w:after="0"/>
              <w:rPr>
                <w:sz w:val="20"/>
                <w:szCs w:val="20"/>
                <w:color w:val="auto"/>
              </w:rPr>
            </w:pPr>
            <w:r>
              <w:rPr>
                <w:rFonts w:ascii="Arial" w:cs="Arial" w:eastAsia="Arial" w:hAnsi="Arial"/>
                <w:sz w:val="18"/>
                <w:szCs w:val="18"/>
                <w:b w:val="1"/>
                <w:bCs w:val="1"/>
                <w:color w:val="auto"/>
                <w:w w:val="88"/>
              </w:rPr>
              <w:t>None</w:t>
            </w:r>
          </w:p>
        </w:tc>
        <w:tc>
          <w:tcPr>
            <w:tcW w:w="1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320" w:type="dxa"/>
            <w:vAlign w:val="bottom"/>
            <w:gridSpan w:val="4"/>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4"/>
              </w:rPr>
              <w:t>☑</w:t>
            </w:r>
          </w:p>
        </w:tc>
        <w:tc>
          <w:tcPr>
            <w:tcW w:w="308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4"/>
        </w:trPr>
        <w:tc>
          <w:tcPr>
            <w:tcW w:w="8320" w:type="dxa"/>
            <w:vAlign w:val="bottom"/>
            <w:gridSpan w:val="4"/>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308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p>
      <w:pPr>
        <w:ind w:left="200"/>
        <w:spacing w:after="0" w:line="321" w:lineRule="exact"/>
        <w:tabs>
          <w:tab w:leader="none" w:pos="1780" w:val="left"/>
          <w:tab w:leader="none" w:pos="2400" w:val="left"/>
          <w:tab w:leader="none" w:pos="3820" w:val="left"/>
          <w:tab w:leader="none" w:pos="4260" w:val="left"/>
          <w:tab w:leader="none" w:pos="5840" w:val="left"/>
          <w:tab w:leader="none" w:pos="6380" w:val="left"/>
          <w:tab w:leader="none" w:pos="8440" w:val="left"/>
          <w:tab w:leader="none" w:pos="8980" w:val="left"/>
          <w:tab w:leader="none" w:pos="110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32"/>
          <w:szCs w:val="32"/>
          <w:color w:val="auto"/>
          <w:vertAlign w:val="superscript"/>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62" w:lineRule="exact"/>
        <w:rPr>
          <w:sz w:val="24"/>
          <w:szCs w:val="24"/>
          <w:color w:val="auto"/>
        </w:rPr>
      </w:pPr>
    </w:p>
    <w:p>
      <w:pPr>
        <w:jc w:val="both"/>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80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28, 2019, based upon the closing price of the common stock as reported by the NASDAQ Global Select Market on that date, was approximately $727 million.</w:t>
      </w:r>
    </w:p>
    <w:p>
      <w:pPr>
        <w:spacing w:after="0" w:line="6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number of shares outstanding of each of the issuer’s classes of common equity, as of February 14, 2020, was as follows: 241,055,987 shares of Common Stock, $0.001 par value.</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320"/>
        <w:spacing w:after="0" w:line="311" w:lineRule="auto"/>
        <w:rPr>
          <w:sz w:val="20"/>
          <w:szCs w:val="20"/>
          <w:color w:val="auto"/>
        </w:rPr>
      </w:pPr>
      <w:r>
        <w:rPr>
          <w:rFonts w:ascii="Arial" w:cs="Arial" w:eastAsia="Arial" w:hAnsi="Arial"/>
          <w:sz w:val="16"/>
          <w:szCs w:val="16"/>
          <w:color w:val="auto"/>
        </w:rPr>
        <w:t>Portions of the registrant’s Proxy Statement relating to its 2020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20" w:type="dxa"/>
            <w:vAlign w:val="bottom"/>
            <w:gridSpan w:val="15"/>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20" w:type="dxa"/>
            <w:vAlign w:val="bottom"/>
            <w:gridSpan w:val="11"/>
          </w:tcPr>
          <w:p>
            <w:pPr>
              <w:jc w:val="center"/>
              <w:ind w:right="4740"/>
              <w:spacing w:after="0" w:line="189" w:lineRule="exact"/>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42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21"/>
                <w:szCs w:val="21"/>
                <w:color w:val="auto"/>
              </w:rPr>
            </w:pPr>
          </w:p>
        </w:tc>
        <w:tc>
          <w:tcPr>
            <w:tcW w:w="474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17">
              <w:r>
                <w:rPr>
                  <w:rFonts w:ascii="Arial" w:cs="Arial" w:eastAsia="Arial" w:hAnsi="Arial"/>
                  <w:sz w:val="18"/>
                  <w:szCs w:val="18"/>
                  <w:color w:val="0000FF"/>
                  <w:w w:val="80"/>
                </w:rPr>
                <w:t>Item 1A.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31">
              <w:r>
                <w:rPr>
                  <w:rFonts w:ascii="Arial" w:cs="Arial" w:eastAsia="Arial" w:hAnsi="Arial"/>
                  <w:sz w:val="18"/>
                  <w:szCs w:val="18"/>
                  <w:color w:val="0000FF"/>
                  <w:w w:val="80"/>
                </w:rPr>
                <w:t>Item 1B.</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FF"/>
                <w:w w:val="98"/>
              </w:rPr>
              <w:t>Item 2.</w:t>
            </w:r>
          </w:p>
        </w:tc>
        <w:tc>
          <w:tcPr>
            <w:tcW w:w="560" w:type="dxa"/>
            <w:vAlign w:val="bottom"/>
          </w:tcPr>
          <w:p>
            <w:pPr>
              <w:spacing w:after="0"/>
              <w:rPr>
                <w:sz w:val="21"/>
                <w:szCs w:val="21"/>
                <w:color w:val="auto"/>
              </w:rPr>
            </w:pPr>
          </w:p>
        </w:tc>
        <w:tc>
          <w:tcPr>
            <w:tcW w:w="204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7520" w:type="dxa"/>
            <w:vAlign w:val="bottom"/>
            <w:gridSpan w:val="1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9560" w:type="dxa"/>
            <w:vAlign w:val="bottom"/>
            <w:gridSpan w:val="2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9560" w:type="dxa"/>
            <w:vAlign w:val="bottom"/>
            <w:gridSpan w:val="2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w:t>
              </w:r>
            </w:hyperlink>
          </w:p>
        </w:tc>
        <w:tc>
          <w:tcPr>
            <w:tcW w:w="47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Item 5.</w:t>
              </w:r>
            </w:hyperlink>
          </w:p>
        </w:tc>
        <w:tc>
          <w:tcPr>
            <w:tcW w:w="560" w:type="dxa"/>
            <w:vAlign w:val="bottom"/>
          </w:tcPr>
          <w:p>
            <w:pPr>
              <w:spacing w:after="0"/>
              <w:rPr>
                <w:sz w:val="21"/>
                <w:szCs w:val="21"/>
                <w:color w:val="auto"/>
              </w:rPr>
            </w:pPr>
          </w:p>
        </w:tc>
        <w:tc>
          <w:tcPr>
            <w:tcW w:w="808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Market for Registrant’s Common Equity, Related Stockholder Matters and Issuer Purchases of Equity Securities</w:t>
              </w:r>
            </w:hyperlink>
          </w:p>
        </w:tc>
        <w:tc>
          <w:tcPr>
            <w:tcW w:w="14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50"/>
        </w:trPr>
        <w:tc>
          <w:tcPr>
            <w:tcW w:w="11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6.</w:t>
              </w:r>
            </w:hyperlink>
          </w:p>
        </w:tc>
        <w:tc>
          <w:tcPr>
            <w:tcW w:w="956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7.</w:t>
              </w:r>
            </w:hyperlink>
          </w:p>
        </w:tc>
        <w:tc>
          <w:tcPr>
            <w:tcW w:w="9560" w:type="dxa"/>
            <w:vAlign w:val="bottom"/>
            <w:gridSpan w:val="2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45">
              <w:r>
                <w:rPr>
                  <w:rFonts w:ascii="Arial" w:cs="Arial" w:eastAsia="Arial" w:hAnsi="Arial"/>
                  <w:sz w:val="18"/>
                  <w:szCs w:val="18"/>
                  <w:color w:val="0000FF"/>
                  <w:w w:val="80"/>
                </w:rPr>
                <w:t>Item 7A.</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48">
              <w:r>
                <w:rPr>
                  <w:rFonts w:ascii="Arial" w:cs="Arial" w:eastAsia="Arial" w:hAnsi="Arial"/>
                  <w:sz w:val="18"/>
                  <w:szCs w:val="18"/>
                  <w:color w:val="0000FF"/>
                  <w:w w:val="98"/>
                </w:rPr>
                <w:t>Item 8.</w:t>
              </w:r>
            </w:hyperlink>
          </w:p>
        </w:tc>
        <w:tc>
          <w:tcPr>
            <w:tcW w:w="560" w:type="dxa"/>
            <w:vAlign w:val="bottom"/>
          </w:tcPr>
          <w:p>
            <w:pPr>
              <w:spacing w:after="0"/>
              <w:rPr>
                <w:sz w:val="21"/>
                <w:szCs w:val="21"/>
                <w:color w:val="auto"/>
              </w:rPr>
            </w:pPr>
          </w:p>
        </w:tc>
        <w:tc>
          <w:tcPr>
            <w:tcW w:w="33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Financial Statements and Supplementary Data</w:t>
              </w:r>
            </w:hyperlink>
          </w:p>
        </w:tc>
        <w:tc>
          <w:tcPr>
            <w:tcW w:w="1020" w:type="dxa"/>
            <w:vAlign w:val="bottom"/>
            <w:gridSpan w:val="5"/>
          </w:tcPr>
          <w:p>
            <w:pPr>
              <w:spacing w:after="0"/>
              <w:rPr>
                <w:sz w:val="21"/>
                <w:szCs w:val="21"/>
                <w:color w:val="auto"/>
              </w:rPr>
            </w:pPr>
          </w:p>
        </w:tc>
        <w:tc>
          <w:tcPr>
            <w:tcW w:w="52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89">
              <w:r>
                <w:rPr>
                  <w:rFonts w:ascii="Arial" w:cs="Arial" w:eastAsia="Arial" w:hAnsi="Arial"/>
                  <w:sz w:val="18"/>
                  <w:szCs w:val="18"/>
                  <w:color w:val="0000FF"/>
                  <w:w w:val="98"/>
                </w:rPr>
                <w:t>Item 9.</w:t>
              </w:r>
            </w:hyperlink>
          </w:p>
        </w:tc>
        <w:tc>
          <w:tcPr>
            <w:tcW w:w="560" w:type="dxa"/>
            <w:vAlign w:val="bottom"/>
          </w:tcPr>
          <w:p>
            <w:pPr>
              <w:spacing w:after="0"/>
              <w:rPr>
                <w:sz w:val="21"/>
                <w:szCs w:val="21"/>
                <w:color w:val="auto"/>
              </w:rPr>
            </w:pPr>
          </w:p>
        </w:tc>
        <w:tc>
          <w:tcPr>
            <w:tcW w:w="9560" w:type="dxa"/>
            <w:vAlign w:val="bottom"/>
            <w:gridSpan w:val="2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89">
              <w:r>
                <w:rPr>
                  <w:rFonts w:ascii="Arial" w:cs="Arial" w:eastAsia="Arial" w:hAnsi="Arial"/>
                  <w:sz w:val="18"/>
                  <w:szCs w:val="18"/>
                  <w:color w:val="0000FF"/>
                  <w:w w:val="80"/>
                </w:rPr>
                <w:t>Item 9A.</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w w:val="88"/>
              </w:rPr>
            </w:pPr>
            <w:hyperlink w:anchor="page89">
              <w:r>
                <w:rPr>
                  <w:rFonts w:ascii="Arial" w:cs="Arial" w:eastAsia="Arial" w:hAnsi="Arial"/>
                  <w:sz w:val="18"/>
                  <w:szCs w:val="18"/>
                  <w:color w:val="0000FF"/>
                  <w:w w:val="88"/>
                </w:rPr>
                <w:t>Controls and Procedures</w:t>
              </w:r>
            </w:hyperlink>
          </w:p>
        </w:tc>
        <w:tc>
          <w:tcPr>
            <w:tcW w:w="7780" w:type="dxa"/>
            <w:vAlign w:val="bottom"/>
            <w:gridSpan w:val="2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87</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90">
              <w:r>
                <w:rPr>
                  <w:rFonts w:ascii="Arial" w:cs="Arial" w:eastAsia="Arial" w:hAnsi="Arial"/>
                  <w:sz w:val="18"/>
                  <w:szCs w:val="18"/>
                  <w:color w:val="0000FF"/>
                  <w:w w:val="80"/>
                </w:rPr>
                <w:t>Item 9B.</w:t>
              </w:r>
            </w:hyperlink>
          </w:p>
        </w:tc>
        <w:tc>
          <w:tcPr>
            <w:tcW w:w="56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Other Information</w:t>
              </w:r>
            </w:hyperlink>
          </w:p>
        </w:tc>
        <w:tc>
          <w:tcPr>
            <w:tcW w:w="7780" w:type="dxa"/>
            <w:vAlign w:val="bottom"/>
            <w:gridSpan w:val="2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PART III</w:t>
              </w:r>
            </w:hyperlink>
          </w:p>
        </w:tc>
        <w:tc>
          <w:tcPr>
            <w:tcW w:w="46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0">
              <w:r>
                <w:rPr>
                  <w:rFonts w:ascii="Arial" w:cs="Arial" w:eastAsia="Arial" w:hAnsi="Arial"/>
                  <w:sz w:val="18"/>
                  <w:szCs w:val="18"/>
                  <w:color w:val="0000FF"/>
                  <w:w w:val="82"/>
                </w:rPr>
                <w:t>Item 10.</w:t>
              </w:r>
            </w:hyperlink>
          </w:p>
        </w:tc>
        <w:tc>
          <w:tcPr>
            <w:tcW w:w="560" w:type="dxa"/>
            <w:vAlign w:val="bottom"/>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Directors, Executive Officers and Corporate Governance</w:t>
              </w:r>
            </w:hyperlink>
          </w:p>
        </w:tc>
        <w:tc>
          <w:tcPr>
            <w:tcW w:w="546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0">
              <w:r>
                <w:rPr>
                  <w:rFonts w:ascii="Arial" w:cs="Arial" w:eastAsia="Arial" w:hAnsi="Arial"/>
                  <w:sz w:val="18"/>
                  <w:szCs w:val="18"/>
                  <w:color w:val="0000FF"/>
                  <w:w w:val="82"/>
                </w:rPr>
                <w:t>Item 11.</w:t>
              </w:r>
            </w:hyperlink>
          </w:p>
        </w:tc>
        <w:tc>
          <w:tcPr>
            <w:tcW w:w="560" w:type="dxa"/>
            <w:vAlign w:val="bottom"/>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Executive Compensation</w:t>
              </w:r>
            </w:hyperlink>
          </w:p>
        </w:tc>
        <w:tc>
          <w:tcPr>
            <w:tcW w:w="546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0">
              <w:r>
                <w:rPr>
                  <w:rFonts w:ascii="Arial" w:cs="Arial" w:eastAsia="Arial" w:hAnsi="Arial"/>
                  <w:sz w:val="18"/>
                  <w:szCs w:val="18"/>
                  <w:color w:val="0000FF"/>
                  <w:w w:val="82"/>
                </w:rPr>
                <w:t>Item 12.</w:t>
              </w:r>
            </w:hyperlink>
          </w:p>
        </w:tc>
        <w:tc>
          <w:tcPr>
            <w:tcW w:w="56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1">
              <w:r>
                <w:rPr>
                  <w:rFonts w:ascii="Arial" w:cs="Arial" w:eastAsia="Arial" w:hAnsi="Arial"/>
                  <w:sz w:val="18"/>
                  <w:szCs w:val="18"/>
                  <w:color w:val="0000FF"/>
                  <w:w w:val="82"/>
                </w:rPr>
                <w:t>Item 13.</w:t>
              </w:r>
            </w:hyperlink>
          </w:p>
        </w:tc>
        <w:tc>
          <w:tcPr>
            <w:tcW w:w="560" w:type="dxa"/>
            <w:vAlign w:val="bottom"/>
          </w:tcPr>
          <w:p>
            <w:pPr>
              <w:spacing w:after="0"/>
              <w:rPr>
                <w:sz w:val="21"/>
                <w:szCs w:val="21"/>
                <w:color w:val="auto"/>
              </w:rPr>
            </w:pPr>
          </w:p>
        </w:tc>
        <w:tc>
          <w:tcPr>
            <w:tcW w:w="7300" w:type="dxa"/>
            <w:vAlign w:val="bottom"/>
            <w:gridSpan w:val="25"/>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89</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91">
              <w:r>
                <w:rPr>
                  <w:rFonts w:ascii="Arial" w:cs="Arial" w:eastAsia="Arial" w:hAnsi="Arial"/>
                  <w:sz w:val="18"/>
                  <w:szCs w:val="18"/>
                  <w:color w:val="0000FF"/>
                  <w:w w:val="82"/>
                </w:rPr>
                <w:t>Item 14.</w:t>
              </w:r>
            </w:hyperlink>
          </w:p>
        </w:tc>
        <w:tc>
          <w:tcPr>
            <w:tcW w:w="560" w:type="dxa"/>
            <w:vAlign w:val="bottom"/>
          </w:tcPr>
          <w:p>
            <w:pPr>
              <w:spacing w:after="0"/>
              <w:rPr>
                <w:sz w:val="21"/>
                <w:szCs w:val="21"/>
                <w:color w:val="auto"/>
              </w:rPr>
            </w:pPr>
          </w:p>
        </w:tc>
        <w:tc>
          <w:tcPr>
            <w:tcW w:w="5400" w:type="dxa"/>
            <w:vAlign w:val="bottom"/>
            <w:gridSpan w:val="22"/>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Principal Accountant Fees and Services</w:t>
              </w:r>
            </w:hyperlink>
          </w:p>
        </w:tc>
        <w:tc>
          <w:tcPr>
            <w:tcW w:w="416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89</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13"/>
          </w:tcPr>
          <w:p>
            <w:pPr>
              <w:jc w:val="center"/>
              <w:ind w:right="4660"/>
              <w:spacing w:after="0"/>
              <w:rPr>
                <w:rFonts w:ascii="Arial" w:cs="Arial" w:eastAsia="Arial" w:hAnsi="Arial"/>
                <w:sz w:val="18"/>
                <w:szCs w:val="18"/>
                <w:b w:val="1"/>
                <w:bCs w:val="1"/>
                <w:color w:val="0000FF"/>
              </w:rPr>
            </w:pPr>
            <w:hyperlink w:anchor="page91">
              <w:r>
                <w:rPr>
                  <w:rFonts w:ascii="Arial" w:cs="Arial" w:eastAsia="Arial" w:hAnsi="Arial"/>
                  <w:sz w:val="18"/>
                  <w:szCs w:val="18"/>
                  <w:b w:val="1"/>
                  <w:bCs w:val="1"/>
                  <w:color w:val="0000FF"/>
                </w:rPr>
                <w:t>PART IV</w:t>
              </w:r>
            </w:hyperlink>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1">
              <w:r>
                <w:rPr>
                  <w:rFonts w:ascii="Arial" w:cs="Arial" w:eastAsia="Arial" w:hAnsi="Arial"/>
                  <w:sz w:val="18"/>
                  <w:szCs w:val="18"/>
                  <w:color w:val="0000EE"/>
                  <w:w w:val="82"/>
                </w:rPr>
                <w:t>Item 15.</w:t>
              </w:r>
            </w:hyperlink>
          </w:p>
        </w:tc>
        <w:tc>
          <w:tcPr>
            <w:tcW w:w="560" w:type="dxa"/>
            <w:vAlign w:val="bottom"/>
          </w:tcPr>
          <w:p>
            <w:pPr>
              <w:spacing w:after="0"/>
              <w:rPr>
                <w:sz w:val="21"/>
                <w:szCs w:val="21"/>
                <w:color w:val="auto"/>
              </w:rPr>
            </w:pPr>
          </w:p>
        </w:tc>
        <w:tc>
          <w:tcPr>
            <w:tcW w:w="4200" w:type="dxa"/>
            <w:vAlign w:val="bottom"/>
            <w:gridSpan w:val="1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and Financial Statement Schedules</w:t>
              </w:r>
            </w:hyperlink>
          </w:p>
        </w:tc>
        <w:tc>
          <w:tcPr>
            <w:tcW w:w="680" w:type="dxa"/>
            <w:vAlign w:val="bottom"/>
            <w:tcBorders>
              <w:top w:val="single" w:sz="8" w:color="0000FF"/>
            </w:tcBorders>
            <w:gridSpan w:val="5"/>
          </w:tcPr>
          <w:p>
            <w:pPr>
              <w:spacing w:after="0"/>
              <w:rPr>
                <w:sz w:val="21"/>
                <w:szCs w:val="21"/>
                <w:color w:val="auto"/>
              </w:rPr>
            </w:pPr>
          </w:p>
        </w:tc>
        <w:tc>
          <w:tcPr>
            <w:tcW w:w="46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3">
              <w:r>
                <w:rPr>
                  <w:rFonts w:ascii="Arial" w:cs="Arial" w:eastAsia="Arial" w:hAnsi="Arial"/>
                  <w:sz w:val="18"/>
                  <w:szCs w:val="18"/>
                  <w:color w:val="0000EE"/>
                  <w:w w:val="82"/>
                </w:rPr>
                <w:t>Item 16.</w:t>
              </w:r>
            </w:hyperlink>
          </w:p>
        </w:tc>
        <w:tc>
          <w:tcPr>
            <w:tcW w:w="56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Form 10-K Summary</w:t>
              </w:r>
            </w:hyperlink>
          </w:p>
        </w:tc>
        <w:tc>
          <w:tcPr>
            <w:tcW w:w="1600" w:type="dxa"/>
            <w:vAlign w:val="bottom"/>
            <w:gridSpan w:val="6"/>
          </w:tcPr>
          <w:p>
            <w:pPr>
              <w:spacing w:after="0"/>
              <w:rPr>
                <w:sz w:val="21"/>
                <w:szCs w:val="21"/>
                <w:color w:val="auto"/>
              </w:rPr>
            </w:pPr>
          </w:p>
        </w:tc>
        <w:tc>
          <w:tcPr>
            <w:tcW w:w="6400" w:type="dxa"/>
            <w:vAlign w:val="bottom"/>
            <w:gridSpan w:val="1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All references in this Annual Report on Form 10-K to “Amkor,” “we,” “us,” “our” or the “company” are to Amkor Technology, Inc. and its subsidiaries. We refer to the Republic of Korea, which is also commonly known as South Korea, as “Korea”. All references to “J-Devices” are to Amkor Technology Japan, Inc., formerly known as J-Devices Corporation, our wholly owned subsidiary in Japan. Amounts preceded by ¥ are in Japanese yen. Amkor</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Amkor Technology</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ChipArray</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FusionQuad</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J-Devices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Micro</w:t>
      </w:r>
      <w:r>
        <w:rPr>
          <w:rFonts w:ascii="Arial" w:cs="Arial" w:eastAsia="Arial" w:hAnsi="Arial"/>
          <w:sz w:val="18"/>
          <w:szCs w:val="18"/>
          <w:color w:val="auto"/>
        </w:rPr>
        <w:t>LeadFrame</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TMV</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and SWIFT</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among others, are trademarks of Amkor Technology, Inc. All other trademarks appearing herein are held by their respective owners. Subsequent use of the above trademarks in this report may occur without the respective superscript symbol (</w:t>
      </w:r>
      <w:r>
        <w:rPr>
          <w:rFonts w:ascii="Arial" w:cs="Arial" w:eastAsia="Arial" w:hAnsi="Arial"/>
          <w:sz w:val="25"/>
          <w:szCs w:val="25"/>
          <w:color w:val="auto"/>
          <w:vertAlign w:val="superscript"/>
        </w:rPr>
        <w:t>®</w:t>
      </w:r>
      <w:r>
        <w:rPr>
          <w:rFonts w:ascii="Arial" w:cs="Arial" w:eastAsia="Arial" w:hAnsi="Arial"/>
          <w:sz w:val="18"/>
          <w:szCs w:val="18"/>
          <w:color w:val="auto"/>
        </w:rPr>
        <w:t xml:space="preserve">and </w:t>
      </w:r>
      <w:r>
        <w:rPr>
          <w:rFonts w:ascii="Arial" w:cs="Arial" w:eastAsia="Arial" w:hAnsi="Arial"/>
          <w:sz w:val="25"/>
          <w:szCs w:val="25"/>
          <w:color w:val="auto"/>
          <w:vertAlign w:val="superscript"/>
        </w:rPr>
        <w:t>TM</w:t>
      </w:r>
      <w:r>
        <w:rPr>
          <w:rFonts w:ascii="Arial" w:cs="Arial" w:eastAsia="Arial" w:hAnsi="Arial"/>
          <w:sz w:val="18"/>
          <w:szCs w:val="18"/>
          <w:color w:val="auto"/>
        </w:rPr>
        <w:t>) in order to facilitate the readability of the report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2020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and tax law changes in the jurisdictions in which we operate,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and automotive devices and our technology leadership and potential growth in this market, (18) our expected forfeiture rate for outstanding stock options and restricted shares, (19) our expected rate of return for pension plan assets, (20) projects to install or integrate new information technology systems or upgrade our existing systems and (21)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 Item 1A of this Annual Report on Form 10-K.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in China, Japan, Korea, Malaysia, the Philippines, Portugal and Taiwan.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and test services are designed to meet application and chip specific requirements including: the required type of interconnect technology; size; thickness; and electrical, mechanical and thermal performance. We provide turnkey packaging and test services including semiconductor wafer bump, wafer probe, wafer back-grind, package design, packaging, system-level and final test and drop shipment services. Our customers use us for one or more of these services.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our services to integrated device manufacturers (“IDMs”), “fabless” semiconductor companies, OEMs and contract foundries. IDMs generally design, manufacture, package and test semiconductors in their own facilities. However, the availability of technologically advanced outsourced manufacturing services has encouraged IDMs to outsource a portion of their manufacturing. Fabless semiconductor companies do not have factories and focus exclusively on the semiconductor design process and outsource virtually every step of the manufacturing process. Fabless semiconductor companies utilize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Amkor files annual, quarterly and current reports, proxy statements and other information with the U.S. Securities and Exchange Commission (the “SEC”). The SEC maintains a website that contains annual, quarterly and current reports, proxy statements and other information that issuers (including Amkor) file electronically with the SEC. The SEC’s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Amkor’s website is </w:t>
      </w:r>
      <w:r>
        <w:rPr>
          <w:rFonts w:ascii="Arial" w:cs="Arial" w:eastAsia="Arial" w:hAnsi="Arial"/>
          <w:sz w:val="18"/>
          <w:szCs w:val="18"/>
          <w:i w:val="1"/>
          <w:iCs w:val="1"/>
          <w:color w:val="auto"/>
        </w:rPr>
        <w:t>https://www.amkor.com.</w:t>
      </w:r>
      <w:r>
        <w:rPr>
          <w:rFonts w:ascii="Arial" w:cs="Arial" w:eastAsia="Arial" w:hAnsi="Arial"/>
          <w:sz w:val="18"/>
          <w:szCs w:val="18"/>
          <w:color w:val="auto"/>
        </w:rPr>
        <w:t xml:space="preserve"> Amkor makes available, free of charge, through its website: our annual reports on Form 10-K; quarterly reports on Form 10-Q; current reports on Form 8-K; Forms 3, 4 and 5 filed on behalf of directors and executive officers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Semiconductor devices are the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27"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increasing demand for mobile and connected devices, including the world-wide adoption of “smart” phones, tablets and other Internet-of-Things (IoT) devices that can access the internet and provide multimedia capabilities.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mobility and connectivity capabilities and growing digital content driving demand for new broadband wired and wireless networking equipment.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proliferation of semiconductor devices into well-established end products such as automotive systems due to increased use of electronics for safety, navigation, fuel efficiency, emission reduction and entertainment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overall increase in the semiconductor content within electronic products to provide greater functionality and higher levels of performance.</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emergence of specialized chips designed to collect, analyze and store the digital content driven by the growth of cloud computing. These chips include data accelerators, artificial intelligence and machine learning devices.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growth of advanced System-in-Package (“SiP”) modules where multiple semiconductor and other electronic components with different functionalities are combined into a single package. The increasing demand for miniaturization and higher functionality at competitive cost is driving the adoption of advanced SiP in new products. Advanced SiPs are the primary vehicle for package-level integration, which allow customers to combine integrated circuits (“ICs”) from different silicon nodes and different foundries.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supplier in the semiconductor industry, our business is cyclical by nature and impacted by broad economic factors, such as world-wide gross domestic product and consumer spending. Historical trends indicate there has been a strong correlation between world-wide gross domestic product levels, consumer spending and semiconductor industry cycles.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Trends in Semiconductor 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Semiconductor companies outsource their packaging and test needs to service providers such as Amkor for the following reasons: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have developed expertise in advanced technologies.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increasing demands for miniaturization, greater functionality, lower power consumption and improved thermal and electrical performance are driving the continuous development of semiconductor packaging and test technologies that are more sophisticated, complex and customized. This trend has led many semiconductor companies and OEMs to view packaging and test as enabling technologies requiring the kind of leading-edge expertise for technological innovation found in the leading outsourced assembly and test companies. At the same time, these companies are often looking to reduce the internal manufacturing and research and development costs in packaging and test. As a result, many of these companies are increasingly relying on packaging and test service providers as key sources for new package designs and advanced interconnect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offer a cost-effective solution in a highly cyclical, capital intensive industry.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resources. As a result of this cyclicality and the large investments required, manufacturing facilities must operate at consistently high levels of utilization to be cost-effective. Shorter product life cycles, coupled with the need to update or replace packaging and test equipment to accommodate new package types, make it more difficult for integrated semiconductor companies to maintain cost-effective utilization of their packaging and test assets throughout semiconductor industry cycles. Packaging and test service providers, on the other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hand, can typically use their assets to support a broad range of customers and multiple end markets, potentially generating more efficient use of their production assets and a more cost-effective solution.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can facilitate a more efficient supply chain and help shorten time-to-market for new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semiconductor companies, together with their customers, are seeking to shorten the time-to-market for their new products and that having an effective supply chain is a critical factor in facilitating timely and successful product introductions. Packaging and test service providers have the resources and expertise to timely develop their capabilities and implement new packaging technology in volume. For this reason, semiconductor companies and OEMs are leveraging the capabilities of packaging and test service providers to deliver their new products to market more quickly.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High quality packaging and test service providers enable semiconductor manufacturers to focus their resources on semiconductor design and wafer fabrication.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semiconductor process technology migrates to larger wafers and smaller feature sizes, the cost of building a state-of-the-art wafer fabrication factory has risen significantly and can now be several billions of dollars.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packaging and test.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goals are sales growth and improved profitability, and we are focusing on the following strategies to achieve these goals: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Investment in Services for Advanced Technologies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These advanced technology solutions provide increased value to our customers. An important factor for success in the advanced packaging and test area is to generate reasonably quick returns on investments made in support of customers seeking leading-edge technologies.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we have made significant investments in state-of-the-art facilities and equipment to provide services for the industry’s most complex devices. With approximately 650 employees engaged in research and development and manufacturing process engineering for new semiconductor packaging and test technologies, we are a technology leader in areas such as fine pitch bumping, advanced flip chip, wafer-level processing and advanced SiPs. During 2019, we had success capitalizing on our advanced technology to achieve design wins and new product introductions in areas such as: chips fabricated at 7, 10, 14 and 16 nanometer geometries; advanced SiP products including radio frequency (“RF”), front end modules and micro-electro-mechanical systems (“MEMS”) devices; optical sensors and cavity MEMS; advanced Flip Chip with Through Silicon Via (“TSV”) Technology; wafer-level Chip Scale Packaging (“CSP”); and wafer-level fan-out packages.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work closely with our customers to develop cost-effective leading-edge packages for the next generation of devices. These include integrated technologies such as advanced SiP, wafer-level fan-out, Silicon Wafer Integrated Fan-out Technology (“SWIFT”), High Density Fan-Out (“HDFO”) and redistribution layer (“RDL”) solutions which enable very thin, very small products combining application processors, memory, baseband and other peripheral integrated circuits (“ICs”). They also include packages utilizing TSV interconnects and silicon interposers which enable the integration of high-performance chips such as high bandwidth memory and graphics processors into a single package.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advanced packaging services will continue to grow as our customers and leading electronics OEMs strive for smaller device geometries, higher levels of speed and performance and lower power consumption. We intend to continue to leverage our investment in advanced technology to meet the demand for these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 Utilization of Existing Assets and Broaden Our Customer Base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Another key to our success is to improve the utilization of our existing assets. The transition by leading edge customers to newer packaging and test equipment platforms typically frees up capacity in existing, previously installed equipment. As part of our strategy, we are focused on developing a second wave of customers to more effectively utilize these assets over a longer period of time. We are building and utilizing manufacturing lines which support multiple customers and increasing factory utilization through more sophisticated planning processes and more intensive efficiency improvement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Balanced Growth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growth is a significant objective for Amkor. We strive to grow in a balanced way and avoid over-reliance on any single market or customer. Our goal is to achieve more consistent financial performance through all phases of the business cycle. Our balanced growth strategy consists of the following two components:</w:t>
      </w:r>
    </w:p>
    <w:p>
      <w:pPr>
        <w:spacing w:after="0" w:line="181"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we are increasing our revenue in markets beyond communications, including automotive, consumer and computing end markets. Revenue from these markets tends to be more stable, with less pronounced seasonality tied to the launch of flagship phones.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we continue to focus on share gains in the iOS and high-end Android ecosystems, leveraging our expertise in advanced SiP, MEMS and other advanced packages to expand our content in next generation 5G phones.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Grow Our Scale and Scope through Strategic Investments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see attractive opportunities to grow our customer base and expand markets through strategic investments. For example, in 2017 we completed the acquisition of Nanium, S.A. (“Nanium”), a provider of wafer-level fan-out semiconductor packaging solutions. We believe that this acquisition has strengthened our position in the market for wafer-level packaging. In 2015, we completed the acquisition of 100% of J-Devices, our outsourced semiconductor assembly and test (“OSAT”) joint venture in Japan.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selective growth through joint ventures, acquisitions and other strategic investments can help diversify our revenue streams, improve our profits and maintain our technological leadership.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outsourced semiconductor packaging and test market is very competitive. We also compete with the internal semiconductor packaging and test capabilities of many of our customers and foundries. We believe we are well-positioned in the outsourced packaging and test services market. The following competitive strengths allow us to build upon our industry position and to remain one of the preferred providers of semiconductor packaging and test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Technology Innovator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leader in developing and deploying advanced semiconductor packaging and test solutions. We have designed and developed several state-of-the-art package formats and technologies, including our Package-on-Package (“PoP”) platform with Through Mold Via (“TMV”) technology, molded embedded packages, FusionQuad, flip chip ball grid array, multi-chip modules with a silicon interposer placed between the module chips and substrate, copper pillar bumping and fine pitch copper pillar flip chip packaging technologies. In addition, we believe that as semiconductor technology continues to achieve smaller device geometries with higher levels of speed and performance, packages will increasingly require wafer-level CSP, wafer-level fan-out, SWIFT and flip chip interconnect solutions and advanced SiP products.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invest in developing the key processes and packaging and test technologies required for our customers to deliver advanced integrated and modular solutions to market. We are a leader in wafer thinning, micro-bumping, die stacking,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hybrid packaging and TSV-based flip chip innovation. We are also a developer of environmentally friendly IC packaging, which involves the elimination of lead and certain other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Long-Standing Relationships and Collaboration with Prominent Semiconductor Companies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include most of the world’s largest semiconductor companies, and over the last five decades we have developed long-standing relationships with many of these companies. We believe that our production excellence has been a key factor in our success in attracting and retaining customers. We work with our customers and our suppliers to develop proprietary process technologies to enhance our existing capabilities, reduce time-to-market, increase quality and lower costs.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focus on research and product development will enable us to enter new markets early, capture market share and promote the adoption of our new package designs as industry standards. We collaborate with customers and leading OEMs to develop comprehensive packaging solutions that make it easier for next-generation semiconductors to be designed into next-generation end products. By collaborating with leading semiconductor companies and OEM electronic companies, we gain access to technology roadmaps that allow us to focus resources on developing new packages that satisfy their future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 Offering of Semiconductor Package Design, Packaging and Test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Creating successful interconnect solutions for advanced semiconductor devices often poses unique thermal, electrical and mechanical design challenges, and we employ a large number of engineers to solve these challenges for a wide variety of products. This wide variety of packaging offerings is necessary to meet the diverse needs of our customers for the optimal combination of performance, size and cost attributes. Our solutions enable our customers to focus on semiconductor design and wafer fabrication while utilizing Amkor as their turnkey design, packaging and test services provider and, in many cases, their packaging technology innovator.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offer an extensive line of advanced probe and final test services for analog, digital, logic, mixed signal and RF semiconductor devices. We believe that the breadth of our design, packaging and test services is important to customers seeking to limit the number of their suppliers.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Diversified Operating Base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a broad and geographically diversified operating footprint strategically located in seven countries in many of the world’s important electronics manufacturing regions. We believe that our scale and scope allow us to provide a flexible supply chain and cost-effective solutions to our customers by:</w:t>
      </w:r>
    </w:p>
    <w:p>
      <w:pPr>
        <w:spacing w:after="0" w:line="9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Offering capacity to absorb large orders and accommodate quick turn-around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favorable pricing on materials and equipment, where possible, by using our purchasing power and leading industry position;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Qualifying production of customer devices at multiple manufacturing sites to mitigate the risks of supply disruptions;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capabilities and solutions for customer-specific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Cost Structure and Disciplined Capital Investment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 continuous push throughout the entire semiconductor supply chain for lower cost solutions. We work to maintain a competitive cost structure and make disciplined capital investment decisions so that we can provide cost-competitive solutions to our customers and achieve sustainable profitability and cash flow. Some of our cost control efforts have been directed at: (1) improving the utilization of our existing assets; (2) developing new manufacturing methods to reduce processing costs; (3) utilizing flexible manufacturing lines that can accommodate a variety of products and customers; (4) increasing test densities to drive higher throughput; (5) implementing more cost-effective materials; (6) utilizing our scale to drive world-wide purchasing leverage; and (7) increasing labor productivity.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in a cyclical industry. During an industry downturn we seek to reduce our costs and drive greater factory and administrative efficiencies. Cost control efforts can include reducing labor costs by temporarily lowering compensation, reducing employee and contractor headcount, shortening work weeks and obtaining labor-related foreign government subsidies where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PACKAGING AND TEST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Semiconductor Manufacturing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semiconductor manufacturing process consists of IC design, wafer fabrication, wafer probe, packaging and final test.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Integrated circuit design involves the laying out of electronic components, such as transistors, resistors, capacitors and the metallic interconnect of these components, to achieve the desired device functionality. Wafer fabrication is a multiple-step sequence of photolithographic and chemical processing steps during which the ICs are gradually created on semiconductor material, typically a silicon wafer. Individual ICs are generally known as a “chip” or “die”, and a single wafer will contain many die. Wafers are fabricated by two types of companies - IDMs, which design and fabricate wafers using their own in-house manufacturing facilities, and contract foundries, which manufacture wafers that are designed by fabless companies or other customers. Excluding the vertically integrated memory market, contract foundries account for the majority of leading edge wafer processing technology manufacturing digital semiconductor products.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packaging and test services we provide occur subsequent to wafer fabrication. The wafers that we receive from our customers are generally consigned to us; we do not own the consigned wafers or record their value in our financial statements. During wafer probe, each individual die is electrically tested, or probed, for defects so that only good die are packaged. Packaging is the processing of bare die to facilitate electrical connections and heat dissipation and protect the die. The wafer is separated into individual die. Each good die is then assembled into a package that typically encapsulates the die for protection and creates the electrical connections used to connect the package to a printed circuit board, module or other part of the electronic device. In some packages, chips are attached to a substrate or leadframe carrier through wirebonding or flip chip interconnects and then encased in a protective material. Or, for a wafer-level package, the electrical interconnections are created directly on the surface of the die so that the chip may be attached directly to other parts of an electronic device without a substrate or leadframe. The packages are then tested using sophisticated equipment to ensure that each packaged chip meets its design and performance specifications.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and Test Technologies and Processes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employ wirebond, flip chip, copper clip and other interconnect technologies. We use leadframe and substrate package carriers, and we perform a variety of test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Interconnect Technologies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Wirebond: </w:t>
      </w:r>
      <w:r>
        <w:rPr>
          <w:rFonts w:ascii="Arial" w:cs="Arial" w:eastAsia="Arial" w:hAnsi="Arial"/>
          <w:sz w:val="18"/>
          <w:szCs w:val="18"/>
          <w:color w:val="auto"/>
        </w:rPr>
        <w:t>In packages that employ wirebond interconnect technology, the die is mounted face up on the package carrier and the interconnections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die and package carrier are made through very fine gold, silver or copper wires which are attached from the bond pads of the die to the package carrier. The interconnections are placed along the perimeter of the die. Wirebonding is generally considered to be the most cost-effective and flexible interconnect technology and is used to assemble the majority of semiconductor packages.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Flip Chip: </w:t>
      </w:r>
      <w:r>
        <w:rPr>
          <w:rFonts w:ascii="Arial" w:cs="Arial" w:eastAsia="Arial" w:hAnsi="Arial"/>
          <w:sz w:val="17"/>
          <w:szCs w:val="17"/>
          <w:color w:val="auto"/>
        </w:rPr>
        <w:t>In packages that employ flip chip interconnect technology, the interconnections between the die and package carrier are made through conductive</w:t>
      </w:r>
      <w:r>
        <w:rPr>
          <w:rFonts w:ascii="Arial" w:cs="Arial" w:eastAsia="Arial" w:hAnsi="Arial"/>
          <w:sz w:val="17"/>
          <w:szCs w:val="17"/>
          <w:i w:val="1"/>
          <w:iCs w:val="1"/>
          <w:color w:val="auto"/>
        </w:rPr>
        <w:t xml:space="preserve"> </w:t>
      </w:r>
      <w:r>
        <w:rPr>
          <w:rFonts w:ascii="Arial" w:cs="Arial" w:eastAsia="Arial" w:hAnsi="Arial"/>
          <w:sz w:val="17"/>
          <w:szCs w:val="17"/>
          <w:color w:val="auto"/>
        </w:rPr>
        <w:t>“bumps” that are placed directly on the die surface utilizing a process called wafer bumping. The bumped die is then “flipped over” and placed face down, with the bumps connecting directly to the package carrier. Flip chip allows a higher number of interconnects than wirebond as it uses the entire surface area of the die, and sometimes the perimeter as well, instead of just the perimeter as used by most wirebond packages. Flip chip also provides enhanced thermal and electrical performance and enables smaller die and thinner, smaller form factors (or physical package dimensions).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wafer bumping process consists of preparing the wafer for bumping and forming or placing the bumps. Preparation may include cleaning, removing insulating oxides and providing a pad metallurgy that will protect the interconnections while making good mechanical and electrical connection between the bump and the wafer.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Copper Clip</w:t>
      </w:r>
      <w:r>
        <w:rPr>
          <w:rFonts w:ascii="Arial" w:cs="Arial" w:eastAsia="Arial" w:hAnsi="Arial"/>
          <w:sz w:val="18"/>
          <w:szCs w:val="18"/>
          <w:color w:val="auto"/>
        </w:rPr>
        <w:t>: Copper clip interconnect technology uses a solid copper bridge or “clip” to connect the die to the package carrier. The clip allows a higher level</w:t>
      </w:r>
      <w:r>
        <w:rPr>
          <w:rFonts w:ascii="Arial" w:cs="Arial" w:eastAsia="Arial" w:hAnsi="Arial"/>
          <w:sz w:val="18"/>
          <w:szCs w:val="18"/>
          <w:i w:val="1"/>
          <w:iCs w:val="1"/>
          <w:color w:val="auto"/>
        </w:rPr>
        <w:t xml:space="preserve"> </w:t>
      </w:r>
      <w:r>
        <w:rPr>
          <w:rFonts w:ascii="Arial" w:cs="Arial" w:eastAsia="Arial" w:hAnsi="Arial"/>
          <w:sz w:val="18"/>
          <w:szCs w:val="18"/>
          <w:color w:val="auto"/>
        </w:rPr>
        <w:t>of current flow than a wire and also provides a better method of heat transfer from the die. The clip is either spot welded, or more often re-flow soldered, to the die pads and the package carrier pads.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Package Carriers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Leadframe: </w:t>
      </w:r>
      <w:r>
        <w:rPr>
          <w:rFonts w:ascii="Arial" w:cs="Arial" w:eastAsia="Arial" w:hAnsi="Arial"/>
          <w:sz w:val="17"/>
          <w:szCs w:val="17"/>
          <w:color w:val="auto"/>
        </w:rPr>
        <w:t>A leadframe is a miniature sheet of metal, generally made of copper and silver alloys, on which a pattern of electrical connections (or “leads”)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cut. The leads are generally placed around the perimeter of the leadframe and are used to connect the package to the system board. The number of leads on an individual leadframe is limited as electrical shorting can occur if the leads are placed too close together.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Substrate: </w:t>
      </w:r>
      <w:r>
        <w:rPr>
          <w:rFonts w:ascii="Arial" w:cs="Arial" w:eastAsia="Arial" w:hAnsi="Arial"/>
          <w:sz w:val="17"/>
          <w:szCs w:val="17"/>
          <w:color w:val="auto"/>
        </w:rPr>
        <w:t>A substrate is a laminate of either single or multiple layers of epoxy resin, woven glass fibers and metal conductors. Solder bumps provide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connection to the system board. The bumps are typically distributed evenly across the bottom surface of the substrate (called a “ball grid array” format). This allows less distance between individual leads and a higher number of interconnects than leadframe packages.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Services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provides a complete range of semiconductor testing services including wafer testing or probe and final test. We offer a broad range of test software, hardware, integration and product engineering services, and we support a range of business models and test capabilities. Substantially all of our test business is derived from testing packages that we assemble.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Wafer Test Services: </w:t>
      </w:r>
      <w:r>
        <w:rPr>
          <w:rFonts w:ascii="Arial" w:cs="Arial" w:eastAsia="Arial" w:hAnsi="Arial"/>
          <w:sz w:val="16"/>
          <w:szCs w:val="16"/>
          <w:color w:val="auto"/>
        </w:rPr>
        <w:t>Wafer test, also referred to as wafer probe, is performed after wafer fabrication or wafer bumping to screen out defective devices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We offer a range of wafer test coverage that can be tailored based on the cost and complexity of the die, the package and the product. These services range from coarse level screening for major defects all the way up to probing at high digital speeds and can include full radio frequency transmit and receive as well as testing at multiple temperatures. Wafer testing can also involve a range of wafer mapping and inspection operations.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Final Test Services: </w:t>
      </w:r>
      <w:r>
        <w:rPr>
          <w:rFonts w:ascii="Arial" w:cs="Arial" w:eastAsia="Arial" w:hAnsi="Arial"/>
          <w:sz w:val="18"/>
          <w:szCs w:val="18"/>
          <w:color w:val="auto"/>
        </w:rPr>
        <w:t>After the packaging process, final test is performed to ensure that the packaged device meets the customer’s requirements. Final test</w:t>
      </w:r>
      <w:r>
        <w:rPr>
          <w:rFonts w:ascii="Arial" w:cs="Arial" w:eastAsia="Arial" w:hAnsi="Arial"/>
          <w:sz w:val="18"/>
          <w:szCs w:val="18"/>
          <w:i w:val="1"/>
          <w:iCs w:val="1"/>
          <w:color w:val="auto"/>
        </w:rPr>
        <w:t xml:space="preserve"> </w:t>
      </w:r>
      <w:r>
        <w:rPr>
          <w:rFonts w:ascii="Arial" w:cs="Arial" w:eastAsia="Arial" w:hAnsi="Arial"/>
          <w:sz w:val="18"/>
          <w:szCs w:val="18"/>
          <w:color w:val="auto"/>
        </w:rPr>
        <w:t>spans a range of rigor and complexity depending on the device and end market application. More rigorous types of final test include testing multiple times under different electrical and temperature conditions and before and after device reliability stresses, such as burn-in. In addition to electrical testing, specialized solutions are required for packages that also process non-electric stimuli.</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electrical tests are a mix of functional, structural and system-level tests depending on the customer’s requirements and cost and reliability parameters. The electrical test equipment we use includes commercially available automated test equipment, customized and proprietary system level test equipment and innovative types of low cost test equipment developed by Amkor.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Products and Mainstream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offer a broad range of advanced and mainstream packaging and test services to our customers. We refer to our flip chip, wafer-level processing and related test services as “Advanced Products”, and our wirebond packaging and related test services as “Mainstream Products”. The following table sets forth, for the periods indicated, the amount of advanced and mainstream packaging and test net sales and the percentage of such net sales: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3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3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(In millions, except percentage of net sales)</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Mainstream Products</w:t>
            </w:r>
          </w:p>
        </w:tc>
        <w:tc>
          <w:tcPr>
            <w:tcW w:w="4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2,198</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2,241</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53.3%</w:t>
            </w:r>
          </w:p>
        </w:tc>
      </w:tr>
      <w:tr>
        <w:trPr>
          <w:trHeight w:val="27"/>
        </w:trPr>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Advanced Products include flip chip chip scale packages, wafer-level packages and flip chip ball grid array packages. These package families use flip chip interconnect technology so that the die can be connected to a substrate package carrier or, in the case of wafer-level chip scale packages, directly to a printed circuit board.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Flip Chip Chip Scale Package (“FC CSP”) Products</w:t>
      </w:r>
      <w:r>
        <w:rPr>
          <w:rFonts w:ascii="Arial" w:cs="Arial" w:eastAsia="Arial" w:hAnsi="Arial"/>
          <w:sz w:val="18"/>
          <w:szCs w:val="18"/>
          <w:color w:val="auto"/>
        </w:rPr>
        <w:t>: FC CSP packages are small form factor packages where the substrate size is not much larger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die itself. The size advantage provided by CSP technologies has made FC CSP an attractive choice for a wide variety of applications that require very small form factors such as smartphones, tablets and other mobile consumer electronic devices.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Flip chip stacked chip scale packages (“FC SCSP”) stack a second die on top of the original flip-chip die. The top die is typically a memory device, and wirebond interconnects are used to attach it to the substrate. FC SCSP is frequently used to stack memory on top of digital baseband and applications processors for use in mobile devices.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drive thinner package solutions for our PoP technology through the development of ultra-thin substrates and enhancing our pre-stacking and thin die handling capabilities.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Flip Chip Ball Grid Array (“FC BGA”) Products</w:t>
      </w:r>
      <w:r>
        <w:rPr>
          <w:rFonts w:ascii="Arial" w:cs="Arial" w:eastAsia="Arial" w:hAnsi="Arial"/>
          <w:sz w:val="16"/>
          <w:szCs w:val="16"/>
          <w:color w:val="auto"/>
        </w:rPr>
        <w:t>: FC BGA packages are large form factor substrate-based packages which are used where processing power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speed are needed and small form factors are not required. Our FC BGA packages are assembled around state-of-the-art substrates. Utilizing multiple high density routing layers, laser drilled vias, and ultra-fine line and space metallization, FC BGA substrates have the highest routing density available. The variety of FC BGA package options allows package selection to be tailored to the specific thermal needs of the end product. We offer FC BGA packaging in a variety of product formats to fit a wide range of end application requirements, including networking, storage, computing and consumer applications.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Wafer-level Package Products</w:t>
      </w:r>
      <w:r>
        <w:rPr>
          <w:rFonts w:ascii="Arial" w:cs="Arial" w:eastAsia="Arial" w:hAnsi="Arial"/>
          <w:sz w:val="18"/>
          <w:szCs w:val="18"/>
          <w:color w:val="auto"/>
        </w:rPr>
        <w:t>: We offer three types of wafer-level packages: Wafer-level CSP; wafer-level fan-out; and SWIFT.</w:t>
      </w:r>
    </w:p>
    <w:p>
      <w:pPr>
        <w:spacing w:after="0" w:line="225" w:lineRule="exact"/>
        <w:rPr>
          <w:sz w:val="20"/>
          <w:szCs w:val="20"/>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We have seen consistent content gains in our wafer-level CSP business, driven largely by mobile communications. Applications for wafer-level CSP include power management, transceivers, sensors, wireless charging, codecs and specialty silicon for new or unique functionality.</w:t>
      </w:r>
    </w:p>
    <w:p>
      <w:pPr>
        <w:spacing w:after="0" w:line="19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Wafer-level fan-out packages (also known as low-density fan-out packages) are utilized for ICs where the die surface area is too small to accommodate all of the bond pads. The fan-out package enlarges the bondable surface area by building a border around the die using low-cost molding compound. Wafer-level CSP and wafer-level fan-out are complementary technologies. Customers can choose between the two package types as their die sizes shrink or grow. With the acquisition of Nanium, we became a leader in low-density fan-out technology.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Silicon Wafer Integrated Fan-out Technology (“SWIFT”, also known as high-density fan-out) replaces a laminate substrate with a thinner structure. SWIFT solutions enable very thin, very small products combining application processors, memory, baseband and other peripheral 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Mainstream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Mainstream Products include leadframe packages, substrate-based wirebond packages and MEMS packages. These package families use wirebond interconnect technology to connect a die to a leadframe or substrate package carrier.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Leadframe Packages: </w:t>
      </w:r>
      <w:r>
        <w:rPr>
          <w:rFonts w:ascii="Arial" w:cs="Arial" w:eastAsia="Arial" w:hAnsi="Arial"/>
          <w:sz w:val="17"/>
          <w:szCs w:val="17"/>
          <w:color w:val="auto"/>
        </w:rPr>
        <w:t>Leadframe packages use wirebond or flip chip technology to interconnect a die to a leadframe package carrier. Leadframe packages are</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many electronic devices and remain the most practical and cost-effective solution for many low to medium pin count applications.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Traditional leadframe packages support a wide variety of device types and applications. Two of our most popular traditional leadframe package types are small outline integrated circuit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Arial" w:cs="Arial" w:eastAsia="Arial" w:hAnsi="Arial"/>
          <w:sz w:val="18"/>
          <w:szCs w:val="18"/>
          <w:i w:val="1"/>
          <w:iCs w:val="1"/>
          <w:color w:val="auto"/>
        </w:rPr>
        <w:t>Micro</w:t>
      </w:r>
      <w:r>
        <w:rPr>
          <w:rFonts w:ascii="Arial" w:cs="Arial" w:eastAsia="Arial" w:hAnsi="Arial"/>
          <w:sz w:val="18"/>
          <w:szCs w:val="18"/>
          <w:color w:val="auto"/>
        </w:rPr>
        <w:t>LeadFrame family of quad flat no lead packages.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Substrate-based Wirebond Packages</w:t>
      </w:r>
      <w:r>
        <w:rPr>
          <w:rFonts w:ascii="Arial" w:cs="Arial" w:eastAsia="Arial" w:hAnsi="Arial"/>
          <w:sz w:val="18"/>
          <w:szCs w:val="18"/>
          <w:color w:val="auto"/>
        </w:rPr>
        <w:t>: Substrate-based wirebond packages use wirebond technology to connect a die to a substrate. Some of our packages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category include stacked CSP, wirebond ball grid array packages and plastic ball grid array (“PBGA”) packages.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and mixed signal applications.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Wirebond ball grid array packages offer a broad selection of ball array pitches, ball counts and body sizes, single and multi-die layouts, stacked die and passive component integration. They are applicable for a wide range of semiconductors requiring a smaller package size than conventional PBGAs or leadframe packages.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PBGA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Micro-Electro-Mechanical Systems Packages</w:t>
      </w:r>
      <w:r>
        <w:rPr>
          <w:rFonts w:ascii="Arial" w:cs="Arial" w:eastAsia="Arial" w:hAnsi="Arial"/>
          <w:sz w:val="18"/>
          <w:szCs w:val="18"/>
          <w:color w:val="auto"/>
        </w:rPr>
        <w:t>: MEMS are miniaturized mechanical and electro-mechanical devices that can sense and provide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System-in-Package Modules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integrated circuits, passive devices (inductors, capacitors, resistors, filters and diplexers), antennas and mechanical parts.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increasing demand for miniaturization and higher functionality at competitive cost is driving the adoption of advanced SiP in new products. Advanced SiP modules are used for many applications such as RF and front end modules, basebands, connectivity, fingerprint sensors, display and touch screen drivers, sensors and MEMS, NAND memory and solid state drives. Advanced SiP modules are found in many products including smartphones and tablets, automobiles, wearable electronics, high-performance gaming systems, computers and network systems.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2019, 2018 and 2017, we had net sales of approximately $1,075 million, $990 million and $840 million, respectively, from our advanced SiP modules which are included in either Advanced Products or Mainstream Products depending upon the interconnect technology used in the module.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lists the end markets that use our products and sets forth, for the periods indicated, the percentage of net sales in each end market. All prior periods have been retrospectively recast to conform with current year presentation.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r>
      <w:tr>
        <w:trPr>
          <w:trHeight w:val="20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4"/>
              </w:rPr>
              <w:t xml:space="preserve">End Market Distribution Data </w:t>
            </w:r>
            <w:r>
              <w:rPr>
                <w:rFonts w:ascii="Arial" w:cs="Arial" w:eastAsia="Arial" w:hAnsi="Arial"/>
                <w:sz w:val="16"/>
                <w:szCs w:val="16"/>
                <w:color w:val="auto"/>
                <w:w w:val="94"/>
              </w:rPr>
              <w:t>(an approximation including representative devices and applications based on a sampling of</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our largest customers):</w:t>
            </w: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Communications (handheld devices, smart phones, tablets)</w:t>
            </w: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industrial and other (driver assist, infotainment, performance, safety)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Consumer (connected home, set-top boxes, televisions, visual imaging, wearables)</w:t>
            </w: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Computing (data center, infrastructure, PC/laptops, storage)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Total net sales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efforts focus on developing new packaging solutions and test services, as well as improving the efficiency and capabilities of our existing production processes. We believe that technology development is one of the keys to success in the semiconductor packaging and test industry. By concentrating our research and development on our customers’ needs for innovative packages, increased performance and lower cost, we gain opportunities to enter markets early, capture market share and promote our new package offerings as industry standards.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our top priorities is developing low-cost packaging solutions for the next generation of mobile devices, which minimize material and processing costs, while maximizing yields and reliability. This development effort is particularly important for customers seeking cost-effective alternatives to further silicon-level integration. Another important focus area is the development of wafer-level packages for larger chips. These wafer-level chip-scale packages and wafer-level fan-out (low density) packages are increasingly the preferred package type for many chips used in mobile devices. They provide a very low-profile product at a competitive cost. We are also developing integrated (high density) wafer-level fan-out solutions called SWIFT which enable very thin, very small products by combining application processors, memory, baseband and other peripheral ICs into one packaged module. Through the use of die partitioning and heterogeneous die integration, these sub-system and system modules provide higher functionality at lower cost versus multi-package options. Many of the innovations developed for mobile devices migrate to other end markets, as customers in other end markets have similar challenges regarding miniaturization, power management and performance.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research and development employees are located in the United States and Portugal and throughout Asia. In 2019, we had approximately 650 employees engaged in research and development activities. In 2019, 2018 and 2017, we incurred $137.6 million, $157.2 million and $166.6 million, respectively, of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offices are located throughout Asia, Europe and North America. Our support personnel manage and promote our packaging and test services and provide key customer and technical support. To provide comprehensive sales and customer service, we typically assign our customers a direct support team consisting of an account manager, technical program manager, test program manager and both field and factory customer support representatives. We also support our largest multinational customers from multiple office locations to ensure that we are aligned with their global operational and business requirements.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have generally been higher in the second half of the year than in the first half due to the effect of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product mix or overall demand in any of our end-markets can impact our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we had approximately 275 customers, including many of the largest semiconductor companies in the world. Our ten largest customers accounted for 63% of our net sales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materials are used primarily for packaging activities. Our packaging operations depend upon obtaining adequate supplies of materials on a timely basis. The principal materials used in our packaging process are leadframes, laminate substrates, gold and copper wire, mold compound, epoxy, tubes and trays. The silicon wafer is generally consigned from the customer. We generally do not take ownership of the customer consigned wafer, and title and risk of loss remains with the customer for these materials. Test materials constitute a very small portion of our total test cost. We purchase materials based on customer forecasts, and our customers are generally responsible for any unused materials which we purchased based on such forecasts.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 the materials required for packaging services from various suppliers. We source most of our materials, including critical materials such as leadframes, laminate substrates and gold wire, from a limited group of suppliers. We work closely with our primary material suppliers in an effort to ensure consistent quality, availability and timely delivery. We also negotiate world-wide pricing agreements with our major suppliers to take advantage of the scale of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types of equipment used in providing our packaging services are wirebonders and die bonders. In addition, we maintain a variety of other packaging equipment, including mold, singulation, die attach, ball attach and wafer backgrind, along with numerous other types of manufacturing equipment. A substantial portion of our packaging equipment base can generally be used and adapted to support the manufacture of many of our packages through the use of relatively low cost tooling, although equipment used in advanced packaging can be more difficult to redeploy than equipment used in traditional wirebond packaging.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purchase wafer bumping equipment to facilitate our flip chip and wafer level packaging services. Wafer bump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primary equipment used in the testing process includes testers, handlers and probers. Handlers are used to transfer individual or small groups of packaged ICs to a tester. Test equipment is generally a more capital intensive portion of the process and tends to have longer delivery lead times than most types of packaging equipment. We focus our capital expenditures on standardized tester platforms in order to maximize test equipment utilization where possible. In some cases, our customers will consign test equipment to us. In those cases, we operate the equipment on their behalf but do not own 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chemicals and materials in the semiconductor packaging process that generate byproducts such as wastewater, solid waste and flue gas. For example, water used for rinsing or cooling wafers being sawed or used in the etching or solder deposition process produces wastewater. Scraps from metal lead-frame or substrate or excessive molding resin produces solid waste. Emissions from solvents used for coating produce flue gases. In addition to byproducts, semiconductor packages have historically contained lead (“Pb”), a naturally occurring element that can be toxic. The use of Pb in our packages has decreased over time due to the use of Pb-free alternatives. The use and storage of chemicals and materials are subject to various laws and regulations governing waste disposal, water discharge, emissions into the atmosphere and employee health and safety. We are engaged in continuing efforts to comply with these environmental laws and regulations, including the establishment of Environmental Management Systems, safety training for employees and installation of pollution control equipment at our factories.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future we may be subject to changes to existing environmental regulations or new green initiatives required by our customers, investors or other stakeholders. We do not believe that capital expenditures or other costs attributable to compliance with environmental laws and regulations or green initiatives will have a material adverse effect on our business, liquidity, results of operations, financial condition or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committed to responsible environmental practices that go beyond legal requirements in conducting our business. These environmental practices include:</w:t>
      </w:r>
    </w:p>
    <w:p>
      <w:pPr>
        <w:spacing w:after="0" w:line="197" w:lineRule="exact"/>
        <w:rPr>
          <w:sz w:val="20"/>
          <w:szCs w:val="20"/>
          <w:color w:val="auto"/>
        </w:rPr>
      </w:pPr>
    </w:p>
    <w:p>
      <w:pPr>
        <w:ind w:left="340" w:right="20" w:hanging="332"/>
        <w:spacing w:after="0" w:line="271"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18"/>
          <w:szCs w:val="18"/>
          <w:color w:val="auto"/>
        </w:rPr>
        <w:t>Certification of our factories worldwide to International Organization for Standards (“ISO”) framework 14001, widely recognized as the standard for effective Environmental Management Systems.</w:t>
      </w:r>
    </w:p>
    <w:p>
      <w:pPr>
        <w:spacing w:after="0" w:line="182" w:lineRule="exact"/>
        <w:rPr>
          <w:rFonts w:ascii="Arial" w:cs="Arial" w:eastAsia="Arial" w:hAnsi="Arial"/>
          <w:sz w:val="22"/>
          <w:szCs w:val="22"/>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Measurement and independent verification of greenhouse gases (“GHG”) generated by our factories worldwide. Once collected, our GHG data is submitted to, and disclosed publicly by, the CDP, formerly known as the Carbon Disclosure Project. CDP is a leading organization that assesses the impact of climate change and promotes a sustainable economy.</w:t>
      </w:r>
    </w:p>
    <w:p>
      <w:pPr>
        <w:spacing w:after="0" w:line="181"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Membership in the Responsible Business Alliance (“RBA”), formerly known as the Electronic Industry Citizenship Coalition, an international industry group dedicated to corporate social responsibility. RBA members agree to follow a uniform Code of Conduct that includes standards of environmental responsibility, and our factories have been subject to independent audits to assess compliance with these standards.</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investment and process optimization activities to reduce GHGs include installation of solar photovoltaic panels, replacement of or improvements to chiller unit systems and use of lighting based on Light Emitting Diode (“LED”)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outsourced semiconductor packaging and test market is very competitive. We face substantial competition from established packaging and test service providers primarily located in Asia, including companies with significant manufacturing capacity, financial resources, research and development operations, marketing and other capabilities. These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include ASE Technology Holding Co., Ltd. and Jiangsu Changjiang Electronics Technology Co., Ltd. Such companies also have developed relationships with most of the world’s largest semiconductor companies, including current or potential customers of Amkor.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with the internal semiconductor packaging and test capabilities of many of our customers. Our IDM customers continually evaluate the attractiveness of outsourced services against their own in-house packaging and test services and at times may decide to shift some or all of their outsourced packaging and test services to internally sourced capacity. We also compete with contract foundries, such as Taiwan Semiconductor Manufacturing Company Limited and Samsung Electronics Co., Ltd., which offer full turnkey services from silicon wafer fabrication through packaging and final test. In addition, we compete with companies that offer only test services and not packaging.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elements of competition in the semiconductor packaging and test services market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technical competence;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packaging and test services offered, including turnkey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package and test design, technology innovation and implementation;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cycle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available capacity; and</w:t>
      </w:r>
    </w:p>
    <w:p>
      <w:pPr>
        <w:spacing w:after="0" w:line="171" w:lineRule="exact"/>
        <w:rPr>
          <w:rFonts w:ascii="Arial" w:cs="Arial" w:eastAsia="Arial" w:hAnsi="Arial"/>
          <w:sz w:val="18"/>
          <w:szCs w:val="18"/>
          <w:color w:val="auto"/>
        </w:rPr>
      </w:pPr>
    </w:p>
    <w:p>
      <w:pPr>
        <w:ind w:right="5260" w:firstLine="332"/>
        <w:spacing w:after="0" w:line="525" w:lineRule="auto"/>
        <w:tabs>
          <w:tab w:leader="none" w:pos="648" w:val="left"/>
        </w:tabs>
        <w:numPr>
          <w:ilvl w:val="0"/>
          <w:numId w:val="8"/>
        </w:numPr>
        <w:rPr>
          <w:rFonts w:ascii="Arial" w:cs="Arial" w:eastAsia="Arial" w:hAnsi="Arial"/>
          <w:sz w:val="16"/>
          <w:szCs w:val="16"/>
          <w:color w:val="auto"/>
        </w:rPr>
      </w:pPr>
      <w:r>
        <w:rPr>
          <w:rFonts w:ascii="Arial" w:cs="Arial" w:eastAsia="Arial" w:hAnsi="Arial"/>
          <w:sz w:val="16"/>
          <w:szCs w:val="16"/>
          <w:color w:val="auto"/>
        </w:rPr>
        <w:t>ability to invest in capacity, geographic location and scale of manufacturing. We believe that we compete favorably with respect to each of these elements.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abroad, and their durations vary depending on the jurisdiction in which each patent is filed. Although our patents are an important element of our intellectual property strategy as a whole, we are not materially dependent on any one patent or any one technology. We expect to continue to file patent applications when appropriate to protect our proprietary technologies, but we cannot assure you that we will receive patents from pending or future applications. In addition, any patents we obtain may be challenged, invalidated or circumvented and may not provide meaningful protection or other commercial advantage to us.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Further, to distinguish our products from our competitors’ products, we have obtained certain trademarks and service marks and may promote our particular brands through advertising and other marketing techniques.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2019, Amkor had approximately 29,650 full-time employees. We believe that our relations with our employees are good, and we have not experienced a work stoppage in any of our factories. Our employees in the Philippines, Singapore, Taiwan and the U.S. are not represented by any union. Certain employees at our factories in China, Japan, Korea, Malaysia and Portugal are members of a union, and we operate subject to collective bargaining agreements that we have entered into with these unions.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Annual Report on Form 10-K.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adversely affect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an inventory correction in the smartphone market and weakness in the general market reduced demand during 2019, and generally soft economic conditions and a lack of compelling new mobile products constrained overall demand during 2015. We believe that the general semiconductor market is still going through a typical cyclical correction.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margin,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11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and government shutdowns, civil disturbances or international events, such as the United Kingdom’s departure from the European Union;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pandemics or other illnesses that may impact our labor force, operations and end-user demand for products which incorporate semiconductors;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environmental;</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63% of our net sales for the year ended December 31, 2019. In addition, we have significant customer concentration within our end markets. The loss of a significant customer, a business combination among our customers, a reduction in orders or decrease in price from a significant customer or disruption in any of our significant strategic partnerships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other commercial arrangements may result in a decline in our sales and profitability and could have a material adverse effect on our business, liquidity, results of operations, financial condition and cash flows.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Capabilities of Integrated Device Manufacturers and Face Competition from New Competitors, Including Foundries.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ASE Technology Holding Co. LTD., in April 2018.</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foundries, which are substantially larger and have greater financial resources than we do, have expanded their operations to include packaging and test services and may continue to expand these capabilities in the future.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the past,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either of which may adversely impact our business, liquidity, results of operations, financial condition and cash flows.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have a negative impact on our business. For example, severe earthquakes and tsunamis in the past have significantly and adversely affected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shortage in the supply of wafers to some of our customers in a prior year delayed or otherwise adversely impacted the demand for certain of our advanced packaging and test services.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make significant investments in equipment and facilities in order to service the demand of our customers. For example, we had capital expenditures of $472.4 million in 2019, $547.1 million in 2018 and $550.9 million in 2017.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margin, at least in the near term. While we completed the initial phase of construction of our factory and research and development facility in Incheon, Korea in December 2016, there can be no assurance regarding when the facility will be fully utilized, or that the actual scope, costs, timeline or benefits of the project will be consistent with our expectations.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this occurs in the future, our business, liquidity, results of operations, financial condition and cash flows could be materially adversely affected.</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December 31, 2019, our total debt balance was $1,450.2 million, of which $144.5 million was classified as a current liability and $720.7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certain of our credit agreements use LIBOR or other reference rates to determine the rate of interest payable on our borrowings. The United Kingdom’s Financial Conduct Authority intends to phase out LIBOR by the end of 2021. Plans for alternative reference rates for other currencies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assess our liquidity based on our current expectations regarding sales, operating expenses, capital spending,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the performance of our business, our capital expenditure and other investment levels and our ability to repay debt and other long-term obligations out of our operating cash flows or with the proceeds of debt or equity financings.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2020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and other global conditions, could also make it difficult or more expensive for us to maintain our existing credit facilities or refinance our debt.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subsidiary in Korea maintains an unfunded severance plan under which we have an accrued liability of $127.4 million as of December 31, 2019.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See Note 13 to our Consolidated Financial Statements in Part II, Item 8 of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Although we continue to monitor and assess our internal controls for these systems and operations, there is a risk that deficiencies may occur that could constitute significant deficiencies or, in the aggregate, a material weakness.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Cybersecurity breaches could result in unauthorized disclosure of confidential information or disruptions to our operations.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with our existing systems and processes and such integration has inherent risks to existing operations. In addition, in May 2017, we completed our acquisition of Nanium and continue to integrate its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2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the Organisation for Economic Co-operation and Development has released recommendations and an action plan aimed to standardize and modernize global corporate tax policy, including changes to transfer pricing and other international tax matters to address base erosion and profit shifting impacting multinational companies like Amkor. Changes in U.S. or foreign tax laws arising out of such recommendations or otherwise could have a material adverse impact on our liquidity, results of operations, financial condition and cash flows.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Tax Reform Could Materially Impact Our Financial Position and Results of Operations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expected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In 2018, we updated our provisional estimate of the impact of the Tax Act and recorded a $22.3 million income tax expense to complete the accounting for the impact of the Tax Act, reducing our estimated net tax benefit of $41.6 million from 2017. Our accounting for the impact of the Tax Act is now complete in accordance with SEC staff issued Staff Accounting Bulletin No. 118 (“SAB 118”). However, there is uncertainty in the application of many aspects of the Tax Act and additional guidance with respect to the Tax Act may affect our estimates and could have a material impact on our income tax expense.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SiP modules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17 to the Consolidated Financial Statements in Part II, Item 8 of this Annual Report on Form 10-K.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Annual Report on Form 10-K on our results of operations, financial condition and cash flows could change in the future.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coronaviruses, Ebola or flu); industrial strikes; government imposed travel restrictions or quarantines;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and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Mr. James J. Kim, the Executive Chairman of our Board of Directors, Mr. John T. Kim, the Vice Chairman of our Board of Directors, Ms. Susan Y. Kim, a member of our Board of Directors, and members of the Kim family and affiliates owned approximately 141.7 million shares, or approximately 59%, of our outstanding common stock. The Kim family also has options to acquire approximately 0.5 million shares. If the options are exercised, the Kim family’s total ownership would be an aggregate of approximately 142.2 million shares of our outstanding common stock or approximately 59% of our outstanding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Approximate Facility Size</w:t>
            </w:r>
          </w:p>
        </w:tc>
        <w:tc>
          <w:tcPr>
            <w:tcW w:w="1480" w:type="dxa"/>
            <w:vAlign w:val="bottom"/>
          </w:tcPr>
          <w:p>
            <w:pPr>
              <w:spacing w:after="0"/>
              <w:rPr>
                <w:sz w:val="14"/>
                <w:szCs w:val="14"/>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(Square Feet)</w:t>
            </w:r>
          </w:p>
        </w:tc>
        <w:tc>
          <w:tcPr>
            <w:tcW w:w="1480" w:type="dxa"/>
            <w:vAlign w:val="bottom"/>
            <w:tcBorders>
              <w:bottom w:val="single" w:sz="8" w:color="auto"/>
            </w:tcBorders>
          </w:tcPr>
          <w:p>
            <w:pPr>
              <w:spacing w:after="0"/>
              <w:rPr>
                <w:sz w:val="16"/>
                <w:szCs w:val="16"/>
                <w:color w:val="auto"/>
              </w:rPr>
            </w:pPr>
          </w:p>
        </w:tc>
      </w:t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Owned</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Leased</w:t>
            </w:r>
          </w:p>
        </w:tc>
        <w:tc>
          <w:tcPr>
            <w:tcW w:w="148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China (1)</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1,325,000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1,325,000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1,683,000</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329,000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Korea</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3,924,000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3,924,000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Malaysia (1)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Philippines (2)</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758,000</w:t>
            </w:r>
          </w:p>
        </w:tc>
        <w:tc>
          <w:tcPr>
            <w:tcW w:w="1600" w:type="dxa"/>
            <w:vAlign w:val="bottom"/>
            <w:gridSpan w:val="2"/>
          </w:tcPr>
          <w:p>
            <w:pPr>
              <w:jc w:val="right"/>
              <w:ind w:right="14"/>
              <w:spacing w:after="0"/>
              <w:rPr>
                <w:sz w:val="20"/>
                <w:szCs w:val="20"/>
                <w:color w:val="auto"/>
              </w:rPr>
            </w:pPr>
            <w:r>
              <w:rPr>
                <w:rFonts w:ascii="Arial" w:cs="Arial" w:eastAsia="Arial" w:hAnsi="Arial"/>
                <w:sz w:val="18"/>
                <w:szCs w:val="18"/>
                <w:color w:val="auto"/>
              </w:rPr>
              <w:t>557,000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1,315,000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Portugal</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Taiwan (1)</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1,098,000</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1,098,000</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all facilities</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9,712,000</w:t>
            </w:r>
          </w:p>
        </w:tc>
        <w:tc>
          <w:tcPr>
            <w:tcW w:w="160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886,000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10,598,000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740" w:hanging="40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Land is leased.</w:t>
      </w:r>
    </w:p>
    <w:p>
      <w:pPr>
        <w:spacing w:after="0" w:line="171" w:lineRule="exact"/>
        <w:rPr>
          <w:rFonts w:ascii="Arial" w:cs="Arial" w:eastAsia="Arial" w:hAnsi="Arial"/>
          <w:sz w:val="18"/>
          <w:szCs w:val="18"/>
          <w:color w:val="auto"/>
        </w:rPr>
      </w:pPr>
    </w:p>
    <w:p>
      <w:pPr>
        <w:ind w:left="740" w:right="20" w:hanging="40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of foreign ownership restrictions in the Philippines, the land is leased. A portion of the land we lease is owned by realty companies in which we own a 40% interest.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executive offices, which are leased, are located in Tempe, Arizona and Singapore. We believe that our existing properties are in good condition and suitable for the conduct of our business and that the productive capacity of such properties is substantially being utilized or we have plans to utilize it.</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become involved in various disputes and litigation matters that arise in the ordinary course of our business. These include disputes and lawsuits related to intellectual property, acquisitions, licensing, contracts, tax, regulatory, employee relations and other matters. For a discussion of “Legal Proceedings,” see Note 17 to our Consolidated Financial Statements in Part II, Item 8 of this Annual Report on Form 10-K.</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“AMKR”. There were approximately 120 holders of record of our common stock as of February 14,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our public offering in 1998, we have never paid a dividend to our stockholders, and we do not have any present plans for doing so. In addition, certain of our debt agreements limit our ability to pay dividends. Refer to the Liquidity and Capital Resources section in Item 7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regarding equity compensation plans is set forth in Part III, Item 12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9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Average Price Paid Per Share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9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 (a)</w:t>
            </w:r>
          </w:p>
        </w:tc>
        <w:tc>
          <w:tcPr>
            <w:tcW w:w="5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November 1 - November 30</w:t>
            </w:r>
          </w:p>
        </w:tc>
        <w:tc>
          <w:tcPr>
            <w:tcW w:w="1920" w:type="dxa"/>
            <w:vAlign w:val="bottom"/>
          </w:tcPr>
          <w:p>
            <w:pPr>
              <w:jc w:val="right"/>
              <w:spacing w:after="0"/>
              <w:rPr>
                <w:sz w:val="20"/>
                <w:szCs w:val="20"/>
                <w:color w:val="auto"/>
              </w:rPr>
            </w:pPr>
            <w:r>
              <w:rPr>
                <w:rFonts w:ascii="Arial" w:cs="Arial" w:eastAsia="Arial" w:hAnsi="Arial"/>
                <w:sz w:val="18"/>
                <w:szCs w:val="18"/>
                <w:color w:val="auto"/>
              </w:rPr>
              <w:t>5,425</w:t>
            </w:r>
          </w:p>
        </w:tc>
        <w:tc>
          <w:tcPr>
            <w:tcW w:w="54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12.33</w:t>
            </w: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660" w:type="dxa"/>
            <w:vAlign w:val="bottom"/>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5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12.33</w:t>
            </w:r>
          </w:p>
        </w:tc>
        <w:tc>
          <w:tcPr>
            <w:tcW w:w="192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previously authorized the repurchase of up to $300.0 million of our common stock, $150.0 million in August 2011 and $150.0 million in February 2012, exclusive of any fees, commissions or other expenses. During 2018 and 2019, we made no common stock purchases, and at December 31, 2019, approximately $91.6 million was available pursuant to the stock repurchase program.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17145</wp:posOffset>
            </wp:positionV>
            <wp:extent cx="5556885" cy="4605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6885" cy="460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preceding Stock Performance Graph is not deemed filed with the SEC and shall not be incorporated by reference in any of our filings under the Securities Act of 1933, as amended, or the Exchange Act, whether made before or after the date hereof and irrespective of any general incorporation language in any such filing.</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sets forth the cumulative total returns included in the preceding Stock Performance Graph for the years ended December 31, 2014 through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Amkor Technology,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148.59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183.10</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S&amp;P 500</w:t>
            </w: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113.51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138.29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132.23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173.86</w:t>
            </w:r>
          </w:p>
        </w:tc>
      </w:tr>
      <w:tr>
        <w:trPr>
          <w:trHeight w:val="33"/>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PHLX Semiconductor</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137.10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192.69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181.04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295.57</w:t>
            </w:r>
          </w:p>
        </w:tc>
      </w:tr>
      <w:tr>
        <w:trPr>
          <w:trHeight w:val="33"/>
        </w:trPr>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selected financial data should be read in conjunction with Management’s Discussion and Analysis of Financial Condition and Results of Operations and our Consolidated Financial Statements in Part II, Item 7 and Item 8, respectively, of this Annual Report on Form 10-K.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3"/>
                <w:szCs w:val="13"/>
                <w:b w:val="1"/>
                <w:bCs w:val="1"/>
                <w:color w:val="auto"/>
              </w:rPr>
              <w:t>For the Year Ended December 31,</w:t>
            </w: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14"/>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428"/>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18"/>
                <w:szCs w:val="18"/>
                <w:color w:val="auto"/>
              </w:rPr>
            </w:pPr>
          </w:p>
        </w:tc>
        <w:tc>
          <w:tcPr>
            <w:tcW w:w="900" w:type="dxa"/>
            <w:vAlign w:val="bottom"/>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340" w:type="dxa"/>
            <w:vAlign w:val="bottom"/>
          </w:tcPr>
          <w:p>
            <w:pPr>
              <w:spacing w:after="0"/>
              <w:rPr>
                <w:sz w:val="18"/>
                <w:szCs w:val="18"/>
                <w:color w:val="auto"/>
              </w:rPr>
            </w:pPr>
          </w:p>
        </w:tc>
        <w:tc>
          <w:tcPr>
            <w:tcW w:w="940" w:type="dxa"/>
            <w:vAlign w:val="bottom"/>
          </w:tcPr>
          <w:p>
            <w:pPr>
              <w:jc w:val="right"/>
              <w:ind w:right="308"/>
              <w:spacing w:after="0"/>
              <w:rPr>
                <w:sz w:val="20"/>
                <w:szCs w:val="20"/>
                <w:color w:val="auto"/>
              </w:rPr>
            </w:pPr>
            <w:r>
              <w:rPr>
                <w:rFonts w:ascii="Arial" w:cs="Arial" w:eastAsia="Arial" w:hAnsi="Arial"/>
                <w:sz w:val="13"/>
                <w:szCs w:val="13"/>
                <w:b w:val="1"/>
                <w:bCs w:val="1"/>
                <w:color w:val="auto"/>
              </w:rPr>
              <w:t>2017 (d)</w:t>
            </w:r>
          </w:p>
        </w:tc>
        <w:tc>
          <w:tcPr>
            <w:tcW w:w="360" w:type="dxa"/>
            <w:vAlign w:val="bottom"/>
          </w:tcPr>
          <w:p>
            <w:pPr>
              <w:spacing w:after="0"/>
              <w:rPr>
                <w:sz w:val="18"/>
                <w:szCs w:val="18"/>
                <w:color w:val="auto"/>
              </w:rPr>
            </w:pPr>
          </w:p>
        </w:tc>
        <w:tc>
          <w:tcPr>
            <w:tcW w:w="840" w:type="dxa"/>
            <w:vAlign w:val="bottom"/>
          </w:tcPr>
          <w:p>
            <w:pPr>
              <w:jc w:val="right"/>
              <w:ind w:right="228"/>
              <w:spacing w:after="0"/>
              <w:rPr>
                <w:sz w:val="20"/>
                <w:szCs w:val="20"/>
                <w:color w:val="auto"/>
              </w:rPr>
            </w:pPr>
            <w:r>
              <w:rPr>
                <w:rFonts w:ascii="Arial" w:cs="Arial" w:eastAsia="Arial" w:hAnsi="Arial"/>
                <w:sz w:val="13"/>
                <w:szCs w:val="13"/>
                <w:b w:val="1"/>
                <w:bCs w:val="1"/>
                <w:color w:val="auto"/>
                <w:w w:val="84"/>
              </w:rPr>
              <w:t>2016 (e)(f)</w:t>
            </w:r>
          </w:p>
        </w:tc>
        <w:tc>
          <w:tcPr>
            <w:tcW w:w="300" w:type="dxa"/>
            <w:vAlign w:val="bottom"/>
          </w:tcPr>
          <w:p>
            <w:pPr>
              <w:spacing w:after="0"/>
              <w:rPr>
                <w:sz w:val="18"/>
                <w:szCs w:val="18"/>
                <w:color w:val="auto"/>
              </w:rPr>
            </w:pPr>
          </w:p>
        </w:tc>
        <w:tc>
          <w:tcPr>
            <w:tcW w:w="920" w:type="dxa"/>
            <w:vAlign w:val="bottom"/>
          </w:tcPr>
          <w:p>
            <w:pPr>
              <w:jc w:val="right"/>
              <w:ind w:right="208"/>
              <w:spacing w:after="0"/>
              <w:rPr>
                <w:sz w:val="20"/>
                <w:szCs w:val="20"/>
                <w:color w:val="auto"/>
              </w:rPr>
            </w:pPr>
            <w:r>
              <w:rPr>
                <w:rFonts w:ascii="Arial" w:cs="Arial" w:eastAsia="Arial" w:hAnsi="Arial"/>
                <w:sz w:val="13"/>
                <w:szCs w:val="13"/>
                <w:b w:val="1"/>
                <w:bCs w:val="1"/>
                <w:color w:val="auto"/>
              </w:rPr>
              <w:t>2015 (e)(f)</w:t>
            </w:r>
          </w:p>
        </w:tc>
      </w:tr>
      <w:tr>
        <w:trPr>
          <w:trHeight w:val="57"/>
        </w:trPr>
        <w:tc>
          <w:tcPr>
            <w:tcW w:w="5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gridSpan w:val="4"/>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2"/>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thousands, except per share data)</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Statement Data:</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4,052,650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4,316,466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4,207,031</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3,927,849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2,884,603</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649,439</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710,565</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761,079</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709,891</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479,265</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Gain on sale of real estate (a)</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(3,302)</w:t>
            </w:r>
          </w:p>
        </w:tc>
        <w:tc>
          <w:tcPr>
            <w:tcW w:w="36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(108,109)</w:t>
            </w:r>
          </w:p>
        </w:tc>
        <w:tc>
          <w:tcPr>
            <w:tcW w:w="3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233,170</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258,144</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405,540</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308,587</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164,839</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Loss on debt retirement (b)</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8,536</w:t>
            </w:r>
          </w:p>
        </w:tc>
        <w:tc>
          <w:tcPr>
            <w:tcW w:w="36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1,512</w:t>
            </w:r>
          </w:p>
        </w:tc>
        <w:tc>
          <w:tcPr>
            <w:tcW w:w="34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4,835</w:t>
            </w:r>
          </w:p>
        </w:tc>
        <w:tc>
          <w:tcPr>
            <w:tcW w:w="3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9,560</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(c)</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37,182</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56,250</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39,791</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51,042</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28,035</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Equity in earnings of equity method investees</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14,016</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122,628</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129,565</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267,705</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178,653</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53,893</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income attributable to Amkor</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120,888</w:t>
            </w:r>
          </w:p>
        </w:tc>
        <w:tc>
          <w:tcPr>
            <w:tcW w:w="36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127,092</w:t>
            </w:r>
          </w:p>
        </w:tc>
        <w:tc>
          <w:tcPr>
            <w:tcW w:w="34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263,550</w:t>
            </w:r>
          </w:p>
        </w:tc>
        <w:tc>
          <w:tcPr>
            <w:tcW w:w="3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175,530</w:t>
            </w: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51,098</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Amkor per common share: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0.50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0.53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0.74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0.22</w:t>
            </w: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0.50</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0.53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r>
      <w:tr>
        <w:trPr>
          <w:trHeight w:val="28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524,177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571,961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581,940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555,186</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494,200</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property, plant and equipment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472,433</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547,122</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550,943</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650,038</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537,975</w:t>
            </w:r>
          </w:p>
        </w:tc>
      </w:tr>
      <w:tr>
        <w:trPr>
          <w:trHeight w:val="28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894,948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681,569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596,364</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549,518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523,172</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941,730</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512,785</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325,945</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404,035</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299,296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Total assets (g)</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4,695,615</w:t>
            </w:r>
          </w:p>
        </w:tc>
        <w:tc>
          <w:tcPr>
            <w:tcW w:w="36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4,495,447</w:t>
            </w:r>
          </w:p>
        </w:tc>
        <w:tc>
          <w:tcPr>
            <w:tcW w:w="34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4,508,388</w:t>
            </w:r>
          </w:p>
        </w:tc>
        <w:tc>
          <w:tcPr>
            <w:tcW w:w="3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4,092,086</w:t>
            </w: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4,026,428</w:t>
            </w: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liabilities, including debt (g)</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1,645,573</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1,481,124</w:t>
            </w: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1,470,620</w:t>
            </w: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1,683,021</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1,790,708</w:t>
            </w: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Total Amkor stockholders’ equity</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1,963,739</w:t>
            </w:r>
          </w:p>
        </w:tc>
        <w:tc>
          <w:tcPr>
            <w:tcW w:w="360" w:type="dxa"/>
            <w:vAlign w:val="bottom"/>
          </w:tcPr>
          <w:p>
            <w:pPr>
              <w:spacing w:after="0"/>
              <w:rPr>
                <w:sz w:val="22"/>
                <w:szCs w:val="22"/>
                <w:color w:val="auto"/>
              </w:rPr>
            </w:pP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1,830,540</w:t>
            </w:r>
          </w:p>
        </w:tc>
        <w:tc>
          <w:tcPr>
            <w:tcW w:w="34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1,696,276</w:t>
            </w:r>
          </w:p>
        </w:tc>
        <w:tc>
          <w:tcPr>
            <w:tcW w:w="3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1,383,588</w:t>
            </w: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1,200,286</w:t>
            </w:r>
          </w:p>
        </w:tc>
      </w:tr>
    </w:tbl>
    <w:p>
      <w:pPr>
        <w:spacing w:after="0" w:line="16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May 2017, we sold the land and buildings comprising our K1 factory for $142.4 million which resulted in a pre-tax gain of $108.1 million.</w:t>
      </w:r>
    </w:p>
    <w:p>
      <w:pPr>
        <w:spacing w:after="0" w:line="17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April 2019, we recorded an $8.4 million loss on extinguishment related to the call premium paid and other debt related costs associated with redemption of the outstanding $525 million aggregate principal amount of 6.375% Senior Notes due 2022. In July 2017, we recorded a loss on debt retirement of $4.4 million relating to the partial early repayment of our 6.625% Senior Notes due 2021. During 2015, we recorded a loss on debt retirement of $8.9 million relating to the early repayment of our 7.375% Senior Notes due May 2018.</w:t>
      </w:r>
    </w:p>
    <w:p>
      <w:pPr>
        <w:spacing w:after="0" w:line="13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2019, income tax expense includes a net $11.1 million discrete income tax charge related to changes in the valuation of certain deferred tax assets. In 2018, we recorded a $ 22.3 million income tax expense to complete the accounting for the impact of the Tax Act. This expense reduced our estimated net tax benefit of $41.6 million recorded in 2017, primarily due to the reversal of a valuation allowance on certain U.S. deferred tax assets as a result of the enactment of the Tax Act.</w:t>
      </w:r>
    </w:p>
    <w:p>
      <w:pPr>
        <w:spacing w:after="0" w:line="13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May 22, 2017, we completed the purchase of Nanium. Their financial results have been included in our Consolidated Financial Statements from the date of acquisition.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ind w:left="340" w:hanging="332"/>
        <w:spacing w:after="0" w:line="27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increased our investment in J-Devices from 60% to 100% on December 30, 2015 through the exercise of additional options. As a result, our accounting for our Japan operations changed from the equity method to the consolidation method effective December 30, 2015. Our balance sheet data as of December 31, 2015 reflects the consolidation of our Japan operations. We began consolidating the operating results of our Japan operations in 2016. We recognized a net loss of $13.5 million in other (income) expense, net in connection with the acquisition in 2015. The net loss resulted from a loss of $29.6 million related to the release of certain accumulated foreign currency translation adjustments related to our Japan operations, offset by a gain of $16.1 million related to the step-up to fair value of our previous investments in our Japan operations.</w:t>
      </w:r>
    </w:p>
    <w:p>
      <w:pPr>
        <w:spacing w:after="0" w:line="124"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January 1, 2018, we retrospectively adopted Accounting Standards Update (“ASU”) 2014-09, Revenue from Contracts with Customers (Topic 606). The selected financial data as of December 31, 2016 and 2015 and for the year ended December 31, 2015 was not adjusted for this new accounting standard.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On January 1, 2019, we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of December 31, 2019, there was an increase to our consolidated balance sheet of approximately $128 million for operating lease right of use assets and approximately $132 million for operating lease liabilities.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section includes comparisons of certain 2019 financial information to the same information for 2018. For discussion of 2018 results in comparison with 2017 results refer to “Management’s Discussion and Analysis of Financial Conditions and Results of Operations” in our Annual Report on Form 10-K filed with the Securities and Exchange Commission on February 22,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166"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generally outpaces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Our sales of advanced packages into the automotive market are growing as well, largely due to new, data-intensive applications, which require increased pin count and performance. We believe that our technology leadership and this technology transition create significant growth opportunities for us.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identify attractive opportunities to grow our customer base and expand the markets we serve through joint ventures, acquisitions and other strategic investments. For example, in May 2017 we acquired Nanium, which has strengthened our position in the market for wafer-level fan-out packaging, and in December 2015 we completed the acquisition of our Japan operations. We believe that taking advantage of these opportunities helps diversify our revenue streams, improve our profits, broaden our portfolio of services and maintain our technological leadership.</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industry cycles. The semiconductor industry has experienced significant and sometimes prolonged cyclical upturns and downturns in the past. We believe that the smartphone inventory correction that impacted the first half of 2019 has recovered, while the general semiconductor market is nearing stabilization and is likely to resume growth going forward. We cannot predict the timing, strength or duration of any correction, economic slowdown or subsequent economic recovery.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1, Item 1A of this Annual Report on Form 10-K.</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in a capital 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Financial Summary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net sales decreased $263.8 million or 6.1% to $4,052.7 million in 2019 from $4,316.5 million in 2018. The decrease was generally attributable to a cyclical correction of the semiconductor market, partially offset by the introduction of a new high volume consumer product.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decreased $61.1 million in 2019 compared to 2018, primarily due to lower revenue, reduced capacity utilization and mix of products sold with higher material content in 2019, partially offset by our continued effort to control our manufacturing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we issued $525.0 million aggregate principal amount of our 6.625% Senior Notes due September 2027 (the “2027 Notes”). In April 2019, the net proceeds from this issuance were used, together with cash on hand, to redeem the outstanding $525.0 million aggregate principal amount of our 6.375% Senior Notes due October 2022 (the “2022 Notes”).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our capital expenditures totaled $472.4 million, or 11.7% of net sales compared to $547.1 million, or 12.7% of net sales in 2018. The decrease is primarily due to our decision to reduce spending on incremental capacity during a period of reduced demand.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was $563.9 million for the year ended December 31, 2019, compared to $663.4 million for the year ended December 31, 2018. This decrease was primarily due to lower net sales, lower operating profit, and changes in working capital.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2019, we entered into a ¥28.5 billion ($260.6 million) term loan agreement due December 2024. We immediately drew down the full loan amount and used the proceeds to pay down $80.0 million of our senior secured revolving credit facility due 2023. In January 2020, we also used these proceeds to pay down $120.0 million of our term loan due December 2023. The remaining proceeds will be used for other general corporate purposes.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r>
      <w:tr>
        <w:trPr>
          <w:trHeight w:val="236"/>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7"/>
        </w:trPr>
        <w:tc>
          <w:tcPr>
            <w:tcW w:w="76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Amkor</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6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 over 2018</w:t>
            </w:r>
          </w:p>
        </w:tc>
        <w:tc>
          <w:tcPr>
            <w:tcW w:w="10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2018 over 2017</w:t>
            </w:r>
          </w:p>
        </w:tc>
        <w:tc>
          <w:tcPr>
            <w:tcW w:w="520" w:type="dxa"/>
            <w:vAlign w:val="bottom"/>
            <w:tcBorders>
              <w:bottom w:val="single" w:sz="8" w:color="auto"/>
            </w:tcBorders>
          </w:tcPr>
          <w:p>
            <w:pPr>
              <w:spacing w:after="0"/>
              <w:rPr>
                <w:sz w:val="22"/>
                <w:szCs w:val="22"/>
                <w:color w:val="auto"/>
              </w:rPr>
            </w:pPr>
          </w:p>
        </w:tc>
      </w:tr>
      <w:tr>
        <w:trPr>
          <w:trHeight w:val="250"/>
        </w:trPr>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gridSpan w:val="3"/>
          </w:tcPr>
          <w:p>
            <w:pPr>
              <w:ind w:left="380"/>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4,052,650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4,316,466</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4,207,031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(263,816)</w:t>
            </w:r>
          </w:p>
        </w:tc>
        <w:tc>
          <w:tcPr>
            <w:tcW w:w="10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(6.1)%  $</w:t>
            </w:r>
          </w:p>
        </w:tc>
        <w:tc>
          <w:tcPr>
            <w:tcW w:w="140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109,435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2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in 2019 compared to 2018 was generally attributable to a cyclical correction of the semiconductor market, partially offset by the introduction of a new high volume consumer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8"/>
              </w:rPr>
              <w:t>2019 over 2018</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4"/>
              </w:rPr>
              <w:t>2018 over 2017</w:t>
            </w: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140" w:type="dxa"/>
            <w:vAlign w:val="bottom"/>
            <w:gridSpan w:val="4"/>
          </w:tcPr>
          <w:p>
            <w:pPr>
              <w:jc w:val="right"/>
              <w:ind w:right="943"/>
              <w:spacing w:after="0"/>
              <w:rPr>
                <w:sz w:val="20"/>
                <w:szCs w:val="20"/>
                <w:color w:val="auto"/>
              </w:rPr>
            </w:pPr>
            <w:r>
              <w:rPr>
                <w:rFonts w:ascii="Arial" w:cs="Arial" w:eastAsia="Arial" w:hAnsi="Arial"/>
                <w:sz w:val="14"/>
                <w:szCs w:val="14"/>
                <w:b w:val="1"/>
                <w:bCs w:val="1"/>
                <w:color w:val="auto"/>
                <w:w w:val="89"/>
              </w:rPr>
              <w:t>(In thousands, except percentages)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649,439</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710,565</w:t>
            </w:r>
          </w:p>
        </w:tc>
        <w:tc>
          <w:tcPr>
            <w:tcW w:w="56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761,079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(61,126)</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(50,514)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2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16.0%</w:t>
            </w:r>
          </w:p>
        </w:tc>
        <w:tc>
          <w:tcPr>
            <w:tcW w:w="360" w:type="dxa"/>
            <w:vAlign w:val="bottom"/>
          </w:tcPr>
          <w:p>
            <w:pPr>
              <w:spacing w:after="0"/>
              <w:rPr>
                <w:sz w:val="20"/>
                <w:szCs w:val="20"/>
                <w:color w:val="auto"/>
              </w:rPr>
            </w:pPr>
          </w:p>
        </w:tc>
        <w:tc>
          <w:tcPr>
            <w:tcW w:w="1400" w:type="dxa"/>
            <w:vAlign w:val="bottom"/>
            <w:gridSpan w:val="2"/>
          </w:tcPr>
          <w:p>
            <w:pPr>
              <w:jc w:val="right"/>
              <w:ind w:right="363"/>
              <w:spacing w:after="0"/>
              <w:rPr>
                <w:sz w:val="20"/>
                <w:szCs w:val="20"/>
                <w:color w:val="auto"/>
              </w:rPr>
            </w:pPr>
            <w:r>
              <w:rPr>
                <w:rFonts w:ascii="Arial" w:cs="Arial" w:eastAsia="Arial" w:hAnsi="Arial"/>
                <w:sz w:val="16"/>
                <w:szCs w:val="16"/>
                <w:color w:val="auto"/>
              </w:rPr>
              <w:t>16.5%</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depending upon product mix, utilization and seasonality.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and gross margin for 2019 decreased compared to 2018, primarily due to lower revenue, reduced capacity utilization and mix of products sold with higher material content in 2019, partially offset by our continued effort to control our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 over 2018</w:t>
            </w:r>
          </w:p>
        </w:tc>
        <w:tc>
          <w:tcPr>
            <w:tcW w:w="1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 over 2017</w:t>
            </w:r>
          </w:p>
        </w:tc>
        <w:tc>
          <w:tcPr>
            <w:tcW w:w="600" w:type="dxa"/>
            <w:vAlign w:val="bottom"/>
            <w:tcBorders>
              <w:bottom w:val="single" w:sz="8" w:color="auto"/>
            </w:tcBorders>
          </w:tcPr>
          <w:p>
            <w:pPr>
              <w:spacing w:after="0"/>
              <w:rPr>
                <w:sz w:val="22"/>
                <w:szCs w:val="22"/>
                <w:color w:val="auto"/>
              </w:rPr>
            </w:pPr>
          </w:p>
        </w:tc>
      </w:tr>
      <w:tr>
        <w:trPr>
          <w:trHeight w:val="250"/>
        </w:trPr>
        <w:tc>
          <w:tcPr>
            <w:tcW w:w="2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20" w:type="dxa"/>
            <w:vAlign w:val="bottom"/>
            <w:gridSpan w:val="3"/>
          </w:tcPr>
          <w:p>
            <w:pPr>
              <w:jc w:val="right"/>
              <w:ind w:right="223"/>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281,933</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295,239</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297,021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rPr>
              <w:t>(13,306)</w:t>
            </w:r>
          </w:p>
        </w:tc>
        <w:tc>
          <w:tcPr>
            <w:tcW w:w="116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(4.5)%  $</w:t>
            </w:r>
          </w:p>
        </w:tc>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(1,782)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2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decreased in 2019 compared to 2018 primarily due to decreased employee compensation costs, a gain on sale of real estate in Japan and our continued effort to control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 over 2018</w:t>
            </w:r>
          </w:p>
        </w:tc>
        <w:tc>
          <w:tcPr>
            <w:tcW w:w="1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 over 2017</w:t>
            </w:r>
          </w:p>
        </w:tc>
        <w:tc>
          <w:tcPr>
            <w:tcW w:w="600" w:type="dxa"/>
            <w:vAlign w:val="bottom"/>
            <w:tcBorders>
              <w:bottom w:val="single" w:sz="8" w:color="auto"/>
            </w:tcBorders>
          </w:tcPr>
          <w:p>
            <w:pPr>
              <w:spacing w:after="0"/>
              <w:rPr>
                <w:sz w:val="22"/>
                <w:szCs w:val="22"/>
                <w:color w:val="auto"/>
              </w:rPr>
            </w:pPr>
          </w:p>
        </w:tc>
      </w:tr>
      <w:tr>
        <w:trPr>
          <w:trHeight w:val="250"/>
        </w:trPr>
        <w:tc>
          <w:tcPr>
            <w:tcW w:w="2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80" w:type="dxa"/>
            <w:vAlign w:val="bottom"/>
            <w:gridSpan w:val="3"/>
          </w:tcPr>
          <w:p>
            <w:pPr>
              <w:jc w:val="right"/>
              <w:ind w:right="183"/>
              <w:spacing w:after="0"/>
              <w:rPr>
                <w:sz w:val="20"/>
                <w:szCs w:val="20"/>
                <w:color w:val="auto"/>
              </w:rPr>
            </w:pPr>
            <w:r>
              <w:rPr>
                <w:rFonts w:ascii="Arial" w:cs="Arial" w:eastAsia="Arial" w:hAnsi="Arial"/>
                <w:sz w:val="14"/>
                <w:szCs w:val="14"/>
                <w:b w:val="1"/>
                <w:bCs w:val="1"/>
                <w:color w:val="auto"/>
              </w:rPr>
              <w:t>(In thousands, except percentages)</w:t>
            </w: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137,638</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157,182</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166,627</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63"/>
              <w:spacing w:after="0"/>
              <w:rPr>
                <w:sz w:val="20"/>
                <w:szCs w:val="20"/>
                <w:color w:val="auto"/>
              </w:rPr>
            </w:pPr>
            <w:r>
              <w:rPr>
                <w:rFonts w:ascii="Arial" w:cs="Arial" w:eastAsia="Arial" w:hAnsi="Arial"/>
                <w:sz w:val="16"/>
                <w:szCs w:val="16"/>
                <w:color w:val="auto"/>
              </w:rPr>
              <w:t>(19,544)</w:t>
            </w:r>
          </w:p>
        </w:tc>
        <w:tc>
          <w:tcPr>
            <w:tcW w:w="120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(12.4)%  $</w:t>
            </w:r>
          </w:p>
        </w:tc>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(9,445)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2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decreased in 2019 over 2018 due to projects that moved into production, partially offset by new development projects, primarily at our research and development facility in Korea.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2"/>
              </w:rPr>
              <w:t>2019 over 2018</w:t>
            </w:r>
          </w:p>
        </w:tc>
        <w:tc>
          <w:tcPr>
            <w:tcW w:w="8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0"/>
              </w:rPr>
              <w:t>2018 over 2017</w:t>
            </w:r>
          </w:p>
        </w:tc>
        <w:tc>
          <w:tcPr>
            <w:tcW w:w="700" w:type="dxa"/>
            <w:vAlign w:val="bottom"/>
            <w:tcBorders>
              <w:bottom w:val="single" w:sz="8" w:color="auto"/>
            </w:tcBorders>
          </w:tcPr>
          <w:p>
            <w:pPr>
              <w:spacing w:after="0"/>
              <w:rPr>
                <w:sz w:val="22"/>
                <w:szCs w:val="22"/>
                <w:color w:val="auto"/>
              </w:rPr>
            </w:pPr>
          </w:p>
        </w:tc>
      </w:tr>
      <w:tr>
        <w:trPr>
          <w:trHeight w:val="250"/>
        </w:trPr>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w w:val="97"/>
              </w:rPr>
              <w:t>(In thousands, except percentages)</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71,587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85,554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(7,359)</w:t>
            </w: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(3,215)</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(2,522)</w:t>
            </w:r>
          </w:p>
        </w:tc>
        <w:tc>
          <w:tcPr>
            <w:tcW w:w="44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61.0 %</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(918)</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28.6 %</w:t>
            </w:r>
          </w:p>
        </w:tc>
      </w:tr>
      <w:tr>
        <w:trPr>
          <w:trHeight w:val="33"/>
        </w:trPr>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34.0 %</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Loss on debt retirement</w:t>
            </w: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7,024</w:t>
            </w:r>
          </w:p>
        </w:tc>
        <w:tc>
          <w:tcPr>
            <w:tcW w:w="440" w:type="dxa"/>
            <w:vAlign w:val="bottom"/>
          </w:tcPr>
          <w:p>
            <w:pPr>
              <w:spacing w:after="0"/>
              <w:rPr>
                <w:sz w:val="20"/>
                <w:szCs w:val="20"/>
                <w:color w:val="auto"/>
              </w:rPr>
            </w:pPr>
          </w:p>
        </w:tc>
        <w:tc>
          <w:tcPr>
            <w:tcW w:w="800" w:type="dxa"/>
            <w:vAlign w:val="bottom"/>
          </w:tcPr>
          <w:p>
            <w:pPr>
              <w:jc w:val="right"/>
              <w:ind w:right="240"/>
              <w:spacing w:after="0"/>
              <w:rPr>
                <w:sz w:val="20"/>
                <w:szCs w:val="20"/>
                <w:color w:val="auto"/>
              </w:rPr>
            </w:pPr>
            <w:r>
              <w:rPr>
                <w:rFonts w:ascii="Arial" w:cs="Arial" w:eastAsia="Arial" w:hAnsi="Arial"/>
                <w:sz w:val="16"/>
                <w:szCs w:val="16"/>
                <w:color w:val="auto"/>
                <w:w w:val="91"/>
              </w:rPr>
              <w:t>&gt;100%</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(3,323)</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33"/>
        </w:trPr>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3,395</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(62.3)%</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&gt;100%</w:t>
            </w:r>
          </w:p>
        </w:tc>
      </w:tr>
      <w:tr>
        <w:trPr>
          <w:trHeight w:val="244"/>
        </w:trPr>
        <w:tc>
          <w:tcPr>
            <w:tcW w:w="2580" w:type="dxa"/>
            <w:vAlign w:val="bottom"/>
          </w:tcPr>
          <w:p>
            <w:pPr>
              <w:ind w:left="280"/>
              <w:spacing w:after="0"/>
              <w:rPr>
                <w:sz w:val="20"/>
                <w:szCs w:val="20"/>
                <w:color w:val="auto"/>
              </w:rPr>
            </w:pPr>
            <w:r>
              <w:rPr>
                <w:rFonts w:ascii="Arial" w:cs="Arial" w:eastAsia="Arial" w:hAnsi="Arial"/>
                <w:sz w:val="16"/>
                <w:szCs w:val="16"/>
                <w:color w:val="auto"/>
              </w:rPr>
              <w:t>Total other expense, net</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73,360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72,329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98,044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1,031</w:t>
            </w:r>
          </w:p>
        </w:tc>
        <w:tc>
          <w:tcPr>
            <w:tcW w:w="440" w:type="dxa"/>
            <w:vAlign w:val="bottom"/>
          </w:tcPr>
          <w:p>
            <w:pPr>
              <w:spacing w:after="0"/>
              <w:rPr>
                <w:sz w:val="21"/>
                <w:szCs w:val="21"/>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1.4 %</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(25,715)</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0"/>
        </w:trPr>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decreased in 2019 compared to 2018, primarily due to the redemption of $200.0 million of our 6.625% Senior Notes due 2021 in August 2018. The 2018 redemption was funded with proceeds from our term loan due July 2023 which has a significantly lower interest rate. The interest expense decrease was partially offset by the interest incurred under our new $525.0 million aggregate principal amount of our 2027 Notes, which were issued in March 2019.</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Loss on debt retirement in 2019 is primarily due to the early redemption in April 2019 of the outstanding $525 million aggregate principal amount of our 6.375% Senior Notes due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6"/>
                <w:szCs w:val="16"/>
                <w:color w:val="auto"/>
              </w:rPr>
            </w:pPr>
          </w:p>
        </w:tc>
      </w:tr>
      <w:tr>
        <w:trPr>
          <w:trHeight w:val="264"/>
        </w:trPr>
        <w:tc>
          <w:tcPr>
            <w:tcW w:w="4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w w:val="94"/>
              </w:rPr>
              <w:t>2019 over 2018</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2018 over 2017</w:t>
            </w:r>
          </w:p>
        </w:tc>
      </w:tr>
      <w:tr>
        <w:trPr>
          <w:trHeight w:val="250"/>
        </w:trPr>
        <w:tc>
          <w:tcPr>
            <w:tcW w:w="4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00" w:type="dxa"/>
            <w:vAlign w:val="bottom"/>
            <w:gridSpan w:val="5"/>
          </w:tcPr>
          <w:p>
            <w:pPr>
              <w:jc w:val="right"/>
              <w:ind w:right="945"/>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37,182</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56,250</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39,791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(19,068)</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16,459</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0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23.3%</w:t>
            </w:r>
          </w:p>
        </w:tc>
        <w:tc>
          <w:tcPr>
            <w:tcW w:w="360" w:type="dxa"/>
            <w:vAlign w:val="bottom"/>
          </w:tcPr>
          <w:p>
            <w:pPr>
              <w:spacing w:after="0"/>
              <w:rPr>
                <w:sz w:val="20"/>
                <w:szCs w:val="20"/>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30.3%</w:t>
            </w:r>
          </w:p>
        </w:tc>
        <w:tc>
          <w:tcPr>
            <w:tcW w:w="360" w:type="dxa"/>
            <w:vAlign w:val="bottom"/>
          </w:tcPr>
          <w:p>
            <w:pPr>
              <w:spacing w:after="0"/>
              <w:rPr>
                <w:sz w:val="20"/>
                <w:szCs w:val="20"/>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our income is earned and taxed in foreign jurisdictions in the Asia Pacific region with applicable tax rates of approximately 25%. Income tax expense, which includes foreign withholding taxes and minimum taxes, reflects the applicable tax rates in effect in the various countries where our income is earned and is subject to volatility depending on the relative mix of earnings in each location.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in 2017 includes a net tax benefit of $41.6 million for the provisional estimate of the impact of the Tax Act. The effective tax rate in 2018 includes a $22.3 million income tax expense to complete the accounting for the impact of the Tax Act, reducing our estimated net tax benefit of $41.6 million from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2019, 2018 and 2017, our subsidiaries in Korea, Malaysia, the Philippines, Singapore and Taiwan operated under various tax holidays. The tax holidays granted to our Malaysia operations and certain operations in the Philippines expired during 2018. The tax holiday granted to certain operations in Taiwan expired as of December 31, 2017. As these tax holidays expire, income earned in these jurisdictions will be subject to higher statutory income tax rates, which may cause our effective tax rate to increase.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6 to our Consolidated Financial Statements included in Part II, Item 8 of this Annual Report on Form 10-K for additional information about our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factors,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 Item 1A of this Annual Report on Form 10-K.</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cash and the source of funds for our operations are cash flows from operations, current cash and cash equivalents, borrowings under available credit facilities and proceeds from any additional debt or equity financings. In March 2019, we issued $525.0 million of our 2027 Notes. Additionally, in April 2019, we redeemed the outstanding $525.0 million aggregate principal amount of our 2022 Notes. The redemption was funded with net proceeds from our issuance of the 2027 Notes, together with cash on hand. We refer you to Note 12 to our Consolidated Financial Statements in Part II, Item 8 of this Annual Report on Form 10-K for additional information.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we had cash and cash equivalents of $894.9 million. Included in our cash balance as of December 31, 2019, is $790.0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generally will not be subject to U.S. federal income tax. We estimate that repatriation of this foreign cash would generate withholding taxes and state income taxes of approximately $6.9 million.</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2018, the senior secured revolving credit facility of Amkor Technology, Inc. was terminated and replaced by a new senior secured revolving credit facility due July 2023 entered into by our subsidiary, Amkor Technology Singapore Holding Pte, Ltd. (“the Singapore Revolver”), and guaranteed by Amkor Technology, Inc. The availability for the Singapore Revolver is based on the amount of eligible accounts receivable. As of December 31, 2019, we had availability of $250.0 million under the Singapore Revolver, with no outstanding standby letters of credit. We refer you to Note 12 to our Consolidated Financial Statements in Part II, Item 8 of this Annual Report on Form 10-K for additional information. As of December 31, 2019, our foreign subsidiaries had $316.0 million available to be drawn under revolving credit facilities, including the Singapore Revolver, and $110.0 million available to be borrowed under term loan credit facilities for working capital purposes and capital expenditures.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2019, we had $1,450.2 million of debt. Our scheduled principal repayments on debt include $144.5 million due in 2020, $113.4 million due in 2021, $260.0 million due in 2022, $297.8 million due in 2023, $81.9 million due in 2024 and $562.7 million due thereafter. We were in compliance with all debt covenants as of December 31, 2019, and we expect to remain in compliance with these covenants for at least the next twelve months.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2019, we entered into a ¥28.5 billion (US$260.6 million) term loan agreement due December 2024. We immediately drew down the full loan amount and used the proceeds to pay down the $80.0 million of the Singapore Revolver. In January 2020, we also used these proceeds to repay $120.0 million of our term loan due December 2023. The remaining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will be used for other general corporate purposes. We refer you to Note 12 to our Consolidated Financial Statements in Part II, Item 8 of this Annual Report on Form 10-K for additional information.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 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year ended December 31, 2019 and 2018, we sold accounts receivable totaling $680.4 million and $873.9 million, net of discounts and fees of $4.4 million and $7.0 million, respectively.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also guarantees certain debt of our subsidiaries.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December 31, 2019,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program since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make significant capital expenditures in order to service the demand of our customers, which is primarily focused on investments in advanced packaging and test equipment. In 2019, our capital expenditures totaled $472.4 million or approximately 11.7% of net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our 2020 capital expenditures will be approximately $550 million. Ultimately, the amount of our 2020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 Item 1A of this Annual Report on Form 10-K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each of the three years ended December 31, 2019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left="657"/>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563,850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663,410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618,267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(462,489)</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(537,383)</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(454,832)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108,250</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(40,623)</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(124,886)</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 provided by operating activities for the year ended December 31, 2019 decreased by $99.6 million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primarily due to lower net sales, lower operating profit, and changes in working capital.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cash flow used in investing activities decreased compared to the year ended December 31, 2018 principally due to our initiative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spending on incremental capacity during a period of reduced demand. The net cash used in investing activities for the year ended December 31, 2017, included the receipt of the remaining proceeds for the sale of the K1 factory in Korea and a payment for the acquisition of Nanium.</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provided by financing activities for the year ended December 31, 2019 was primarily due to the issuance of the 2027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net borrowings in Japan, partially offset by the redemption of the 2022 Notes and net repayments in Korea. The net cash used in financing activities for the year ended December 31, 2018 was primarily driven by the full redemption of our 6.625% Senior Notes due 2021 and net repayments in China and Korea, partially offset by the net borrowings in Japan.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563,850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663,410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618,267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(547,122)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(550,943)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141,530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103,072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120,500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208,854</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2019, and the effect such obligations are expected to have on our liquidity and cash flows in future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86"/>
              </w:rPr>
              <w:t>Payments Due for Year Ending December 31,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r>
      <w:tr>
        <w:trPr>
          <w:trHeight w:val="248"/>
        </w:trPr>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1,460,351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144,479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113,408</w:t>
            </w:r>
          </w:p>
        </w:tc>
        <w:tc>
          <w:tcPr>
            <w:tcW w:w="44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260,022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297,818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562,714</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362,403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58,722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56,789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52,686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48,137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37,909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108,160</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2,110</w:t>
            </w: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4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147,800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46,204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35,686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11,046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24,244</w:t>
            </w: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25,546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2,864</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Severance obligations (4)</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127,386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13,408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9,286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8,456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78,371</w:t>
            </w:r>
          </w:p>
        </w:tc>
      </w:tr>
      <w:tr>
        <w:trPr>
          <w:trHeight w:val="24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2,210,486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348,493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228,456</w:t>
            </w:r>
          </w:p>
        </w:tc>
        <w:tc>
          <w:tcPr>
            <w:tcW w:w="440" w:type="dxa"/>
            <w:vAlign w:val="bottom"/>
            <w:gridSpan w:val="3"/>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348,015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367,706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139,353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778,463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December 31, 2019, for variable rate debt.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December 31,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December 31, 2019, include:</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$62.8 million of foreign pension plan obligations, for which the timing and actual amount of impact on our future cash flow is uncertain.</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$26.2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17 to our Consolidated Financial Statements in Part II, Item 8 of this Annual Report on Form 10-K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Annual Report on Form 10-K. Our preparation of this Annual Report on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account for businesses we acquire using the acquisition method of accounting and record the underlying net assets at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acquisition-date fair values. The accounting for acquisitions requires us to make significant estimates and assumptions, including those with respect to future cash flows, discount rates and asset lives, and therefore requires considerable judgment. These determinations affect the amount of depreciation and amortization expense recognized in future periods. Our estimates of fair value are based upon assumptions believed to be reasonable; however, they are inherently uncertain and unpredictable.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recognize revenue, net of sales, use, value-added and other similar taxes, as a performance obligation is satisfied in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operate in and file income tax returns in various U.S. and non-U.S. jurisdictions which are subject to examination by tax authorities.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tax holidays or changes in tax laws or regulations could result in increased tax expense and effective tax rates in the future.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monitor on an ongoing basis our ability to utilize our deferred tax assets and whether there is a need for a related valuation allowance. In evaluating our ability to recover our deferred tax assets in the jurisdictions from which they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arise, we consider all available positive and negative evidence, including scheduled reversals of deferred tax liabilities, projected future taxable income, tax planning strategies and results of recent operations. For most of our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certain U.S. federal net operating loss and U.S. foreign tax credit carryforwards expected to expire unused and select deferred tax assets in certain foreign jurisdictions. Such valuation allowances are released as the related tax benefits are realized or when sufficient evidence exists to conclude that it is more likely than not that the deferred tax assets will be realized.</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Valuation of Inventory. </w:t>
      </w:r>
      <w:r>
        <w:rPr>
          <w:rFonts w:ascii="Arial" w:cs="Arial" w:eastAsia="Arial" w:hAnsi="Arial"/>
          <w:sz w:val="17"/>
          <w:szCs w:val="17"/>
          <w:color w:val="auto"/>
        </w:rPr>
        <w:t>We order raw materials based on customers’ forecasted demand. If our customers change their forecasted requirements and we are</w:t>
      </w:r>
      <w:r>
        <w:rPr>
          <w:rFonts w:ascii="Arial" w:cs="Arial" w:eastAsia="Arial" w:hAnsi="Arial"/>
          <w:sz w:val="17"/>
          <w:szCs w:val="17"/>
          <w:i w:val="1"/>
          <w:iCs w:val="1"/>
          <w:color w:val="auto"/>
        </w:rPr>
        <w:t xml:space="preserve"> </w:t>
      </w:r>
      <w:r>
        <w:rPr>
          <w:rFonts w:ascii="Arial" w:cs="Arial" w:eastAsia="Arial" w:hAnsi="Arial"/>
          <w:sz w:val="17"/>
          <w:szCs w:val="17"/>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an annual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Valuation of Long-lived Assets. </w:t>
      </w:r>
      <w:r>
        <w:rPr>
          <w:rFonts w:ascii="Arial" w:cs="Arial" w:eastAsia="Arial" w:hAnsi="Arial"/>
          <w:sz w:val="18"/>
          <w:szCs w:val="18"/>
          <w:color w:val="auto"/>
        </w:rPr>
        <w:t>We review long-lived assets, which include property, plant and equipment and goodwill,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amount may not be recoverable. Factors we consider important which could trigger an impairment review include the following:</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asset;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negative industry or economic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recently adopted accounting standards, see Note 2 to our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liabilities denominated in foreign currencies.</w:t>
      </w:r>
    </w:p>
    <w:p>
      <w:pPr>
        <w:spacing w:after="0" w:line="166"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2019, to assess the potential impact of fluctuations in exchange rates for all foreign denominated assets and liabilities. Assuming that all foreign currencies appreciated 10% against the U.S. dollar, taking into account our foreign currency forward contracts, our income before taxes as of December 31, 2019 would have been approximately $8 million lower, due to the remeasurement of monetary assets and liabilities.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year ended December 31, 2019, approximately 77% of our net sales were denominated in U.S. dollars. Our remaining net sales were principally denominated in Japanese Yen for local country sales. For the year ended December 31, 2019, approximately 51%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2019, to assess the potential impact of fluctuations in exchange rates for all foreign denominated sales and operating expenses. Assuming that all foreign currencies appreciated 10% against the U.S. dollar, our operating income for the year ended December 31, 2019 would have been approximately $106 million lower.</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are impacted by changes in exchange rates at the entity where the local currency is the functional currency. The effect of foreign exchange rate translation for these entities was a gain of $2.8 million and $4.9 million for the years ended December 31, 2019 and 2018, respectively, and was recognized as an adjustment to equity through other comprehensive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rate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111,408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111,408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215,772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97,818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61,910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562,714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1,161,030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1,213,715</w:t>
            </w: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Variable rate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33,071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299,321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303,916</w:t>
            </w: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3"/>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debt maturities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144,479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260,022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297,818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562,714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1,460,351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1,517,631</w:t>
            </w:r>
          </w:p>
        </w:tc>
      </w:tr>
      <w:tr>
        <w:trPr>
          <w:trHeight w:val="20"/>
        </w:trPr>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16 to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740" w:type="dxa"/>
            <w:vAlign w:val="bottom"/>
            <w:gridSpan w:val="11"/>
          </w:tcPr>
          <w:p>
            <w:pPr>
              <w:spacing w:after="0"/>
              <w:rPr>
                <w:sz w:val="20"/>
                <w:szCs w:val="20"/>
                <w:color w:val="auto"/>
              </w:rPr>
            </w:pPr>
            <w:r>
              <w:rPr>
                <w:rFonts w:ascii="Arial" w:cs="Arial" w:eastAsia="Arial" w:hAnsi="Arial"/>
                <w:sz w:val="18"/>
                <w:szCs w:val="18"/>
                <w:color w:val="auto"/>
              </w:rPr>
              <w:t>We present the information required by Item 8 of Form 10-K here in the following order:</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40" w:type="dxa"/>
            <w:vAlign w:val="bottom"/>
          </w:tcPr>
          <w:p>
            <w:pPr>
              <w:spacing w:after="0"/>
              <w:rPr>
                <w:sz w:val="17"/>
                <w:szCs w:val="17"/>
                <w:color w:val="auto"/>
              </w:rPr>
            </w:pPr>
          </w:p>
        </w:tc>
        <w:tc>
          <w:tcPr>
            <w:tcW w:w="4220" w:type="dxa"/>
            <w:vAlign w:val="bottom"/>
            <w:gridSpan w:val="3"/>
          </w:tcPr>
          <w:p>
            <w:pPr>
              <w:spacing w:after="0" w:line="202"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Report of Independent Registered Public Accounting Firm</w:t>
              </w:r>
            </w:hyperlink>
          </w:p>
        </w:tc>
        <w:tc>
          <w:tcPr>
            <w:tcW w:w="6480" w:type="dxa"/>
            <w:vAlign w:val="bottom"/>
            <w:gridSpan w:val="7"/>
          </w:tcPr>
          <w:p>
            <w:pPr>
              <w:spacing w:after="0"/>
              <w:rPr>
                <w:sz w:val="17"/>
                <w:szCs w:val="17"/>
                <w:color w:val="auto"/>
              </w:rPr>
            </w:pPr>
          </w:p>
        </w:tc>
        <w:tc>
          <w:tcPr>
            <w:tcW w:w="680" w:type="dxa"/>
            <w:vAlign w:val="bottom"/>
            <w:gridSpan w:val="3"/>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Income — Years ended December 31, 2019, 2018 and 2017</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Comprehensive Income — Years ended December 31, 2019, 2018 and 2017</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80" w:type="dxa"/>
            <w:vAlign w:val="bottom"/>
            <w:gridSpan w:val="4"/>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Balance Sheets — December 31, 2019 and 2018</w:t>
              </w:r>
            </w:hyperlink>
          </w:p>
        </w:tc>
        <w:tc>
          <w:tcPr>
            <w:tcW w:w="3020" w:type="dxa"/>
            <w:vAlign w:val="bottom"/>
            <w:gridSpan w:val="5"/>
          </w:tcPr>
          <w:p>
            <w:pPr>
              <w:spacing w:after="0"/>
              <w:rPr>
                <w:sz w:val="21"/>
                <w:szCs w:val="21"/>
                <w:color w:val="auto"/>
              </w:rPr>
            </w:pPr>
          </w:p>
        </w:tc>
        <w:tc>
          <w:tcPr>
            <w:tcW w:w="320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320" w:type="dxa"/>
            <w:vAlign w:val="bottom"/>
            <w:gridSpan w:val="7"/>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Stockholders’ Equity — Years ended December 31, 2019, 2018 and 2017</w:t>
              </w:r>
            </w:hyperlink>
          </w:p>
        </w:tc>
        <w:tc>
          <w:tcPr>
            <w:tcW w:w="338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gridSpan w:val="6"/>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Cash Flows — Years ended December 31, 2019, 2018 and 2017</w:t>
              </w:r>
            </w:hyperlink>
          </w:p>
        </w:tc>
        <w:tc>
          <w:tcPr>
            <w:tcW w:w="680" w:type="dxa"/>
            <w:vAlign w:val="bottom"/>
          </w:tcPr>
          <w:p>
            <w:pPr>
              <w:spacing w:after="0"/>
              <w:rPr>
                <w:sz w:val="21"/>
                <w:szCs w:val="21"/>
                <w:color w:val="auto"/>
              </w:rPr>
            </w:pPr>
          </w:p>
        </w:tc>
        <w:tc>
          <w:tcPr>
            <w:tcW w:w="338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40" w:type="dxa"/>
            <w:vAlign w:val="bottom"/>
            <w:gridSpan w:val="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4060" w:type="dxa"/>
            <w:vAlign w:val="bottom"/>
            <w:gridSpan w:val="4"/>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1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Schedule II — Valuation and Qualifying Accounts — Years ended December 31, 2019, 2018 and 2017</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86</w:t>
              </w:r>
            </w:hyperlink>
          </w:p>
        </w:tc>
      </w:tr>
      <w:tr>
        <w:trPr>
          <w:trHeight w:val="912"/>
        </w:trPr>
        <w:tc>
          <w:tcPr>
            <w:tcW w:w="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600" w:type="dxa"/>
            <w:vAlign w:val="bottom"/>
            <w:tcBorders>
              <w:top w:val="single" w:sz="8" w:color="0000EE"/>
            </w:tcBorders>
            <w:gridSpan w:val="4"/>
          </w:tcPr>
          <w:p>
            <w:pPr>
              <w:jc w:val="right"/>
              <w:ind w:right="560"/>
              <w:spacing w:after="0"/>
              <w:rPr>
                <w:sz w:val="20"/>
                <w:szCs w:val="20"/>
                <w:color w:val="auto"/>
              </w:rPr>
            </w:pPr>
            <w:r>
              <w:rPr>
                <w:rFonts w:ascii="Arial" w:cs="Arial" w:eastAsia="Arial" w:hAnsi="Arial"/>
                <w:sz w:val="18"/>
                <w:szCs w:val="18"/>
                <w:color w:val="auto"/>
              </w:rPr>
              <w:t>47</w:t>
            </w:r>
          </w:p>
        </w:tc>
        <w:tc>
          <w:tcPr>
            <w:tcW w:w="3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Amkor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Amkor Technology, Inc. and its subsidiaries (the “Company”) as of December 31, 2019 and 2018, and the related consolidated statements of income, of comprehensive income, of stockholders’ equity and of cash flows for each of the three years in the period ended December 31, 2019, including the related notes and schedule of valuation and qualifying accounts for each of the three years in the period ended December 31, 2019 appearing under Item 8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in Notes 1 and 6 to the consolidated financial statements, the Company recorded income tax expense of $37.2 million for the year ended December 31, 2019, and net deferred tax assets of $90.3 million and unrecognized tax benefits of $26.2 million as of December 31, 2019. 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Management monitors on an ongoing basis its ability to utilize deferred tax assets and whether there is a need for a related valuation allowance. In evaluating the ability to recover deferred tax assets in the jurisdictions from which they arise, management considers all available positive and negative evidence, including scheduled reversals of deferred tax liabilities, projected future taxable income, tax-planning strategies and results of recent operations. The Company operates in and files income tax returns in various U.S. and foreign jurisdictions, which are subject to examination by tax authorities. Years open to examination contain matters that could be subject to differing interpretations of applicable tax laws and regulations related to the amount and/or timing of income, deductions and tax credits.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accounting for income taxes is a critical audit matter are there was significant judgment by management in determining the income tax provision and other tax positions. This in turn led to a high degree of auditor judgment, subjectivity and effort in performing procedures and in evaluating audit evidence relating to income taxes. The audit effort involved the use of professionals with specialized skill and knowledge to assist in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the controls addressing the completeness and accuracy of the data utilized. These procedures also included, among others (i) testing the income tax provision calculation and underlying data, including the effective tax rate reconciliation, significant return to provision adjustments, and permanent and temporary differences, (ii) evaluating management’s assessment of the realizability of deferred tax assets on a jurisdictional basis, (iii) evaluating the identification of reserves for unrecognized tax benefits and the reasonableness of the “more likely than not” determination considering the jurisdictions, court decisions, legislative actions, statute of limitations, and developments in tax examinations, and (iv) using professionals with specialized skill and knowledge to assist in evaluating the reasonableness of management’s judgment and estimates, including application of foreign and domestic tax laws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4,052,650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4,316,466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4,207,031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3,403,211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3,605,901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3,445,952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761,079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281,933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295,239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297,021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(108,109)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355,539</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233,170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258,144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405,540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related party</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73,360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72,329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98,044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56,250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39,791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127,092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263,550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per common share amounts: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239,725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239,329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238,937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240,122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239,741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239,651</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122,628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129,565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267,705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11,092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117,931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130,858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283,962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Amkor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116,191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128,385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279,807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tcPr>
          <w:p>
            <w:pPr>
              <w:jc w:val="center"/>
              <w:ind w:left="572"/>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r>
      <w:tr>
        <w:trPr>
          <w:trHeight w:val="256"/>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681,569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 of $1,314 and $677,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850,753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724,456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220,602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230,589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34,620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2,001,533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1,671,208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2,650,448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148,549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144,178</w:t>
            </w:r>
          </w:p>
        </w:tc>
      </w:tr>
      <w:tr>
        <w:trPr>
          <w:trHeight w:val="297"/>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4,695,615</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4,495,447</w:t>
            </w:r>
          </w:p>
        </w:tc>
      </w:tr>
      <w:tr>
        <w:trPr>
          <w:trHeight w:val="163"/>
        </w:trPr>
        <w:tc>
          <w:tcPr>
            <w:tcW w:w="8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43"/>
        </w:trPr>
        <w:tc>
          <w:tcPr>
            <w:tcW w:w="8340" w:type="dxa"/>
            <w:vAlign w:val="bottom"/>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144,479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114,579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571,054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530,398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expenditures payable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77,044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255,237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267,226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258,209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1,059,803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1,158,423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1,305,755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1,217,732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and severance obligations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176,971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184,321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71,740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79,071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2,705,376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2,639,547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Common stock, $0.001 par value, 500,000 shares authorized, 286,877 and 285,352 shares issued, and 240,805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239,385 shares outstanding,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1,927,739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1,909,425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234,077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113,189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19,115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23,812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46,072 and 45,967 shares, respectively</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(216,171)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Amkor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1,963,739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1,830,540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1,990,239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1,855,900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4,695,615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4,495,447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76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9"/>
              </w:rPr>
              <w:t>Accumulated</w:t>
            </w:r>
          </w:p>
        </w:tc>
        <w:tc>
          <w:tcPr>
            <w:tcW w:w="152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Retained Earnings</w:t>
            </w:r>
          </w:p>
        </w:tc>
        <w:tc>
          <w:tcPr>
            <w:tcW w:w="120" w:type="dxa"/>
            <w:vAlign w:val="bottom"/>
          </w:tcPr>
          <w:p>
            <w:pPr>
              <w:spacing w:after="0"/>
              <w:rPr>
                <w:sz w:val="10"/>
                <w:szCs w:val="10"/>
                <w:color w:val="auto"/>
              </w:rPr>
            </w:pPr>
          </w:p>
        </w:tc>
        <w:tc>
          <w:tcPr>
            <w:tcW w:w="1160" w:type="dxa"/>
            <w:vAlign w:val="bottom"/>
            <w:gridSpan w:val="3"/>
          </w:tcPr>
          <w:p>
            <w:pPr>
              <w:jc w:val="center"/>
              <w:ind w:right="400"/>
              <w:spacing w:after="0" w:line="122" w:lineRule="exact"/>
              <w:rPr>
                <w:sz w:val="20"/>
                <w:szCs w:val="20"/>
                <w:color w:val="auto"/>
              </w:rPr>
            </w:pPr>
            <w:r>
              <w:rPr>
                <w:rFonts w:ascii="Arial" w:cs="Arial" w:eastAsia="Arial" w:hAnsi="Arial"/>
                <w:sz w:val="11"/>
                <w:szCs w:val="11"/>
                <w:b w:val="1"/>
                <w:bCs w:val="1"/>
                <w:color w:val="auto"/>
                <w:w w:val="95"/>
              </w:rPr>
              <w:t>Other</w:t>
            </w:r>
          </w:p>
        </w:tc>
        <w:tc>
          <w:tcPr>
            <w:tcW w:w="15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w w:val="93"/>
              </w:rPr>
              <w:t>Additional Paid-</w:t>
            </w:r>
          </w:p>
        </w:tc>
        <w:tc>
          <w:tcPr>
            <w:tcW w:w="100" w:type="dxa"/>
            <w:vAlign w:val="bottom"/>
          </w:tcPr>
          <w:p>
            <w:pPr>
              <w:spacing w:after="0"/>
              <w:rPr>
                <w:sz w:val="8"/>
                <w:szCs w:val="8"/>
                <w:color w:val="auto"/>
              </w:rPr>
            </w:pPr>
          </w:p>
        </w:tc>
        <w:tc>
          <w:tcPr>
            <w:tcW w:w="10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7"/>
              </w:rPr>
              <w:t>(Accumulated</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7"/>
              </w:rPr>
              <w:t>Stockholders’</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1"/>
              </w:rPr>
              <w:t>Interest in</w:t>
            </w:r>
          </w:p>
        </w:tc>
        <w:tc>
          <w:tcPr>
            <w:tcW w:w="120" w:type="dxa"/>
            <w:vAlign w:val="bottom"/>
          </w:tcPr>
          <w:p>
            <w:pPr>
              <w:spacing w:after="0"/>
              <w:rPr>
                <w:sz w:val="8"/>
                <w:szCs w:val="8"/>
                <w:color w:val="auto"/>
              </w:rPr>
            </w:pPr>
          </w:p>
        </w:tc>
        <w:tc>
          <w:tcPr>
            <w:tcW w:w="660" w:type="dxa"/>
            <w:vAlign w:val="bottom"/>
          </w:tcPr>
          <w:p>
            <w:pPr>
              <w:jc w:val="right"/>
              <w:ind w:right="218"/>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2"/>
                <w:szCs w:val="12"/>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8"/>
              </w:rPr>
              <w:t>Income (Loss)</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20" w:type="dxa"/>
            <w:vAlign w:val="bottom"/>
          </w:tcPr>
          <w:p>
            <w:pPr>
              <w:spacing w:after="0"/>
              <w:rPr>
                <w:sz w:val="12"/>
                <w:szCs w:val="12"/>
                <w:color w:val="auto"/>
              </w:rPr>
            </w:pPr>
          </w:p>
        </w:tc>
        <w:tc>
          <w:tcPr>
            <w:tcW w:w="660" w:type="dxa"/>
            <w:vAlign w:val="bottom"/>
          </w:tcPr>
          <w:p>
            <w:pPr>
              <w:jc w:val="right"/>
              <w:ind w:right="17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ind w:left="480"/>
              <w:spacing w:after="0"/>
              <w:rPr>
                <w:sz w:val="20"/>
                <w:szCs w:val="20"/>
                <w:color w:val="auto"/>
              </w:rPr>
            </w:pPr>
            <w:r>
              <w:rPr>
                <w:rFonts w:ascii="Arial" w:cs="Arial" w:eastAsia="Arial" w:hAnsi="Arial"/>
                <w:sz w:val="11"/>
                <w:szCs w:val="11"/>
                <w:b w:val="1"/>
                <w:bCs w:val="1"/>
                <w:color w:val="auto"/>
                <w:w w:val="87"/>
              </w:rPr>
              <w:t>(In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6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2016</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284,479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1,895,089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(277,453)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6,262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(45,814)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(214,490)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1,409,692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19,825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1,429,517</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263,550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263,550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4,155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267,705</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16,257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16,257</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(1,492)</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3,124</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5,145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5,145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5,145</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dividends to</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24"/>
        </w:trPr>
        <w:tc>
          <w:tcPr>
            <w:tcW w:w="162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200"/>
              <w:spacing w:after="0"/>
              <w:rPr>
                <w:sz w:val="20"/>
                <w:szCs w:val="20"/>
                <w:color w:val="auto"/>
              </w:rPr>
            </w:pPr>
            <w:r>
              <w:rPr>
                <w:rFonts w:ascii="Arial" w:cs="Arial" w:eastAsia="Arial" w:hAnsi="Arial"/>
                <w:sz w:val="13"/>
                <w:szCs w:val="13"/>
                <w:b w:val="1"/>
                <w:bCs w:val="1"/>
                <w:color w:val="auto"/>
              </w:rPr>
              <w:t>2017</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285,129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1,903,357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18"/>
              <w:spacing w:after="0"/>
              <w:rPr>
                <w:sz w:val="20"/>
                <w:szCs w:val="20"/>
                <w:color w:val="auto"/>
              </w:rPr>
            </w:pPr>
            <w:r>
              <w:rPr>
                <w:rFonts w:ascii="Arial" w:cs="Arial" w:eastAsia="Arial" w:hAnsi="Arial"/>
                <w:sz w:val="13"/>
                <w:szCs w:val="13"/>
                <w:color w:val="auto"/>
              </w:rPr>
              <w:t>(13,903)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22,519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w w:val="86"/>
              </w:rPr>
              <w:t>(45,945)</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(215,982)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1,696,276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23,433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w w:val="93"/>
              </w:rPr>
              <w:t>1,719,709</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127,092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127,092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2,473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129,565</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w w:val="91"/>
              </w:rPr>
              <w:t>Other comprehensive income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1,293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1,293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1,293</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Issuance of stock through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78"/>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5,018</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Subsidiary dividends 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0"/>
        </w:trPr>
        <w:tc>
          <w:tcPr>
            <w:tcW w:w="162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2018</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285,352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1,909,425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113,189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23,812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(45,967)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(216,171)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1,830,540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25,360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1,855,900</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120,888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120,888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1,740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122,628</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(4,697)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11,405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11,405</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6,911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6,911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6,911</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dividends to</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24"/>
        </w:trPr>
        <w:tc>
          <w:tcPr>
            <w:tcW w:w="1620" w:type="dxa"/>
            <w:vAlign w:val="bottom"/>
          </w:tcPr>
          <w:p>
            <w:pPr>
              <w:ind w:left="40"/>
              <w:spacing w:after="0" w:line="124"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3"/>
                <w:szCs w:val="13"/>
                <w:color w:val="auto"/>
              </w:rPr>
              <w:t>286,877</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1,927,739</w:t>
            </w:r>
          </w:p>
        </w:tc>
        <w:tc>
          <w:tcPr>
            <w:tcW w:w="1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234,077</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3"/>
                <w:szCs w:val="13"/>
                <w:color w:val="auto"/>
              </w:rPr>
              <w:t>19,115</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3"/>
                <w:szCs w:val="13"/>
                <w:color w:val="auto"/>
                <w:w w:val="86"/>
              </w:rPr>
              <w:t>(46,072)</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6"/>
              </w:rPr>
              <w:t>(217,479)</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3"/>
                <w:szCs w:val="13"/>
                <w:color w:val="auto"/>
              </w:rPr>
              <w:t>1,963,739</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3"/>
                <w:szCs w:val="13"/>
                <w:color w:val="auto"/>
              </w:rPr>
              <w:t>26,500</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3"/>
                <w:szCs w:val="13"/>
                <w:color w:val="auto"/>
                <w:w w:val="93"/>
              </w:rPr>
              <w:t>1,990,239</w:t>
            </w:r>
          </w:p>
        </w:tc>
        <w:tc>
          <w:tcPr>
            <w:tcW w:w="0" w:type="dxa"/>
            <w:vAlign w:val="bottom"/>
          </w:tcPr>
          <w:p>
            <w:pPr>
              <w:spacing w:after="0"/>
              <w:rPr>
                <w:sz w:val="1"/>
                <w:szCs w:val="1"/>
                <w:color w:val="auto"/>
              </w:rPr>
            </w:pPr>
          </w:p>
        </w:tc>
      </w:tr>
      <w:tr>
        <w:trPr>
          <w:trHeight w:val="166"/>
        </w:trPr>
        <w:tc>
          <w:tcPr>
            <w:tcW w:w="1620" w:type="dxa"/>
            <w:vAlign w:val="bottom"/>
          </w:tcPr>
          <w:p>
            <w:pPr>
              <w:ind w:left="200"/>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6"/>
          </w:tcPr>
          <w:p>
            <w:pPr>
              <w:jc w:val="center"/>
              <w:ind w:left="619"/>
              <w:spacing w:after="0"/>
              <w:rPr>
                <w:sz w:val="20"/>
                <w:szCs w:val="20"/>
                <w:color w:val="auto"/>
              </w:rPr>
            </w:pPr>
            <w:r>
              <w:rPr>
                <w:rFonts w:ascii="Arial" w:cs="Arial" w:eastAsia="Arial" w:hAnsi="Arial"/>
                <w:sz w:val="16"/>
                <w:szCs w:val="16"/>
                <w:b w:val="1"/>
                <w:bCs w:val="1"/>
                <w:color w:val="auto"/>
                <w:w w:val="92"/>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122,628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129,565</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267,705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524,177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571,961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581,940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(108,109)</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Amortization of deferred debt issuance costs and premiums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1,235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(42,189)</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Loss on debt retirement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8,536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4,835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(gain) on disposal of fixed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Share-based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5,145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(8,143)</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acquisitions: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(133,814)</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10,208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(16,310)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(36,307)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Trade 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67,574</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(78,136)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29,424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Pension and severance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23,881</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Net operating lease ROU asset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(127,743)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Other non-current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15,179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(29,331)</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663,410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618,267</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(547,122)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(550,943)</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sale of property, plant and equipment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141,530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insurance recovery for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foreign exchange forward contracts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foreign exchange forward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(43,771)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(462,489)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(537,383)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(454,832)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revolving credit facilities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272,700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75,000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revolving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short-term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23,341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77,781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(70,236)</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975,575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596,226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223,976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(535,738)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(405,269)</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of long-term debt, related party</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(17,837)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of finance lease obligations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(5,340)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deferred consideration for purchase of facility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Proceeds from issuance of stock through share-based compensation plans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3,124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108,250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(40,623)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(124,886)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fluctuations on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210,481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85,200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47,356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688,051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602,851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555,495</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898,532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688,051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602,851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8"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420"/>
          </w:cols>
          <w:pgMar w:left="240" w:top="121" w:right="239" w:bottom="148"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019"/>
          </w:cols>
          <w:pgMar w:left="1440" w:top="125"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4"/>
          </w:tcPr>
          <w:p>
            <w:pPr>
              <w:jc w:val="center"/>
              <w:ind w:left="59"/>
              <w:spacing w:after="0"/>
              <w:rPr>
                <w:sz w:val="20"/>
                <w:szCs w:val="20"/>
                <w:color w:val="auto"/>
              </w:rPr>
            </w:pPr>
            <w:r>
              <w:rPr>
                <w:rFonts w:ascii="Arial" w:cs="Arial" w:eastAsia="Arial" w:hAnsi="Arial"/>
                <w:sz w:val="16"/>
                <w:szCs w:val="16"/>
                <w:b w:val="1"/>
                <w:bCs w:val="1"/>
                <w:color w:val="auto"/>
                <w:w w:val="92"/>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2018</w:t>
            </w:r>
          </w:p>
        </w:tc>
        <w:tc>
          <w:tcPr>
            <w:tcW w:w="540" w:type="dxa"/>
            <w:vAlign w:val="bottom"/>
          </w:tcPr>
          <w:p>
            <w:pPr>
              <w:spacing w:after="0"/>
              <w:rPr>
                <w:sz w:val="20"/>
                <w:szCs w:val="20"/>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 thousands)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Cash paid during the period for:</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65,992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77,575</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83,808</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9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w w:val="89"/>
              </w:rPr>
              <w:t>44,495</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63,080</w:t>
            </w:r>
          </w:p>
        </w:tc>
        <w:tc>
          <w:tcPr>
            <w:tcW w:w="5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61,878</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investing and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Property, plant and equipment included in capital expenditures payable</w:t>
            </w:r>
          </w:p>
        </w:tc>
        <w:tc>
          <w:tcPr>
            <w:tcW w:w="9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w w:val="89"/>
              </w:rPr>
              <w:t>77,250</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256,070</w:t>
            </w:r>
          </w:p>
        </w:tc>
        <w:tc>
          <w:tcPr>
            <w:tcW w:w="5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294,912</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Right of use assets acquired through finance lease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10,835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Right of use assets acquired through operating lease liabilities</w:t>
            </w:r>
          </w:p>
        </w:tc>
        <w:tc>
          <w:tcPr>
            <w:tcW w:w="9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w w:val="89"/>
              </w:rPr>
              <w:t>60,963</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pioneered the outsourcing of semiconductor packaging and test services through a predecessor corporation in 1968,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Offering a broad portfolio of cost-effective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Collaborating with customers,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 competitive cost structure with disciplined capital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a geographically diverse operating base, with research and development, engineering support and production capabilities at various facilities in China, Japan, Korea, Malaysia, the Philippines, Portugal and Taiwan.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Financial Statements include the accounts of Amkor Technology, Inc. and our subsidiaries (“Amkor”). Our Consolidated Financial Statements reflect the elimination of all significant inter-company accounts and transactions. On May 22, 2017, we completed the purchase of Nanium, S.A. (“Nanium”). Nanium’s financial results have been included in our Consolidated Financial Statements from the date of acquisition (Note 3).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acquisitions, revenue recognition, income taxes, inventory, long lived assets and contingencies.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Certain prior year amounts have been reclassified to conform to current year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variable interests in certain Philippine realty corporations in which we have a 40% ownership. We lease land and buildings in the Philippines from these entities and we are the primary beneficiary of these arrangements. As of December 31, 2019, the combined book value of the assets and liabilities associated with these Philippine realty corporations included in our Consolidated Balance Sheet was $16.9 million and $0.1 million, respectively. The impact of consolidating these variable interest entities on our Consolidated Statements of Income was not significant, and other than our lease payments, we have not provided any significant assistance or other financial support to these variable interest entities for the years ended December 31, 2019, 2018 or 2017. The creditors of the Philippine realty corporations have no recourse to our general credit.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dollar is the functional currency of our subsidiaries other than our Japan operations, and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Japanese Yen is the functional currency of our Japan operations. The asset and liability amounts of our Japan operations are translated into U.S. dollars at end-of-period exchange rates. Income and expenses are translated into U.S. dollars at average exchange rates in effect during the period. The resulting translation adjustments are reported as a component of accumulated other comprehensive income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expense (income) in the period in which they occur.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significant portion of our revenues is concentrated with a small group of customers (Note 18).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for which we are subject to credit risk, consist principally of accounts receivable and cash and cash equivalents. With respect to accounts receivable, we mitigate our credit risk by selling primarily to well-established companies, performing ongoing credit evaluations and making frequent contact with customers. In addition, we may utilize non-recourse factoring to mitigate credit risk when considered appropriate. We have historically mitigated our credit risk with respect to cash and cash equivalents through diversification of our holdings into various high quality money market funds and bank deposit accounts. At December 31, 2019, our cash and cash equivalents were maintained in various U.S. and foreign bank operating and time deposit accounts and invested in U.S. money market funds.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 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 Our cash and cash equivalents are maintained in various U.S. and foreign bank operating and time deposit accounts and invested in U.S. money market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current, consists of short-term cash equivalents used to collateralize our daily banking services. Restricted cash, non-current, mainly consists of collateral to fulfill foreign trade compliance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an annual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current assets consist principally of prepaid assets and an investment in government securities by a foreign subsidiary to satisfy local regulatory requirements, which is recorded at amortized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stated at cost. Depreciation is calculated by the straight-line method over the estimated useful lives of depreciable assets which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500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10 to 40 years</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000" w:type="dxa"/>
            <w:vAlign w:val="bottom"/>
          </w:tcPr>
          <w:p>
            <w:pPr>
              <w:ind w:left="3560"/>
              <w:spacing w:after="0"/>
              <w:rPr>
                <w:sz w:val="20"/>
                <w:szCs w:val="20"/>
                <w:color w:val="auto"/>
              </w:rPr>
            </w:pPr>
            <w:r>
              <w:rPr>
                <w:rFonts w:ascii="Arial" w:cs="Arial" w:eastAsia="Arial" w:hAnsi="Arial"/>
                <w:sz w:val="18"/>
                <w:szCs w:val="18"/>
                <w:color w:val="auto"/>
              </w:rPr>
              <w:t>2 to 7 years</w:t>
            </w:r>
          </w:p>
        </w:tc>
      </w:tr>
      <w:tr>
        <w:trPr>
          <w:trHeight w:val="27"/>
        </w:trPr>
        <w:tc>
          <w:tcPr>
            <w:tcW w:w="64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5000" w:type="dxa"/>
            <w:vAlign w:val="bottom"/>
            <w:tcBorders>
              <w:bottom w:val="single" w:sz="8" w:color="CCEEFF"/>
            </w:tcBorders>
            <w:shd w:val="clear" w:color="auto" w:fill="CCEEFF"/>
          </w:tcPr>
          <w:p>
            <w:pPr>
              <w:ind w:left="3560"/>
              <w:spacing w:after="0"/>
              <w:rPr>
                <w:sz w:val="20"/>
                <w:szCs w:val="20"/>
                <w:color w:val="auto"/>
              </w:rPr>
            </w:pPr>
            <w:r>
              <w:rPr>
                <w:rFonts w:ascii="Arial" w:cs="Arial" w:eastAsia="Arial" w:hAnsi="Arial"/>
                <w:sz w:val="18"/>
                <w:szCs w:val="18"/>
                <w:color w:val="auto"/>
              </w:rPr>
              <w:t>3 to 5 years</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Furniture, fixtures and other equipment</w:t>
            </w:r>
          </w:p>
        </w:tc>
        <w:tc>
          <w:tcPr>
            <w:tcW w:w="5000" w:type="dxa"/>
            <w:vAlign w:val="bottom"/>
          </w:tcPr>
          <w:p>
            <w:pPr>
              <w:ind w:left="3560"/>
              <w:spacing w:after="0"/>
              <w:rPr>
                <w:sz w:val="20"/>
                <w:szCs w:val="20"/>
                <w:color w:val="auto"/>
              </w:rPr>
            </w:pPr>
            <w:r>
              <w:rPr>
                <w:rFonts w:ascii="Arial" w:cs="Arial" w:eastAsia="Arial" w:hAnsi="Arial"/>
                <w:sz w:val="18"/>
                <w:szCs w:val="18"/>
                <w:color w:val="auto"/>
              </w:rPr>
              <w:t>4 to 10 years</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Cost and accumulated depreciation for property retired or disposed of are removed from the accounts, and any resulting gain or loss is included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lease certain machinery and equipment, office space, and manufacturing facilities. Leases with an initial term of 12 months or less are not recorded on the balance sheet, and we recognize lease expense for these leases on a straight-line basis over the lease term. We account for lease components (e.g., fixed payments including rent, real estate taxes and insurance costs) combined with the non-lease components (e.g., common-area maintenance costs). We use our incremental borrowing rate based on the information available at the lease commencement date to determine the lease liability. Our leases have remaining lease terms ranging from less than one year to 86 years. For purposes of calculating our lease liabilities, our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terms include options to extend or terminate the lease when it is reasonably certain that we will exercise those options. Certain leases also include options to purchase the leased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principally of deferred tax assets and refundable security 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foreign exchange forward contracts to manage exposure to foreign exchange risk which are generally settled monthly. The derivatives are recorded at the fair value either in other current assets or accrued expenses, with the associated gains and losses charged to other (income) expense, net in the period in which they occur. We do not apply hedge accounting to the derivatives. See Note 15 for further discussion about the derivatives.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2019 and 2018 were $125.4 million and $89.3 million, respectively. These amounts are included in accounts receivable, net of allowances in our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salaries, payroll taxes, employee benefit costs, materials, supplies, depreciation and maintenance of research equipment, services provided by outside contractors and the allocable portions of facility costs such as rent, utilities, insurance, repairs and maintenance, depreciation and general support services. Costs associated with research and development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For most of our U.S. and foreign deferred tax assets,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further discussion regarding unrecognized income tax benefits.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was subsequently amended and clarified. Topic 842 requires a dual approach for lease accounting under which a lessee would account for leases as finance leases or operating leases. The standard also requires the lessee to recognize a right-of-use asset and a corresponding lease liability for both finance leases and operating leases. For finance leases, the lessee recognizes interest expense and amortization of the right-of-use asset, and for operating leases, the lessee recognizes a straight-line lease expense. The standard permits the use of two alternative transition approaches, either with application in all comparative periods presented or with application beginning with the effective date without restating comparative period financial statements.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 2019, we adopted the requirements of Topic 842 using the modified transition approach without restating the comparative period financial statements. The new standard resulted in increases in our operating lease right of use assets, accrued expenses and long-term operating lease liabilities account balances to record our operating leases on our Consolidated Balance Sheet. The new standard also resulted in additional disclosures for our operating and finance leases (Note 10). In accordance with Topic 842, we applied practical expedients permitted under the transition guidance, which allowed us to not:</w:t>
      </w:r>
    </w:p>
    <w:p>
      <w:pPr>
        <w:spacing w:after="0" w:line="4" w:lineRule="exact"/>
        <w:rPr>
          <w:sz w:val="20"/>
          <w:szCs w:val="20"/>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Reassess whether any existing contracts are or contain a lease,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Reassess the lease classification for any existing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Reassess initial direct costs for any existing leases,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Separate non-lease components from lease components and instead to account for them as a single lease component for all asset classes.</w:t>
      </w:r>
    </w:p>
    <w:p>
      <w:pPr>
        <w:spacing w:after="0" w:line="218" w:lineRule="exact"/>
        <w:rPr>
          <w:rFonts w:ascii="Arial" w:cs="Arial" w:eastAsia="Arial" w:hAnsi="Arial"/>
          <w:sz w:val="17"/>
          <w:szCs w:val="17"/>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Nanium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22, 2017, we completed the purchase of 100% of the shares of Nanium, a provider of wafer-level fan-out semiconductor packaging solutions. We allocated the purchase price to the assets acquired and liabilities assumed based on their estimated fair values on the date of acquisition. We did not record goodwill as a result of the acquisition.</w:t>
      </w:r>
    </w:p>
    <w:p>
      <w:pPr>
        <w:spacing w:after="0" w:line="17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share-based compensation is measured at fair value and expensed over the service period (generally the vesting period). The amount of compensation expense to be recognized is adjusted for an estimated forfeiture rate which is based on historical data. For the years ended December 31, 2019, 2018 and 2017, we recognized share-based compensation attributable to stock options and restricted shares of $6.9 million, $5.0 million and $5.1 million, respectively, primarily in selling, general and administrative expenses. The corresponding deferred income tax benefits for stock options or restricted shares is $1.3 million, $1.0 million and $2.4 million for 2019,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Second Amended and Restated 2007 Equity Incentive Plan. </w:t>
      </w:r>
      <w:r>
        <w:rPr>
          <w:rFonts w:ascii="Arial" w:cs="Arial" w:eastAsia="Arial" w:hAnsi="Arial"/>
          <w:sz w:val="16"/>
          <w:szCs w:val="16"/>
          <w:color w:val="auto"/>
        </w:rPr>
        <w:t>The Second Amended and Restated 2007 Equity Incentive Plan, (the “2007 Plan”) provides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of the following types of incentive awards: (i) stock options, (ii) restricted stock, (iii) restricted stock units, (iv) stock appreciation rights,</w:t>
      </w:r>
    </w:p>
    <w:p>
      <w:pPr>
        <w:jc w:val="both"/>
        <w:ind w:firstLine="8"/>
        <w:spacing w:after="0" w:line="254" w:lineRule="auto"/>
        <w:tabs>
          <w:tab w:leader="none" w:pos="2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units and performance shares and (vi) other stock or cash awards. Those eligible for awards include employees, directors and consultants who provide services to Amkor and its subsidiaries. The 2007 Plan is effective through 2027 and can be terminated at the discretion of the Board of Directors. There were originally 17.0 million shares of our common stock reserved for issuance under the 2007 Plan and at December 31, 2019 there were 5.2 million shares available for grant.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22,738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Fully vested at December 31, 2019 and expected to vest</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20"/>
              <w:spacing w:after="0"/>
              <w:rPr>
                <w:sz w:val="20"/>
                <w:szCs w:val="20"/>
                <w:color w:val="auto"/>
              </w:rPr>
            </w:pPr>
            <w:r>
              <w:rPr>
                <w:rFonts w:ascii="Arial" w:cs="Arial" w:eastAsia="Arial" w:hAnsi="Arial"/>
                <w:sz w:val="18"/>
                <w:szCs w:val="18"/>
                <w:color w:val="auto"/>
              </w:rPr>
              <w:t>22,256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14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weighted-average fair values of the options granted: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21"/>
                <w:szCs w:val="2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per option granted</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4.24</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unrecognized compensation expense from stock options was $11.8 million as of December 31, 2019, which is expected to be recognized over a weighted-average period of approximately 2.6 years beginning January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grant restricted shares to directors and employees under the 2007 Plan. Restricted shares granted to directors vest on the earlier of the one year anniversary of the grant date or the date of the next annual meeting of stockholders. All other restricted shares vest ratably over four years, with 6.25% of the shares vesting in equal quarterly installments such that 100% of the shares will become vested on the fourth anniversary of the award, subject to the recipient’s continued employment with us on the applicable vesting dates. In addition, provided that the restricted shares have not been forfeited earlier, for certain grants, the restricted shares will vest upon the recipient’s death or disability, or upon a change in control of Amkor. The value of the restricted shares is determined based on the fair market value of the underlying shares on the date of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grant and is recognized ratably over the vesting period. Upon vesting of restricted stock awards, we may issue new shares of common or treasury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share activity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Awards 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Awards forfeited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unrecognized compensation cost from restricted shares was $0.8 million as of December 31, 2019, which is expected to be recognized over a weighted-average period of approximately 0.7 years beginning January 1, 2020.</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Other Income and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retirement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12,490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6.  Income Taxes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Geographic sources of income (loss) before taxes are as follows: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158,672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180,280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281,456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159,810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185,815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307,496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includes current federal, state and foreign taxes payable and those deferred because of temporary differences between the financial statement and the tax bases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22,003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47,318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81,969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81,980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25,931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(42,189)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37,182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56,250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39,791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between the U.S. federal statutory income tax rate of 21% for 2019 and 2018 and 35% for 2017 and our income tax expense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(loss) gain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related to prior years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 (the Tax Act)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credits generated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and profits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derived intangible income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net operating losses and credits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Settlements and changes in uncertain tax positions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56,250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39,791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valuation allowance for 2019, 2018 and 2017, excluding the impact of the Tax Act, is primarily the result of changes in net operating loss, tax credit, and other carryforwards for which no tax expense or benefit has been recognized. Prior to 2018, the benefit of foreign income taxed at different rates increased as foreign income before tax has increased. The decrease in the U.S. federal statutory income tax rate to 21% in 2018 has reduced the impact of foreign income taxed at different rates than the U.S. rate.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deferred tax assets and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25,905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107,532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27,199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38,050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61,812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68,402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Unrealized foreign exchange loss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11,889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288,796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280,290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(118,560)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161,730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gain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11,193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foreign exchange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61,527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43,271</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90,335</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118,459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90,465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118,697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90,335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118,459</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Valuation allowance against deferred tax assets consist of the following:</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80,241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77,580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40,980</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136,934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118,560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certain capital investments, export commitments and employment levels, income from operations in Korea, Malaysia, the Philippines, Singapore and Taiwan was subject to reduced income tax rates and, in some cases, was exempt from income taxes. We recognized $14.7 million, $1.9 million and $6.2 million in tax benefits as a result of the tax holidays</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2018 and 2017, respectively. The benefit of the tax holidays on diluted earnings per share was approximately $0.06, $0.01 and $0.03 for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net operating loss carryforwards (“NOLs”)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NOLs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23,977</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2021-2024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State NOLs</w:t>
            </w:r>
          </w:p>
        </w:tc>
        <w:tc>
          <w:tcPr>
            <w:tcW w:w="3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93,674</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108,011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2020-2036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NOLs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85,123</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10,686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2022-2028</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For most of our foreign net operating loss carryforwards, we consider it more likely than not that we will not have sufficient taxable income to allow us to realize these deferred tax assets.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December 31, 2019 and 2018, a portion of our remaining U.S. federal net operating loss carryforward was reserved with a valuation allowance due to ownership change limitations from a prior year acquisition as well as certain state net operating loss carryforwards expected to expire unused.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tax credit carryforwards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Foreign Tax Credits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77,983</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84,056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2026-2028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Other Tax Credits</w:t>
            </w:r>
          </w:p>
        </w:tc>
        <w:tc>
          <w:tcPr>
            <w:tcW w:w="3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1,404</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2026-2039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18,771</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22,359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2020-2029</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and 2018, a portion of our U.S. and foreign tax credit carryforwards were reserved with a valuation allowance for the amount expected to expire unused.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the deemed repatriation provision of the Tax Act, U.S. income taxes have been provided on approximately $1.1 billion of the undistributed earnings of our foreign subsidiaries at December 31, 2017. The income tax expense from the deemed repatriation was offset by net operating loss carryforwards and income tax credits resulting in a transition tax payable of $21.8 million. Under an election of the Tax Act, the remaining transition tax is payable over eight years beginning with tax year 2017, with 8% due in each of the first five years, 15% in year six, 20% in year seven, and 25% in year eight.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We estimate that repatriation of these foreign earnings would generate withholding taxes and state income taxes of approximately $89.8 million.</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in and file income tax returns in various U.S. and foreign jurisdictions which are subject to examination by tax authorities. We have tax returns that are open to examination in various jurisdictions for tax years 2012-2019.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In certain circumstances where we elect to appeal the results of an examination, we may be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required to make tax assessment payments to proceed with the administrative appeal process. Current examinations include our 2012, 2013 and 2018 Philippine income tax returns.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gross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23,149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based on tax positions related to the current year</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Reductions related to settlements with tax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Reductions from lapse of statutes of limitations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26,242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25,268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27,211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net increase in our unrecognized tax benefits was $1.0 million from December 31, 2018 to December 31, 2019. The increase was primarily related to income attribution offset by the settlement of an examination of our 2015-2018 Korea tax returns. At December 31, 2019, all of our gross unrecognized tax benefits would reduce our effective tax rate, if recognized. It is reasonably possible that unrecognized tax benefits related to entity classification and withholding taxes will decrease in the next 12 months by up to $6.4 million due to the lapse of statutes of limitations in foreign jurisdictions.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related to our unrecognized tax benefits is $22.3 million as of December 31, 2019 and is reported as a component of other non-current liabilities. The unrecognized tax benefits presented in the table above also include positions that have reduced deferred tax assets. The balance of accrued and unpaid interest and penalties is $3.9 million as of December 31, 2019 and is included as a component of other non-current liabilities in connection with our unrecognized tax benefits.</w:t>
      </w:r>
    </w:p>
    <w:p>
      <w:pPr>
        <w:spacing w:after="0" w:line="18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includes restricted shares held by retirement eligible recipients and is reduced for treasury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on the basis of the weighted-average number of shares of common stock plus the effect of dilutive potential common shares outstanding during the period. Dilutive potential common shares include outstanding stock options and unvested restricted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computations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center"/>
              <w:ind w:left="616"/>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21"/>
                <w:szCs w:val="2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Amkor common stockholders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120,888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127,092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263,550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w:t>
            </w:r>
          </w:p>
        </w:tc>
      </w:tr>
      <w:tr>
        <w:trPr>
          <w:trHeight w:val="297"/>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shares outstanding — diluted</w:t>
            </w:r>
          </w:p>
        </w:tc>
        <w:tc>
          <w:tcPr>
            <w:tcW w:w="3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240,122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239,741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239,651</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6"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6"/>
                <w:szCs w:val="16"/>
                <w:color w:val="auto"/>
              </w:rPr>
            </w:pPr>
          </w:p>
        </w:tc>
        <w:tc>
          <w:tcPr>
            <w:tcW w:w="1760" w:type="dxa"/>
            <w:vAlign w:val="bottom"/>
          </w:tcPr>
          <w:p>
            <w:pPr>
              <w:jc w:val="right"/>
              <w:ind w:right="822"/>
              <w:spacing w:after="0"/>
              <w:rPr>
                <w:sz w:val="20"/>
                <w:szCs w:val="20"/>
                <w:color w:val="auto"/>
              </w:rPr>
            </w:pPr>
            <w:r>
              <w:rPr>
                <w:rFonts w:ascii="Arial" w:cs="Arial" w:eastAsia="Arial" w:hAnsi="Arial"/>
                <w:sz w:val="14"/>
                <w:szCs w:val="14"/>
                <w:b w:val="1"/>
                <w:bCs w:val="1"/>
                <w:color w:val="auto"/>
              </w:rPr>
              <w:t>2018</w:t>
            </w: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1"/>
              </w:rPr>
              <w:t>(In thousands)</w:t>
            </w:r>
          </w:p>
        </w:tc>
        <w:tc>
          <w:tcPr>
            <w:tcW w:w="1280" w:type="dxa"/>
            <w:vAlign w:val="bottom"/>
            <w:tcBorders>
              <w:top w:val="single" w:sz="8" w:color="auto"/>
            </w:tcBorders>
          </w:tcPr>
          <w:p>
            <w:pPr>
              <w:spacing w:after="0"/>
              <w:rPr>
                <w:sz w:val="21"/>
                <w:szCs w:val="21"/>
                <w:color w:val="auto"/>
              </w:rPr>
            </w:pPr>
          </w:p>
        </w:tc>
      </w:tr>
      <w:tr>
        <w:trPr>
          <w:trHeight w:val="249"/>
        </w:trPr>
        <w:tc>
          <w:tcPr>
            <w:tcW w:w="7680" w:type="dxa"/>
            <w:vAlign w:val="bottom"/>
            <w:gridSpan w:val="2"/>
            <w:shd w:val="clear" w:color="auto" w:fill="CCEEFF"/>
          </w:tcPr>
          <w:p>
            <w:pPr>
              <w:jc w:val="right"/>
              <w:ind w:right="4660"/>
              <w:spacing w:after="0"/>
              <w:rPr>
                <w:sz w:val="20"/>
                <w:szCs w:val="20"/>
                <w:color w:val="auto"/>
              </w:rPr>
            </w:pPr>
            <w:r>
              <w:rPr>
                <w:rFonts w:ascii="Arial" w:cs="Arial" w:eastAsia="Arial" w:hAnsi="Arial"/>
                <w:sz w:val="18"/>
                <w:szCs w:val="18"/>
                <w:color w:val="auto"/>
                <w:w w:val="89"/>
              </w:rPr>
              <w:t>Stock options and restricted share awards</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5,379</w:t>
            </w:r>
          </w:p>
        </w:tc>
        <w:tc>
          <w:tcPr>
            <w:tcW w:w="17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3,662</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3,445</w:t>
            </w:r>
          </w:p>
        </w:tc>
      </w:tr>
      <w:tr>
        <w:trPr>
          <w:trHeight w:val="27"/>
        </w:trPr>
        <w:tc>
          <w:tcPr>
            <w:tcW w:w="6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Factoring of Accounts Receivable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year ended December 31, 2019 and 2018, we sold accounts receivable totaling $680.4 million and $873.9 million, net of discounts and fees of $4.4 million and $7.0 million, respectively.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219,785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use rights (1)</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26,845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1,571,653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1,523,065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5,303,729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5,196,930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 and computer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220,264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213,440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12,593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44,381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7,381,922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7,270,623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(4,977,072)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(4,620,175)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2,404,850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2,650,448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0" w:hanging="4"/>
        <w:spacing w:after="0" w:line="277" w:lineRule="auto"/>
        <w:tabs>
          <w:tab w:leader="none" w:pos="9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January 1, 2019, and in connection with the adoption of Topic 842, land use rights were reclassified to operating lease right of use asset within our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left="662"/>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522,011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570,304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580,172</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part of our plan to consolidate factory operations in Korea, we sold the land and buildings comprising our K1 factory in May 2017 for $142.4 million. We received 10% of the sale price at signing in November 2016 and the balance at closing, at which time we recognized a pre-tax gain of $108.1 million.</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For the Year Ended December</w:t>
            </w:r>
          </w:p>
        </w:tc>
      </w:tr>
      <w:tr>
        <w:trPr>
          <w:trHeight w:val="192"/>
        </w:trPr>
        <w:tc>
          <w:tcPr>
            <w:tcW w:w="9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31, 2019</w:t>
            </w:r>
          </w:p>
        </w:tc>
      </w:tr>
      <w:tr>
        <w:trPr>
          <w:trHeight w:val="283"/>
        </w:trPr>
        <w:tc>
          <w:tcPr>
            <w:tcW w:w="9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41,559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leased assets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w:t>
            </w: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4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933</w:t>
            </w:r>
          </w:p>
        </w:tc>
      </w:tr>
      <w:tr>
        <w:trPr>
          <w:trHeight w:val="27"/>
        </w:trPr>
        <w:tc>
          <w:tcPr>
            <w:tcW w:w="9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finance lease cost</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4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8,927</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5,416</w:t>
            </w:r>
          </w:p>
        </w:tc>
      </w:tr>
      <w:tr>
        <w:trPr>
          <w:trHeight w:val="257"/>
        </w:trPr>
        <w:tc>
          <w:tcPr>
            <w:tcW w:w="9480" w:type="dxa"/>
            <w:vAlign w:val="bottom"/>
          </w:tcPr>
          <w:p>
            <w:pPr>
              <w:ind w:left="280"/>
              <w:spacing w:after="0"/>
              <w:rPr>
                <w:sz w:val="20"/>
                <w:szCs w:val="20"/>
                <w:color w:val="auto"/>
              </w:rPr>
            </w:pPr>
            <w:r>
              <w:rPr>
                <w:rFonts w:ascii="Arial" w:cs="Arial" w:eastAsia="Arial" w:hAnsi="Arial"/>
                <w:sz w:val="18"/>
                <w:szCs w:val="18"/>
                <w:color w:val="auto"/>
              </w:rPr>
              <w:t>Net lease cost</w:t>
            </w: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62,075</w:t>
            </w:r>
          </w:p>
        </w:tc>
      </w:tr>
      <w:tr>
        <w:trPr>
          <w:trHeight w:val="20"/>
        </w:trPr>
        <w:tc>
          <w:tcPr>
            <w:tcW w:w="9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Rent expense was $43.6 million and $48.1 million for the for the year ended December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w:t>
      </w:r>
    </w:p>
    <w:p>
      <w:pPr>
        <w:spacing w:after="0" w:line="271"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For the Year Ended December</w:t>
      </w:r>
    </w:p>
    <w:p>
      <w:pPr>
        <w:spacing w:after="0" w:line="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13335</wp:posOffset>
            </wp:positionV>
            <wp:extent cx="1355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Cash Flows Information (in thousands)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paid for amounts included in the measurement of lease liabilities: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cash flows for operating leases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cash flows for finance leases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Financing cash flows for finance leases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Remaining Lease Term (years)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 leases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Discount Rate</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 leases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338"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13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Finance Leases</w:t>
            </w:r>
          </w:p>
        </w:tc>
        <w:tc>
          <w:tcPr>
            <w:tcW w:w="0" w:type="dxa"/>
            <w:vAlign w:val="bottom"/>
          </w:tcPr>
          <w:p>
            <w:pPr>
              <w:spacing w:after="0"/>
              <w:rPr>
                <w:sz w:val="1"/>
                <w:szCs w:val="1"/>
                <w:color w:val="auto"/>
              </w:rPr>
            </w:pPr>
          </w:p>
        </w:tc>
      </w:tr>
      <w:tr>
        <w:trPr>
          <w:trHeight w:val="258"/>
        </w:trPr>
        <w:tc>
          <w:tcPr>
            <w:tcW w:w="2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8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2740" w:type="dxa"/>
            <w:vAlign w:val="bottom"/>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46,204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35,686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21,015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11,046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24,244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7"/>
        </w:trPr>
        <w:tc>
          <w:tcPr>
            <w:tcW w:w="2740" w:type="dxa"/>
            <w:vAlign w:val="bottom"/>
            <w:vMerge w:val="restart"/>
          </w:tcPr>
          <w:p>
            <w:pPr>
              <w:ind w:left="280"/>
              <w:spacing w:after="0"/>
              <w:rPr>
                <w:sz w:val="20"/>
                <w:szCs w:val="20"/>
                <w:color w:val="auto"/>
              </w:rPr>
            </w:pPr>
            <w:r>
              <w:rPr>
                <w:rFonts w:ascii="Arial" w:cs="Arial" w:eastAsia="Arial" w:hAnsi="Arial"/>
                <w:sz w:val="18"/>
                <w:szCs w:val="18"/>
                <w:color w:val="auto"/>
              </w:rPr>
              <w:t>Total future minimum lease</w:t>
            </w: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3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147,800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25,546</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132,079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23,229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39,870</w:t>
            </w:r>
          </w:p>
        </w:tc>
      </w:tr>
      <w:tr>
        <w:trPr>
          <w:trHeight w:val="270"/>
        </w:trPr>
        <w:tc>
          <w:tcPr>
            <w:tcW w:w="1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893</w:t>
            </w:r>
          </w:p>
        </w:tc>
      </w:tr>
      <w:tr>
        <w:trPr>
          <w:trHeight w:val="270"/>
        </w:trPr>
        <w:tc>
          <w:tcPr>
            <w:tcW w:w="1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6,574</w:t>
            </w:r>
          </w:p>
        </w:tc>
      </w:tr>
      <w:tr>
        <w:trPr>
          <w:trHeight w:val="864"/>
        </w:trPr>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4.7</w:t>
            </w:r>
          </w:p>
        </w:tc>
      </w:tr>
      <w:tr>
        <w:trPr>
          <w:trHeight w:val="270"/>
        </w:trPr>
        <w:tc>
          <w:tcPr>
            <w:tcW w:w="1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864"/>
        </w:trPr>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074"/>
        </w:trPr>
        <w:tc>
          <w:tcPr>
            <w:tcW w:w="14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0"/>
              </w:rPr>
              <w:t>Finance Leases</w:t>
            </w:r>
          </w:p>
        </w:tc>
      </w:tr>
      <w:tr>
        <w:trPr>
          <w:trHeight w:val="258"/>
        </w:trPr>
        <w:tc>
          <w:tcPr>
            <w:tcW w:w="1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(In thousands)</w:t>
            </w:r>
          </w:p>
        </w:tc>
      </w:tr>
      <w:tr>
        <w:trPr>
          <w:trHeight w:val="255"/>
        </w:trPr>
        <w:tc>
          <w:tcPr>
            <w:tcW w:w="1460" w:type="dxa"/>
            <w:vAlign w:val="bottom"/>
          </w:tcPr>
          <w:p>
            <w:pPr>
              <w:ind w:left="20"/>
              <w:spacing w:after="0"/>
              <w:rPr>
                <w:sz w:val="20"/>
                <w:szCs w:val="20"/>
                <w:color w:val="auto"/>
              </w:rPr>
            </w:pPr>
            <w:r>
              <w:rPr>
                <w:rFonts w:ascii="Arial" w:cs="Arial" w:eastAsia="Arial" w:hAnsi="Arial"/>
                <w:sz w:val="18"/>
                <w:szCs w:val="18"/>
                <w:color w:val="auto"/>
              </w:rPr>
              <w:t>2019</w:t>
            </w:r>
          </w:p>
        </w:tc>
        <w:tc>
          <w:tcPr>
            <w:tcW w:w="18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32,461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6,430</w:t>
            </w:r>
          </w:p>
        </w:tc>
      </w:tr>
      <w:tr>
        <w:trPr>
          <w:trHeight w:val="270"/>
        </w:trPr>
        <w:tc>
          <w:tcPr>
            <w:tcW w:w="1460" w:type="dxa"/>
            <w:vAlign w:val="bottom"/>
          </w:tcPr>
          <w:p>
            <w:pPr>
              <w:ind w:left="20"/>
              <w:spacing w:after="0"/>
              <w:rPr>
                <w:sz w:val="20"/>
                <w:szCs w:val="20"/>
                <w:color w:val="auto"/>
              </w:rPr>
            </w:pPr>
            <w:r>
              <w:rPr>
                <w:rFonts w:ascii="Arial" w:cs="Arial" w:eastAsia="Arial" w:hAnsi="Arial"/>
                <w:sz w:val="18"/>
                <w:szCs w:val="18"/>
                <w:color w:val="auto"/>
              </w:rPr>
              <w:t>2020</w:t>
            </w: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24,630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4,555</w:t>
            </w:r>
          </w:p>
        </w:tc>
      </w:tr>
      <w:tr>
        <w:trPr>
          <w:trHeight w:val="270"/>
        </w:trPr>
        <w:tc>
          <w:tcPr>
            <w:tcW w:w="1460" w:type="dxa"/>
            <w:vAlign w:val="bottom"/>
          </w:tcPr>
          <w:p>
            <w:pPr>
              <w:ind w:left="20"/>
              <w:spacing w:after="0"/>
              <w:rPr>
                <w:sz w:val="20"/>
                <w:szCs w:val="20"/>
                <w:color w:val="auto"/>
              </w:rPr>
            </w:pPr>
            <w:r>
              <w:rPr>
                <w:rFonts w:ascii="Arial" w:cs="Arial" w:eastAsia="Arial" w:hAnsi="Arial"/>
                <w:sz w:val="18"/>
                <w:szCs w:val="18"/>
                <w:color w:val="auto"/>
              </w:rPr>
              <w:t>2021</w:t>
            </w: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17,676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4,748</w:t>
            </w:r>
          </w:p>
        </w:tc>
      </w:tr>
      <w:tr>
        <w:trPr>
          <w:trHeight w:val="270"/>
        </w:trPr>
        <w:tc>
          <w:tcPr>
            <w:tcW w:w="1460" w:type="dxa"/>
            <w:vAlign w:val="bottom"/>
          </w:tcPr>
          <w:p>
            <w:pPr>
              <w:ind w:left="20"/>
              <w:spacing w:after="0"/>
              <w:rPr>
                <w:sz w:val="20"/>
                <w:szCs w:val="20"/>
                <w:color w:val="auto"/>
              </w:rPr>
            </w:pPr>
            <w:r>
              <w:rPr>
                <w:rFonts w:ascii="Arial" w:cs="Arial" w:eastAsia="Arial" w:hAnsi="Arial"/>
                <w:sz w:val="18"/>
                <w:szCs w:val="18"/>
                <w:color w:val="auto"/>
              </w:rPr>
              <w:t>2022</w:t>
            </w: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936</w:t>
            </w:r>
          </w:p>
        </w:tc>
      </w:tr>
      <w:tr>
        <w:trPr>
          <w:trHeight w:val="270"/>
        </w:trPr>
        <w:tc>
          <w:tcPr>
            <w:tcW w:w="1460" w:type="dxa"/>
            <w:vAlign w:val="bottom"/>
          </w:tcPr>
          <w:p>
            <w:pPr>
              <w:ind w:left="20"/>
              <w:spacing w:after="0"/>
              <w:rPr>
                <w:sz w:val="20"/>
                <w:szCs w:val="20"/>
                <w:color w:val="auto"/>
              </w:rPr>
            </w:pPr>
            <w:r>
              <w:rPr>
                <w:rFonts w:ascii="Arial" w:cs="Arial" w:eastAsia="Arial" w:hAnsi="Arial"/>
                <w:sz w:val="18"/>
                <w:szCs w:val="18"/>
                <w:color w:val="auto"/>
              </w:rPr>
              <w:t>2023</w:t>
            </w: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936</w:t>
            </w:r>
          </w:p>
        </w:tc>
      </w:tr>
      <w:tr>
        <w:trPr>
          <w:trHeight w:val="270"/>
        </w:trPr>
        <w:tc>
          <w:tcPr>
            <w:tcW w:w="1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26,070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3,807</w:t>
            </w:r>
          </w:p>
        </w:tc>
      </w:tr>
      <w:tr>
        <w:trPr>
          <w:trHeight w:val="27"/>
        </w:trPr>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26"/>
        </w:trPr>
        <w:tc>
          <w:tcPr>
            <w:tcW w:w="1460" w:type="dxa"/>
            <w:vAlign w:val="bottom"/>
          </w:tcPr>
          <w:p>
            <w:pPr>
              <w:spacing w:after="0"/>
              <w:rPr>
                <w:sz w:val="24"/>
                <w:szCs w:val="24"/>
                <w:color w:val="auto"/>
              </w:rPr>
            </w:pPr>
          </w:p>
        </w:tc>
        <w:tc>
          <w:tcPr>
            <w:tcW w:w="18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120,787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21,412</w:t>
            </w:r>
          </w:p>
        </w:tc>
      </w:tr>
      <w:tr>
        <w:trPr>
          <w:trHeight w:val="27"/>
        </w:trPr>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-4510405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-4167505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-3823970</wp:posOffset>
            </wp:positionV>
            <wp:extent cx="72466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-3446780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-3103880</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-2726690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-1354455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-1011555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-668020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-325120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171450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94" w:lineRule="exact"/>
        <w:rPr>
          <w:sz w:val="20"/>
          <w:szCs w:val="20"/>
          <w:color w:val="auto"/>
        </w:rPr>
      </w:pPr>
    </w:p>
    <w:p>
      <w:pPr>
        <w:sectPr>
          <w:pgSz w:w="11900" w:h="16838" w:orient="portrait"/>
          <w:cols w:equalWidth="0" w:num="2">
            <w:col w:w="5380" w:space="580"/>
            <w:col w:w="5460"/>
          </w:cols>
          <w:pgMar w:left="240" w:top="121"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we have entered into additional lease agreements that have not yet commenced of approximately $6.2 million.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115,693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Short-term operating lease liability</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40,972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and customer advances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severance plan obligations (Note 13)</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13,408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11,638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10,302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finance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48,556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48,454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267,226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258,209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and long-term debt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6.375% Senior notes, due October 2022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524,971</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6.625% Senior notes, due September 2027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$30 million revolving credit facility, LIBOR plus the applicable bank rate, due October 2020 (2)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3.70%, due May 2020 (3)(5)</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(4) (5) (6)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applicable bank rate plus 2.03%, due July 2022 (5)</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applicable bank rate plus 2.03%, due September 2022 (5)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2.56%, due December 2023</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applicable bank rate plus 1.98%, due December 2028 (6)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Japan, Inc.:</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term loans, variable rate (7)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23,018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1.30%, due July 2023</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179,541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225,180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1.35%, due December 2024 (8)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262,407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Assembly &amp; Test (Shanghai) Co., Ltd.: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1.80%, due December 2019 (9)</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1.60%, due March 2022 (9)</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1.40%, due March 2022 (9)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$250 million senior secured revolving credit facility, LIBOR plus 1.25%-1.75%, due July 2023 (Singapore)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(8) (10)</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Revolving credit facility, TAIFX plus the applicable bank rate, due November 2020 (Taiwan) (11)</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credit facility, TAIFX plus the applicable bank rate, due December 2024 (Taiwan) (11)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1,460,351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1,334,129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premium, discount and deferred debt costs,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1,305,755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1,217,732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40" w:hanging="408"/>
        <w:spacing w:after="0" w:line="291" w:lineRule="auto"/>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April 2019, we redeemed the outstanding $525.0 million aggregate principal amount of our 6.375% Senior Notes due 2022 (“2022 Notes”). In accordance with the terms of the indenture governing the 2022 Notes, the redemption price was 101.594% of the principal amount of the 2022 Notes plus accrued and unpaid interest. We recorded an $8.4 million loss on extinguishment related to the call premium paid and other debt related costs associated with the 2022 Notes. The redemption of the 2022 Notes was funded with net proceeds from our issuance of $525.0 million of 6.625% Senior Notes due September 2027 (“2027 Notes”) in March 2019, together with cash on hand. The 2027 Notes were issued at a discount of 99.5% or $2.6 million and are senior unsecured obligations. Interest is payable semiannually on March 15 and September 15 of each year, commencing September 15, 2019. We incurred $3.6 million of debt issuance costs associated with the 2027 Notes.</w:t>
      </w:r>
    </w:p>
    <w:p>
      <w:pPr>
        <w:spacing w:after="0" w:line="113" w:lineRule="exact"/>
        <w:rPr>
          <w:rFonts w:ascii="Arial" w:cs="Arial" w:eastAsia="Arial" w:hAnsi="Arial"/>
          <w:sz w:val="16"/>
          <w:szCs w:val="16"/>
          <w:color w:val="auto"/>
        </w:rPr>
      </w:pPr>
    </w:p>
    <w:p>
      <w:pPr>
        <w:ind w:left="740" w:hanging="408"/>
        <w:spacing w:after="0" w:line="308"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October 2019, we renewed our revolving credit facility agreement with availability of $30.0 million. Interest is payable monthly in arrears. Principal will be payable at the maturity date of October 2020. As of December 31, 2019, $30.0 million was available to be drawn.</w:t>
      </w:r>
    </w:p>
    <w:p>
      <w:pPr>
        <w:spacing w:after="0" w:line="92" w:lineRule="exact"/>
        <w:rPr>
          <w:rFonts w:ascii="Arial" w:cs="Arial" w:eastAsia="Arial" w:hAnsi="Arial"/>
          <w:sz w:val="17"/>
          <w:szCs w:val="17"/>
          <w:color w:val="auto"/>
        </w:rPr>
      </w:pPr>
    </w:p>
    <w:p>
      <w:pPr>
        <w:ind w:left="740" w:right="20" w:hanging="40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May 2017, we entered into a $120.0 million term loan agreement due May 2020. During 2019, we repaid all $120.0 million of the outstanding balance of this term loan.</w:t>
      </w:r>
    </w:p>
    <w:p>
      <w:pPr>
        <w:spacing w:after="0" w:line="116" w:lineRule="exact"/>
        <w:rPr>
          <w:rFonts w:ascii="Arial" w:cs="Arial" w:eastAsia="Arial" w:hAnsi="Arial"/>
          <w:sz w:val="18"/>
          <w:szCs w:val="18"/>
          <w:color w:val="auto"/>
        </w:rPr>
      </w:pPr>
    </w:p>
    <w:p>
      <w:pPr>
        <w:jc w:val="both"/>
        <w:ind w:left="740" w:hanging="408"/>
        <w:spacing w:after="0" w:line="26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May 2015, we entered into a term loan agreement pursuant to which we may borrow up to $150.0 million for capital expenditures. Principal is payable at maturity in June 2020. Interest is payable quarterly in arrears. During 2019, we repaid $101.0 million of the outstanding balance of this term loan. In February 2020, we repaid the remaining $24.0 million of the outstanding balance.</w:t>
      </w:r>
    </w:p>
    <w:p>
      <w:pPr>
        <w:spacing w:after="0" w:line="127"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July 2019, we entered into an agreement pursuant to which we may borrow up to $180.0 million for purchases of materials through two term loans. Principal is payable at maturity and interest is payable quarterly in arrears.</w:t>
      </w:r>
    </w:p>
    <w:p>
      <w:pPr>
        <w:spacing w:after="0" w:line="116"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We borrowed the full balance of $40.0 million under the first term loan in July 2019 to repay $40.0 million of the outstanding balance for the term loan due May 2020. This term loan bears interest at a fixed rate of 3.80% and has a maturity date of July 2022.</w:t>
      </w:r>
    </w:p>
    <w:p>
      <w:pPr>
        <w:spacing w:after="0" w:line="116" w:lineRule="exact"/>
        <w:rPr>
          <w:rFonts w:ascii="Arial" w:cs="Arial" w:eastAsia="Arial" w:hAnsi="Arial"/>
          <w:sz w:val="18"/>
          <w:szCs w:val="18"/>
          <w:color w:val="auto"/>
        </w:rPr>
      </w:pPr>
    </w:p>
    <w:p>
      <w:pPr>
        <w:jc w:val="both"/>
        <w:ind w:left="740"/>
        <w:spacing w:after="0" w:line="264" w:lineRule="auto"/>
        <w:rPr>
          <w:rFonts w:ascii="Arial" w:cs="Arial" w:eastAsia="Arial" w:hAnsi="Arial"/>
          <w:sz w:val="18"/>
          <w:szCs w:val="18"/>
          <w:color w:val="auto"/>
        </w:rPr>
      </w:pPr>
      <w:r>
        <w:rPr>
          <w:rFonts w:ascii="Arial" w:cs="Arial" w:eastAsia="Arial" w:hAnsi="Arial"/>
          <w:sz w:val="18"/>
          <w:szCs w:val="18"/>
          <w:color w:val="auto"/>
        </w:rPr>
        <w:t>We borrowed $60.0 million under the second term loan in September 2019 to repay part of the term loan due June 2020. The $60.0 million borrowing under the second term loan bears interest at a fixed rate of 3.59% and has a maturity date of September 2022. As of December 31, 2019, $80.0 million was available to be drawn under the second term loan.</w:t>
      </w:r>
    </w:p>
    <w:p>
      <w:pPr>
        <w:spacing w:after="0" w:line="127" w:lineRule="exact"/>
        <w:rPr>
          <w:rFonts w:ascii="Arial" w:cs="Arial" w:eastAsia="Arial" w:hAnsi="Arial"/>
          <w:sz w:val="18"/>
          <w:szCs w:val="18"/>
          <w:color w:val="auto"/>
        </w:rPr>
      </w:pPr>
    </w:p>
    <w:p>
      <w:pPr>
        <w:jc w:val="both"/>
        <w:ind w:left="740" w:hanging="408"/>
        <w:spacing w:after="0" w:line="25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December 2018, we entered into a term loan agreement pursuant to which we may borrow up to $90.0 million for capital expenditures. During 2019, we borrowed $42.0 million of this term loan and used the proceeds to repay part of the term loan due June 2020. Principal of this term loan is payable in semiannual installments beginning June 2022 and ending at maturity in December 2028. Interest is fixed at 4.5% and is payable quarterly in arrears. As of December 31, 2019, $24.0 million was available to be drawn. In February 2020, we used the remaining $24.0 million to repay, in full, the term loan due June 2020.</w:t>
      </w:r>
    </w:p>
    <w:p>
      <w:pPr>
        <w:spacing w:after="0" w:line="134"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entered into various short-term loans which mature semiannually. Principal is payable in monthly installments. As of December 31, 2019, $6.0 million was available to be drawn.</w:t>
      </w:r>
    </w:p>
    <w:p>
      <w:pPr>
        <w:spacing w:after="0" w:line="116" w:lineRule="exact"/>
        <w:rPr>
          <w:rFonts w:ascii="Arial" w:cs="Arial" w:eastAsia="Arial" w:hAnsi="Arial"/>
          <w:sz w:val="18"/>
          <w:szCs w:val="18"/>
          <w:color w:val="auto"/>
        </w:rPr>
      </w:pPr>
    </w:p>
    <w:p>
      <w:pPr>
        <w:jc w:val="both"/>
        <w:ind w:left="740" w:hanging="408"/>
        <w:spacing w:after="0" w:line="276"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December 2019, we entered into a ¥28.5 billion (US$260.6 million) term loan agreement due December 2024, guaranteed by Amkor Technology Inc. and our subsidiary, Amkor Technology Singapore Holding Pte, Ltd. Principal is due in 20 equal, quarterly installments plus accrued interest, through maturity. We immediately drew down $260.6 million. In December 2019, we used the proceeds to pay down $80.0 million of the senior secured revolving credit facility due July 2023. In January 2020, we also used these proceeds to repay $120.0 million of our term loan due December 2023. The remaining proceeds will be used for other general corporate purposes.</w:t>
      </w:r>
    </w:p>
    <w:p>
      <w:pPr>
        <w:spacing w:after="0" w:line="118" w:lineRule="exact"/>
        <w:rPr>
          <w:rFonts w:ascii="Arial" w:cs="Arial" w:eastAsia="Arial" w:hAnsi="Arial"/>
          <w:sz w:val="17"/>
          <w:szCs w:val="17"/>
          <w:color w:val="auto"/>
        </w:rPr>
      </w:pPr>
    </w:p>
    <w:p>
      <w:pPr>
        <w:jc w:val="both"/>
        <w:ind w:left="740" w:hanging="408"/>
        <w:spacing w:after="0" w:line="286"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December 2016, we entered into a $50.0 million term loan agreement. Principal is payable in semiannual installments of $0.5 million, with the remaining balance due at maturity in December 2019. Interest is payable quarterly. During the twelve months ended December 31, 2019, we repaid the entire $48.0 million outstanding balance of this term loan using the proceeds from our term loans due March 2022.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40"/>
        <w:spacing w:after="0" w:line="264" w:lineRule="auto"/>
        <w:rPr>
          <w:sz w:val="20"/>
          <w:szCs w:val="20"/>
          <w:color w:val="auto"/>
        </w:rPr>
      </w:pPr>
      <w:r>
        <w:rPr>
          <w:rFonts w:ascii="Arial" w:cs="Arial" w:eastAsia="Arial" w:hAnsi="Arial"/>
          <w:sz w:val="18"/>
          <w:szCs w:val="18"/>
          <w:color w:val="auto"/>
        </w:rPr>
        <w:t>In March 2019, we entered into a $30.0 million term loan agreement due March 2022. We borrowed $30.0 million under this term loan and used the proceeds to repay part of the term loan due December 2019. Principal is payable in semiannual installments of $0.5 million, with the remaining balance due at maturity. Interest is payable quarterly.</w:t>
      </w:r>
    </w:p>
    <w:p>
      <w:pPr>
        <w:spacing w:after="0" w:line="127" w:lineRule="exact"/>
        <w:rPr>
          <w:sz w:val="20"/>
          <w:szCs w:val="20"/>
          <w:color w:val="auto"/>
        </w:rPr>
      </w:pPr>
    </w:p>
    <w:p>
      <w:pPr>
        <w:jc w:val="both"/>
        <w:ind w:left="740"/>
        <w:spacing w:after="0" w:line="264" w:lineRule="auto"/>
        <w:rPr>
          <w:sz w:val="20"/>
          <w:szCs w:val="20"/>
          <w:color w:val="auto"/>
        </w:rPr>
      </w:pPr>
      <w:r>
        <w:rPr>
          <w:rFonts w:ascii="Arial" w:cs="Arial" w:eastAsia="Arial" w:hAnsi="Arial"/>
          <w:sz w:val="18"/>
          <w:szCs w:val="18"/>
          <w:color w:val="auto"/>
        </w:rPr>
        <w:t>In April 2019, we entered into a term loan agreement with availability of $20.0 million due March 2022. We borrowed $20.0 million under this term loan and used the proceeds to repay part of the term loan due December 2019. Principal is payable in semiannual installments of $0.5 million, with the remaining balance due at maturity. Interest is payable quarterly.</w:t>
      </w:r>
    </w:p>
    <w:p>
      <w:pPr>
        <w:spacing w:after="0" w:line="127" w:lineRule="exact"/>
        <w:rPr>
          <w:sz w:val="20"/>
          <w:szCs w:val="20"/>
          <w:color w:val="auto"/>
        </w:rPr>
      </w:pPr>
    </w:p>
    <w:p>
      <w:pPr>
        <w:jc w:val="both"/>
        <w:ind w:left="740" w:hanging="408"/>
        <w:spacing w:after="0" w:line="25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July 2018, the senior secured revolving credit facility of Amkor Technology, Inc. was terminated and replaced by a new facility due July 2023 entered into by our subsidiary, Amkor Technology Singapore Holding Pte, Ltd., and guaranteed by Amkor Technology, Inc. We recorded a $0.4 million charge for the write-off of the associated unamortized debt issuance costs relating to the terminated credit facility. The availability for the new revolving credit facility is based on the amount of eligible accounts receivable. As of December 31, 2019, $250.0 million was available to be drawn.</w:t>
      </w:r>
    </w:p>
    <w:p>
      <w:pPr>
        <w:spacing w:after="0" w:line="134" w:lineRule="exact"/>
        <w:rPr>
          <w:rFonts w:ascii="Arial" w:cs="Arial" w:eastAsia="Arial" w:hAnsi="Arial"/>
          <w:sz w:val="18"/>
          <w:szCs w:val="18"/>
          <w:color w:val="auto"/>
        </w:rPr>
      </w:pPr>
    </w:p>
    <w:p>
      <w:pPr>
        <w:jc w:val="both"/>
        <w:ind w:left="740" w:hanging="408"/>
        <w:spacing w:after="0" w:line="259"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November 2015, we entered into a $39.0 million revolving credit facility due November 2020. In December 2019, we entered into a $56.0 million revolving credit facility due December 2024 to replace the $39.0 million revolving credit facility. We immediately drew $20.0 million to repay the credit facility due November 2020. Principal is payable at maturity. As of December 31, 2019, $36.0 million was available to be drawn under the credit facility due December 2024.</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176"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Pr>
          <w:p>
            <w:pPr>
              <w:ind w:left="8840"/>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6"/>
                <w:szCs w:val="16"/>
                <w:color w:val="auto"/>
              </w:rPr>
            </w:pPr>
          </w:p>
        </w:tc>
        <w:tc>
          <w:tcPr>
            <w:tcW w:w="132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56"/>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Amkor Technology Korea, Inc.:</w:t>
            </w:r>
          </w:p>
        </w:tc>
        <w:tc>
          <w:tcPr>
            <w:tcW w:w="9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Term Loan, fund floating rate plus 1.60%, due June 2020</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w w:val="97"/>
              </w:rPr>
              <w:t>3.90%</w:t>
            </w:r>
          </w:p>
        </w:tc>
        <w:tc>
          <w:tcPr>
            <w:tcW w:w="132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9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 LIBOR plus 2.56%, due December 2023</w:t>
            </w: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7"/>
              </w:rPr>
              <w:t>4.49%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Amkor Technology Japan, Inc:</w:t>
            </w:r>
          </w:p>
        </w:tc>
        <w:tc>
          <w:tcPr>
            <w:tcW w:w="9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term loans, variable rate</w:t>
            </w: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7"/>
              </w:rPr>
              <w:t>0.22%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Amkor Assembly &amp; Test (Shanghai) Co., Ltd.:</w:t>
            </w:r>
          </w:p>
        </w:tc>
        <w:tc>
          <w:tcPr>
            <w:tcW w:w="9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 LIBOR plus 1.80%, due December 2019</w:t>
            </w:r>
          </w:p>
        </w:tc>
        <w:tc>
          <w:tcPr>
            <w:tcW w:w="9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Term loan, LIBOR plus 1.60%, due March 2022</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w w:val="97"/>
              </w:rPr>
              <w:t>3.53%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9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 LIBOR Plus 1.40%, due March 2022</w:t>
            </w: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7"/>
              </w:rPr>
              <w:t>3.30%</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Amkor Technology Taiwan Ltd.:</w:t>
            </w:r>
          </w:p>
        </w:tc>
        <w:tc>
          <w:tcPr>
            <w:tcW w:w="9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Revolving credit facility, TAIFX plus the applicable bank rate, due November 2020</w:t>
            </w: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4.26</w:t>
            </w:r>
          </w:p>
        </w:tc>
      </w:tr>
      <w:tr>
        <w:trPr>
          <w:trHeight w:val="243"/>
        </w:trPr>
        <w:tc>
          <w:tcPr>
            <w:tcW w:w="9200" w:type="dxa"/>
            <w:vAlign w:val="bottom"/>
          </w:tcPr>
          <w:p>
            <w:pPr>
              <w:ind w:left="280"/>
              <w:spacing w:after="0"/>
              <w:rPr>
                <w:sz w:val="20"/>
                <w:szCs w:val="20"/>
                <w:color w:val="auto"/>
              </w:rPr>
            </w:pPr>
            <w:r>
              <w:rPr>
                <w:rFonts w:ascii="Arial" w:cs="Arial" w:eastAsia="Arial" w:hAnsi="Arial"/>
                <w:sz w:val="18"/>
                <w:szCs w:val="18"/>
                <w:color w:val="auto"/>
              </w:rPr>
              <w:t>Revolving credit facility, TAIFX plus the applicable bank rate, due December 2024</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w w:val="97"/>
              </w:rPr>
              <w:t>3.35%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891"/>
        </w:trPr>
        <w:tc>
          <w:tcPr>
            <w:tcW w:w="9200" w:type="dxa"/>
            <w:vAlign w:val="bottom"/>
          </w:tcPr>
          <w:p>
            <w:pPr>
              <w:ind w:left="5620"/>
              <w:spacing w:after="0"/>
              <w:rPr>
                <w:sz w:val="20"/>
                <w:szCs w:val="20"/>
                <w:color w:val="auto"/>
              </w:rPr>
            </w:pPr>
            <w:r>
              <w:rPr>
                <w:rFonts w:ascii="Arial" w:cs="Arial" w:eastAsia="Arial" w:hAnsi="Arial"/>
                <w:sz w:val="18"/>
                <w:szCs w:val="18"/>
                <w:color w:val="auto"/>
              </w:rPr>
              <w:t>75</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debt of Amkor Technology, Inc. is structurally subordinated in right of payment to all existing and future debt and other liabilities of our subsidiaries. From time to time, Amkor Technology, Inc. and Amkor Technology Singapore Holding Pte, Ltd. guarantee certain debt of our subsidiaries. The agreements governing our indebtedness contain affirmative, negative and financial covenants which restrict our ability to pay dividends and could restrict our operations. We have never paid a dividend to our stockholders and we do not have any present plans for doing so. We were in compliance with all debt covenants at December 31, 2019 and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 Debt</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due for the year ending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144,479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113,408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260,022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297,818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81,910</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562,714</w:t>
            </w:r>
          </w:p>
        </w:tc>
      </w:tr>
      <w:tr>
        <w:trPr>
          <w:trHeight w:val="257"/>
        </w:trPr>
        <w:tc>
          <w:tcPr>
            <w:tcW w:w="9940" w:type="dxa"/>
            <w:vAlign w:val="bottom"/>
          </w:tcPr>
          <w:p>
            <w:pPr>
              <w:ind w:left="28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1,460,351</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Pension and Severance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Korean Severance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the balance of our accrued severance plan obligations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142,298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136,396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of severance benefits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11,714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currency (gain) loss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17,597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153,920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 remaining with the National Pension Fund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severance plan obligations at December 31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current portion of accrued severance plan obligations (Note 11)</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15,190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accrued severance plan obligations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113,978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128,947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138,545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2019 and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projected benefit obligation:</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Projected benefit obligation at January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175,712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158,466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32,913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4,867</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Actuarial (gain) loss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exchange (gain) loss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(3,351)</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Projected benefit obligation at December 31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207,448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175,712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January 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115,725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Actual gain (loss) on plan assets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12,221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Employer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Settlement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(5,055)</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exchange gain (loss)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December 31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123,370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Funded status of the Plans at December 31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(52,342)</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in the Consolidated Balance Sheets consist of:</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benefit cost (included in non-current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2,740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benefit liability (included in pension and severance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(55,082)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amount recognized at year end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as of December 31, 2019 and 2018 was $154.7 million and $132.9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by component, the change in accumulated other comprehensive income (loss), net of tax related to our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Prior Service</w:t>
            </w: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Actuarial Net Gain</w:t>
            </w:r>
          </w:p>
        </w:tc>
        <w:tc>
          <w:tcPr>
            <w:tcW w:w="28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Amortization included in net periodic pension cost</w:t>
            </w:r>
          </w:p>
        </w:tc>
        <w:tc>
          <w:tcPr>
            <w:tcW w:w="1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arising during period</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9"/>
        </w:trPr>
        <w:tc>
          <w:tcPr>
            <w:tcW w:w="7440" w:type="dxa"/>
            <w:vAlign w:val="bottom"/>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 included in other</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20"/>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Amortization and settlement gain included in net periodic pension cost</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arising during period</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09"/>
        </w:trPr>
        <w:tc>
          <w:tcPr>
            <w:tcW w:w="7440" w:type="dxa"/>
            <w:vAlign w:val="bottom"/>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 included in other</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20"/>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Estimated amortization of cost to be included in 2020 net periodic pension cost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675"/>
        </w:trPr>
        <w:tc>
          <w:tcPr>
            <w:tcW w:w="7440" w:type="dxa"/>
            <w:vAlign w:val="bottom"/>
          </w:tcPr>
          <w:p>
            <w:pPr>
              <w:spacing w:after="0"/>
              <w:rPr>
                <w:sz w:val="20"/>
                <w:szCs w:val="20"/>
                <w:color w:val="auto"/>
              </w:rPr>
            </w:pPr>
            <w:r>
              <w:rPr>
                <w:rFonts w:ascii="Arial" w:cs="Arial" w:eastAsia="Arial" w:hAnsi="Arial"/>
                <w:sz w:val="18"/>
                <w:szCs w:val="18"/>
                <w:color w:val="auto"/>
              </w:rPr>
              <w:t>Information for pension plans with benefit obligations in excess of plan assets is as follows: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underfunded or non-funded projected benefit obligation:</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Aggregate projected benefit obligation</w:t>
            </w:r>
          </w:p>
        </w:tc>
        <w:tc>
          <w:tcPr>
            <w:tcW w:w="160" w:type="dxa"/>
            <w:vAlign w:val="bottom"/>
          </w:tcPr>
          <w:p>
            <w:pPr>
              <w:spacing w:after="0"/>
              <w:rPr>
                <w:sz w:val="21"/>
                <w:szCs w:val="21"/>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197,377</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135,967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Aggregate fair value of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134,589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Plans with underfunded or non-funded accumulated benefit obligation:</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Aggregate accumulated benefit obligation</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71,059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63,274</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Aggregate fair value of plan assets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24,043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pension expense:</w:t>
      </w:r>
    </w:p>
    <w:p>
      <w:pPr>
        <w:spacing w:after="0" w:line="230"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p>
      <w:pPr>
        <w:ind w:left="7360"/>
        <w:spacing w:after="0"/>
        <w:tabs>
          <w:tab w:leader="none" w:pos="8940" w:val="left"/>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Components of net periodic pension cost and total pension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31,355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32,913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33,823</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(4,537)</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Recognized actuarial (gain) loss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Curtailment loss</w:t>
            </w:r>
          </w:p>
        </w:tc>
        <w:tc>
          <w:tcPr>
            <w:tcW w:w="5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(gain) loss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pension expense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29,603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30,360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34,424</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weighted-average assumptions used in computing the net periodic pension cost and projected benefit obligations:</w:t>
      </w:r>
    </w:p>
    <w:p>
      <w:pPr>
        <w:spacing w:after="0" w:line="242"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determining net periodic pension cost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Discount rate for determining benefit obligations at December 31</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 for determining net periodic</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cost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 for determining benefit obligations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at December 31</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rate of return on plan assets for determining net periodic</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pension cost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23495</wp:posOffset>
            </wp:positionV>
            <wp:extent cx="2838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Debt</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Other</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Japan defined benefit plan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Korea defined benefit plan</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Philippine defined benefit plan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pension plan assets, by asset category utilizing the fair value hierarchy as discussed in Note 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(Level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securities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 securities (Level 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securities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securities (Level 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mutual funds (Level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25,236</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61,961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U.S. government bonds (Level 2)</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corporate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government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corporate bonds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corporate bonds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treasury notes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mutual funds (Level 1)</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11,188</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35,180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36,479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guaranteed investment contracts (Level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Taiwan retirement fund (Level 1)</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11,359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 (Level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 (Level 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pension plan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145,158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123,370</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approximately $23 million during 2020. We closely monitor the funded status of the Plans with respect to legislative requirements. We intend to make at least the minimum contribution required by law each year.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8"/>
        </w:trPr>
        <w:tc>
          <w:tcPr>
            <w:tcW w:w="9940" w:type="dxa"/>
            <w:vAlign w:val="bottom"/>
          </w:tcPr>
          <w:p>
            <w:pPr>
              <w:ind w:left="344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48"/>
        </w:trPr>
        <w:tc>
          <w:tcPr>
            <w:tcW w:w="9940" w:type="dxa"/>
            <w:vAlign w:val="bottom"/>
          </w:tcPr>
          <w:p>
            <w:pPr>
              <w:spacing w:after="0"/>
              <w:rPr>
                <w:sz w:val="20"/>
                <w:szCs w:val="20"/>
                <w:color w:val="auto"/>
              </w:rPr>
            </w:pPr>
            <w:r>
              <w:rPr>
                <w:rFonts w:ascii="Arial" w:cs="Arial" w:eastAsia="Arial" w:hAnsi="Arial"/>
                <w:sz w:val="18"/>
                <w:szCs w:val="18"/>
                <w:color w:val="auto"/>
              </w:rPr>
              <w:t>The estimated future benefit payments related to our foreign defined benefit plans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9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Payments</w:t>
            </w:r>
          </w:p>
        </w:tc>
      </w:tr>
      <w:tr>
        <w:trPr>
          <w:trHeight w:val="250"/>
        </w:trPr>
        <w:tc>
          <w:tcPr>
            <w:tcW w:w="9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9,569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11,780</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15,573</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2025 to 2029</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137,242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sponsor defined contribution plans in Korea, Malaysia, Taiwan and the U.S. Total defined contribution expense was $13.6 million, $12.2 million and $10.4 million for 2019, 2018 and 2017, respectively.</w:t>
      </w:r>
    </w:p>
    <w:p>
      <w:pPr>
        <w:spacing w:after="0" w:line="166"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accumulated other comprehensive income (loss), net of tax:</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23,935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are included as a component of net periodic pension cost (Note 13) or other (income) expense, net.</w:t>
      </w:r>
    </w:p>
    <w:p>
      <w:pPr>
        <w:spacing w:after="0" w:line="166"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our foreign exchange forward contracts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7"/>
              </w:rPr>
              <w:t>Fair Value (Level</w:t>
            </w:r>
          </w:p>
        </w:tc>
        <w:tc>
          <w:tcPr>
            <w:tcW w:w="1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Balance Sheet Location</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Notional Value</w:t>
            </w: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7"/>
              </w:rPr>
              <w:t>Fair Value (Level</w:t>
            </w:r>
          </w:p>
        </w:tc>
        <w:tc>
          <w:tcPr>
            <w:tcW w:w="18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8"/>
              </w:rPr>
              <w:t>Balance Sheet Location</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w:t>
            </w:r>
          </w:p>
        </w:tc>
        <w:tc>
          <w:tcPr>
            <w:tcW w:w="1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w:t>
            </w: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40" w:type="dxa"/>
            <w:vAlign w:val="bottom"/>
            <w:gridSpan w:val="2"/>
          </w:tcPr>
          <w:p>
            <w:pPr>
              <w:ind w:left="1340"/>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391,643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2,225</w:t>
            </w:r>
          </w:p>
        </w:tc>
        <w:tc>
          <w:tcPr>
            <w:tcW w:w="1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163,419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1,565</w:t>
            </w:r>
          </w:p>
        </w:tc>
        <w:tc>
          <w:tcPr>
            <w:tcW w:w="1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Korean Won</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74,076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86</w:t>
            </w:r>
          </w:p>
        </w:tc>
        <w:tc>
          <w:tcPr>
            <w:tcW w:w="182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800" w:type="dxa"/>
            <w:vAlign w:val="bottom"/>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Pr>
          <w:p>
            <w:pPr>
              <w:ind w:left="180"/>
              <w:spacing w:after="0"/>
              <w:rPr>
                <w:sz w:val="20"/>
                <w:szCs w:val="20"/>
                <w:color w:val="auto"/>
              </w:rPr>
            </w:pPr>
            <w:r>
              <w:rPr>
                <w:rFonts w:ascii="Arial" w:cs="Arial" w:eastAsia="Arial" w:hAnsi="Arial"/>
                <w:sz w:val="18"/>
                <w:szCs w:val="18"/>
                <w:color w:val="auto"/>
              </w:rPr>
              <w:t>Total forward contracts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465,719</w:t>
            </w:r>
          </w:p>
        </w:tc>
        <w:tc>
          <w:tcPr>
            <w:tcW w:w="12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2,311</w:t>
            </w:r>
          </w:p>
        </w:tc>
        <w:tc>
          <w:tcPr>
            <w:tcW w:w="1820" w:type="dxa"/>
            <w:vAlign w:val="bottom"/>
          </w:tcPr>
          <w:p>
            <w:pPr>
              <w:spacing w:after="0"/>
              <w:rPr>
                <w:sz w:val="22"/>
                <w:szCs w:val="22"/>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163,419</w:t>
            </w:r>
          </w:p>
        </w:tc>
        <w:tc>
          <w:tcPr>
            <w:tcW w:w="12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1,565</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2019 and 2018, the derivatives resulted in a net gain of $0.1 million and $2.5 million, respectively, which were offset by the foreign currency losses associated with the underlying net liabilities. We did not enter into any derivatives in 2017.</w:t>
      </w:r>
    </w:p>
    <w:p>
      <w:pPr>
        <w:spacing w:after="0" w:line="166"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(Note 15) are valued using quoted market prices for similar assets. Counterparties to these derivative contracts are highly rated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not otherwise disclosed elsewhere in our Consolidated Financial Statements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7"/>
              </w:rPr>
              <w:t>97,762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74,407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90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Arial" w:cs="Arial" w:eastAsia="Arial" w:hAnsi="Arial"/>
                <w:sz w:val="18"/>
                <w:szCs w:val="18"/>
                <w:color w:val="auto"/>
              </w:rPr>
              <w:t>610</w:t>
            </w:r>
          </w:p>
        </w:tc>
        <w:tc>
          <w:tcPr>
            <w:tcW w:w="5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2,589</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measure certain assets and liabilities, including property, plant and equipment, operating lease right of use assets and goodwill, at fair value on a nonrecurring basis.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576,875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519,211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526,131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524,978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940,756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931,023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803,867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807,333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instruments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1,517,631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1,450,234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1,329,998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1,332,311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 based assumptions including forward interest rates adjusted for credit risk.</w:t>
      </w:r>
    </w:p>
    <w:p>
      <w:pPr>
        <w:spacing w:after="0" w:line="177"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Patent License 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a January 2015 patent license litigation settlement, Amkor agreed to pay a total of $155.0 million in 16 equal quarterly recurring payments commencing in the first quarter of 2015 and continuing through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2018, we have no remaining liability under this settlement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provide packaging and test services, we purchase materials under various long-term supply contracts. Future minimum payments to be made under these contracts for the period 2020 through 2027 are $12.3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Segments, Customer Concentrations and Geographic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127" w:lineRule="exact"/>
        <w:rPr>
          <w:sz w:val="20"/>
          <w:szCs w:val="20"/>
          <w:color w:val="auto"/>
        </w:rPr>
      </w:pPr>
    </w:p>
    <w:p>
      <w:pPr>
        <w:ind w:left="5620" w:right="1240" w:hanging="5288"/>
        <w:spacing w:after="0" w:line="778"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managed under a functionally-based organizational structure with the head of each function reporting directly to the CODM; 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assess performance, including incentive compensation, based on consolidated operating performance and financial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CODM allocates resources and makes other operating decisions based on specific customer business opportunities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an integrated process for the design, development and manufacturing services we provide to all of our customers. We also have centralized sales and administrative functions.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group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Products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2,110,815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2,118,571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1,966,483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Mainstream Products</w:t>
            </w:r>
          </w:p>
        </w:tc>
        <w:tc>
          <w:tcPr>
            <w:tcW w:w="3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1,941,835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2,197,895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2,240,548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4,052,650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4,316,466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4,207,031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0"/>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Communications (handheld devices, smartphones, tablets)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industrial and other (driver assist, infotainment, performance, safety)</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w w:val="98"/>
              </w:rPr>
              <w:t>Consumer (connected home, set-top boxes, televisions, visual imaging, wearables)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Computing (datacenter, infrastructure, PC/laptop, storage)</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w w:val="96"/>
              </w:rPr>
              <w:t>Net sales by region based on customer headquarters location consist of the following:</w:t>
            </w: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0"/>
          </w:tcPr>
          <w:p>
            <w:pPr>
              <w:jc w:val="center"/>
              <w:ind w:left="755"/>
              <w:spacing w:after="0"/>
              <w:rPr>
                <w:sz w:val="20"/>
                <w:szCs w:val="20"/>
                <w:color w:val="auto"/>
              </w:rPr>
            </w:pPr>
            <w:r>
              <w:rPr>
                <w:rFonts w:ascii="Arial" w:cs="Arial" w:eastAsia="Arial" w:hAnsi="Arial"/>
                <w:sz w:val="14"/>
                <w:szCs w:val="14"/>
                <w:b w:val="1"/>
                <w:bCs w:val="1"/>
                <w:color w:val="auto"/>
                <w:w w:val="93"/>
              </w:rPr>
              <w:t>For the 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1,061,265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1,156,797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1,210,296</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625,592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605,932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540,126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 (excluding Japan)</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487,406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535,894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837,014</w:t>
            </w:r>
          </w:p>
        </w:tc>
        <w:tc>
          <w:tcPr>
            <w:tcW w:w="0" w:type="dxa"/>
            <w:vAlign w:val="bottom"/>
          </w:tcPr>
          <w:p>
            <w:pPr>
              <w:spacing w:after="0"/>
              <w:rPr>
                <w:sz w:val="1"/>
                <w:szCs w:val="1"/>
                <w:color w:val="auto"/>
              </w:rPr>
            </w:pPr>
          </w:p>
        </w:tc>
      </w:tr>
      <w:tr>
        <w:trPr>
          <w:trHeight w:val="237"/>
        </w:trPr>
        <w:tc>
          <w:tcPr>
            <w:tcW w:w="6580" w:type="dxa"/>
            <w:vAlign w:val="bottom"/>
          </w:tcPr>
          <w:p>
            <w:pPr>
              <w:ind w:left="280"/>
              <w:spacing w:after="0"/>
              <w:rPr>
                <w:sz w:val="20"/>
                <w:szCs w:val="20"/>
                <w:color w:val="auto"/>
              </w:rPr>
            </w:pPr>
            <w:r>
              <w:rPr>
                <w:rFonts w:ascii="Arial" w:cs="Arial" w:eastAsia="Arial" w:hAnsi="Arial"/>
                <w:sz w:val="18"/>
                <w:szCs w:val="18"/>
                <w:color w:val="auto"/>
              </w:rPr>
              <w:t>Total foreign countries</w:t>
            </w: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2,174,263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2,298,623</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2,587,436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1,878,387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2,017,843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1,619,595</w:t>
            </w:r>
          </w:p>
        </w:tc>
        <w:tc>
          <w:tcPr>
            <w:tcW w:w="0" w:type="dxa"/>
            <w:vAlign w:val="bottom"/>
          </w:tcPr>
          <w:p>
            <w:pPr>
              <w:spacing w:after="0"/>
              <w:rPr>
                <w:sz w:val="1"/>
                <w:szCs w:val="1"/>
                <w:color w:val="auto"/>
              </w:rPr>
            </w:pPr>
          </w:p>
        </w:tc>
      </w:tr>
      <w:tr>
        <w:trPr>
          <w:trHeight w:val="257"/>
        </w:trPr>
        <w:tc>
          <w:tcPr>
            <w:tcW w:w="6580" w:type="dxa"/>
            <w:vAlign w:val="bottom"/>
          </w:tcPr>
          <w:p>
            <w:pPr>
              <w:ind w:left="280"/>
              <w:spacing w:after="0"/>
              <w:rPr>
                <w:sz w:val="20"/>
                <w:szCs w:val="20"/>
                <w:color w:val="auto"/>
              </w:rPr>
            </w:pPr>
            <w:r>
              <w:rPr>
                <w:rFonts w:ascii="Arial" w:cs="Arial" w:eastAsia="Arial" w:hAnsi="Arial"/>
                <w:sz w:val="18"/>
                <w:szCs w:val="18"/>
                <w:color w:val="auto"/>
              </w:rPr>
              <w:t>Total net sales</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4,052,650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4,316,466</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4,207,031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no single customer accounted for more than 10% of total net sales. One customer accounted for 10.2%, and 14.3% of net sales in 2018 and 2017,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based on physical location,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419,749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472,858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177,936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219,373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1,179,966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1,213,838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Malaysia</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41,030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47,491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Philippines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215,941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Portugal</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63,975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63,323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298,982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352,576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foreign countries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foreign countries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2,398,746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2,640,191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10,257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2,404,850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2,650,448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Results (unaudited)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our consolidated unaudited financial data for the last eight quarters ended December 31, 2019. We believe that we have included all adjustments, consisting only of normal recurring adjustments necessary for a fair statement of our selected quarterly data. The calculation of basic and diluted per share amounts for each quarter is based on the weighted-average shares outstanding for that period; consequently, the sum of the quarters may not necessarily be equal to the full year basic and diluted net income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For the Quarter Ended</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24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Dec 31, 2019 (a)</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 30, 2019</w:t>
            </w: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Jun 30, 2019 (b)</w:t>
            </w: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Mar 31, 2019 (c)</w:t>
            </w: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Dec 31, 2018 (d)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Sep 30, 2018</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Jun 30, 2018</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Mar 31, 2018</w:t>
            </w:r>
          </w:p>
        </w:tc>
      </w:tr>
      <w:tr>
        <w:trPr>
          <w:trHeight w:val="249"/>
        </w:trPr>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Arial" w:cs="Arial" w:eastAsia="Arial" w:hAnsi="Arial"/>
                <w:sz w:val="13"/>
                <w:szCs w:val="13"/>
                <w:b w:val="1"/>
                <w:bCs w:val="1"/>
                <w:color w:val="auto"/>
                <w:w w:val="95"/>
              </w:rPr>
              <w:t>(In thousands, except per share data)</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1,178,464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1,083,917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895,305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894,964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1,081,271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1,144,192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1,065,684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1,025,319</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222,984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182,240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123,454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120,761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182,370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200,707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169,717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157,771</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118,385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78,855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92,703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53,941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36,119</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9,141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21,380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28,812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14,326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10,631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2,481</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99,816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54,486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57,292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10,195</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w w:val="97"/>
              </w:rPr>
              <w:t>Net income (loss) attributable to Amkor</w:t>
            </w:r>
          </w:p>
        </w:tc>
        <w:tc>
          <w:tcPr>
            <w:tcW w:w="1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99,147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54,070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(9,450)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28,295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56,662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32,591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9,544</w:t>
            </w: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Net income (loss) attributable to Amkor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4"/>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 common share:</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97"/>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0.04</w:t>
            </w:r>
          </w:p>
        </w:tc>
      </w:tr>
      <w:tr>
        <w:trPr>
          <w:trHeight w:val="21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0.04</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fourth quarter of 2019, we recorded a $3.8 million discrete income tax benefit, primarily related to changes in the valuation of certain deferred tax assets.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second quarter of 2019, we incurred an $8.4 million charge related to the early redemption of our 2022 Notes.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first quarter of 2019, we recorded a $14.9 million non-cash discrete income tax charge to reduce the value of certain deferred tax assets.</w:t>
      </w:r>
    </w:p>
    <w:p>
      <w:pPr>
        <w:spacing w:after="0" w:line="18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fourth quarter of 2018, we recorded a $22.3 million income tax expense to complete the accounting for the impact of the Tax Act, reducing our estimated net tax benefit of $41.6 million from 2017.</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1"/>
              </w:rPr>
              <w:t>Balance at</w:t>
            </w: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Additions</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(Credited)</w:t>
            </w:r>
          </w:p>
        </w:tc>
        <w:tc>
          <w:tcPr>
            <w:tcW w:w="1500" w:type="dxa"/>
            <w:vAlign w:val="bottom"/>
          </w:tcPr>
          <w:p>
            <w:pPr>
              <w:spacing w:after="0"/>
              <w:rPr>
                <w:sz w:val="12"/>
                <w:szCs w:val="12"/>
                <w:color w:val="auto"/>
              </w:rPr>
            </w:pPr>
          </w:p>
        </w:tc>
        <w:tc>
          <w:tcPr>
            <w:tcW w:w="110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2"/>
                <w:szCs w:val="12"/>
                <w:color w:val="auto"/>
              </w:rPr>
            </w:pPr>
          </w:p>
        </w:tc>
        <w:tc>
          <w:tcPr>
            <w:tcW w:w="11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Charged to</w:t>
            </w:r>
          </w:p>
        </w:tc>
        <w:tc>
          <w:tcPr>
            <w:tcW w:w="15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Write-offs</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1"/>
              </w:rPr>
              <w:t>Period</w:t>
            </w: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6"/>
              </w:rPr>
              <w:t>Expense</w:t>
            </w:r>
          </w:p>
        </w:tc>
        <w:tc>
          <w:tcPr>
            <w:tcW w:w="15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00" w:type="dxa"/>
            <w:vAlign w:val="bottom"/>
          </w:tcPr>
          <w:p>
            <w:pPr>
              <w:jc w:val="right"/>
              <w:ind w:right="357"/>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 valuation allowance:</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at December 31,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color w:val="auto"/>
              </w:rPr>
              <w:t>165,484</w:t>
            </w:r>
          </w:p>
        </w:tc>
        <w:tc>
          <w:tcPr>
            <w:tcW w:w="1340" w:type="dxa"/>
            <w:vAlign w:val="bottom"/>
          </w:tcPr>
          <w:p>
            <w:pPr>
              <w:jc w:val="right"/>
              <w:ind w:right="80"/>
              <w:spacing w:after="0"/>
              <w:rPr>
                <w:sz w:val="20"/>
                <w:szCs w:val="20"/>
                <w:color w:val="auto"/>
              </w:rPr>
            </w:pPr>
            <w:r>
              <w:rPr>
                <w:rFonts w:ascii="Arial" w:cs="Arial" w:eastAsia="Arial" w:hAnsi="Arial"/>
                <w:sz w:val="18"/>
                <w:szCs w:val="18"/>
                <w:color w:val="auto"/>
              </w:rPr>
              <w:t>(117,121)</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(489)</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35,377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83,251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83,251</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54,421</w:t>
            </w:r>
          </w:p>
        </w:tc>
        <w:tc>
          <w:tcPr>
            <w:tcW w:w="15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(19,112)</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118,560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at December 31,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color w:val="auto"/>
              </w:rPr>
              <w:t>118,560</w:t>
            </w:r>
          </w:p>
        </w:tc>
        <w:tc>
          <w:tcPr>
            <w:tcW w:w="1340" w:type="dxa"/>
            <w:vAlign w:val="bottom"/>
          </w:tcPr>
          <w:p>
            <w:pPr>
              <w:jc w:val="right"/>
              <w:ind w:right="140"/>
              <w:spacing w:after="0"/>
              <w:rPr>
                <w:sz w:val="20"/>
                <w:szCs w:val="20"/>
                <w:color w:val="auto"/>
              </w:rPr>
            </w:pPr>
            <w:r>
              <w:rPr>
                <w:rFonts w:ascii="Arial" w:cs="Arial" w:eastAsia="Arial" w:hAnsi="Arial"/>
                <w:sz w:val="18"/>
                <w:szCs w:val="18"/>
                <w:color w:val="auto"/>
              </w:rPr>
              <w:t>21,496</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(3,122)</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136,934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Column represents adjustments to the deferred tax asset valuation allowance established as part of the purchase accounting related to Amkor’s acquisition of Nanium in 2017 and adjustments directly through stockholders’ equity for changes in accumulated other comprehensive income (loss) related to our foreign defined benefit pension plans.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2019,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conducted an assessment of the effectiveness of our internal control over financial reporting as of December 31, 2019,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2019, based on criteria in Internal Control — Integrated Framework (2013) issued by the COSO.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PricewaterhouseCoopers LLP, an independent registered public accounting firm, as stated in their report which appears under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December 31, 2019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10, with the exception of information relating to the Code of Business Conduct as disclosed below, is incorporated herein by reference from the material included under the captions “Election of Directors,” “Executive Officers,” and “Corporate Governance” in our definitive proxy statement (to be filed pursuant to Regulation 14A) for our 2020 Annual Meeting of Stockholders.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written Code of Business Conduct applicable to all employees, including our Chief Executive Officer, Chief Financial Officer, and Controller. Our Code of Business Conduct,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our Code of Business Conduct required to be disclosed pursuant to applicable rules and regulations.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required by this Item 11 is incorporated herein by reference from the material included under the captions “Executive Compensation,” “Compensation Committee Interlocks and Insider Participation” and “Compensation Committee Report” in our definitive proxy statement (to be filed pursuant to Regulation 14A) for our 2020 Annual Meeting of Stockholders.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12, with the exception of the equity compensation plan information presented below, is incorporated herein by reference to our definitive proxy statement (to be filed pursuant to Regulation 14A) for our 2020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compensation plan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Upon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Weighted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Column(a)</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 approved by stockholders (1)</w:t>
            </w:r>
          </w:p>
        </w:tc>
        <w:tc>
          <w:tcPr>
            <w:tcW w:w="268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5,845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180" w:type="dxa"/>
            <w:vAlign w:val="bottom"/>
          </w:tcPr>
          <w:p>
            <w:pPr>
              <w:spacing w:after="0"/>
              <w:rPr>
                <w:sz w:val="21"/>
                <w:szCs w:val="21"/>
                <w:color w:val="auto"/>
              </w:rPr>
            </w:pPr>
          </w:p>
        </w:tc>
        <w:tc>
          <w:tcPr>
            <w:tcW w:w="1500" w:type="dxa"/>
            <w:vAlign w:val="bottom"/>
          </w:tcPr>
          <w:p>
            <w:pPr>
              <w:jc w:val="right"/>
              <w:ind w:right="4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equity compensation plans</w:t>
            </w:r>
          </w:p>
        </w:tc>
        <w:tc>
          <w:tcPr>
            <w:tcW w:w="268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5,845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88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34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December 31, 2019, a total of 5.2 million shares were reserved for issuance under the 2007 Plan. Shares available for issuance under our 2007 Plan can be granted pursuant to stock options, restricted stock, restricted stock units, stock appreciation rights, performance units and performance shares.</w:t>
      </w:r>
    </w:p>
    <w:p>
      <w:pPr>
        <w:spacing w:after="0" w:line="2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13 is incorporated herein by reference from the material included under the captions “Certain Relationships and Related Transactions” and “Proposal One — Election of Directors” in our definitive proxy statement (to be filed pursuant to Regulation 14A) for our 2020 Annual Meeting of Stockholders.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material included under the proposal “Ratification of Appointment of Independent Registered Public Accounting Firm” in our definitive proxy statement (to be filed pursuant to Regulation 14A) for our 2020 Annual Meeting of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9" w:lineRule="exact"/>
        <w:rPr>
          <w:sz w:val="20"/>
          <w:szCs w:val="20"/>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Financial Statements, Financial Statement Schedules and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financial statements and schedules filed as part of this Annual Report on Form 10-K are listed in the index under Part II, Item 8 of this Annual Report.</w:t>
      </w:r>
    </w:p>
    <w:p>
      <w:pPr>
        <w:spacing w:after="0" w:line="248"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The exhibits required by Item 601 of Regulation S-K which are filed with this report or incorporated by reference herein are set forth below. Management contracts or compensatory plans or arrangements are identified by an asterisk.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9"/>
              </w:rPr>
              <w:t>Incorporated by Reference</w:t>
            </w:r>
          </w:p>
        </w:tc>
        <w:tc>
          <w:tcPr>
            <w:tcW w:w="2000" w:type="dxa"/>
            <w:vAlign w:val="bottom"/>
          </w:tcPr>
          <w:p>
            <w:pPr>
              <w:jc w:val="center"/>
              <w:ind w:left="1014"/>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101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Exhibit</w:t>
            </w:r>
          </w:p>
        </w:tc>
        <w:tc>
          <w:tcPr>
            <w:tcW w:w="5220" w:type="dxa"/>
            <w:vAlign w:val="bottom"/>
            <w:gridSpan w:val="13"/>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Number</w:t>
            </w:r>
          </w:p>
        </w:tc>
        <w:tc>
          <w:tcPr>
            <w:tcW w:w="5220" w:type="dxa"/>
            <w:vAlign w:val="bottom"/>
            <w:tcBorders>
              <w:bottom w:val="single" w:sz="8" w:color="auto"/>
            </w:tcBorders>
            <w:gridSpan w:val="1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2.1</w:t>
            </w:r>
          </w:p>
        </w:tc>
        <w:tc>
          <w:tcPr>
            <w:tcW w:w="5200" w:type="dxa"/>
            <w:vAlign w:val="bottom"/>
            <w:tcBorders>
              <w:bottom w:val="single" w:sz="8" w:color="0000FF"/>
            </w:tcBorders>
            <w:gridSpan w:val="12"/>
          </w:tcPr>
          <w:p>
            <w:pPr>
              <w:spacing w:after="0" w:line="202"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Sales Contract of Commodity Premises between Shanghai Waigaoqiao</w:t>
              </w:r>
            </w:hyperlink>
          </w:p>
        </w:tc>
        <w:tc>
          <w:tcPr>
            <w:tcW w:w="20" w:type="dxa"/>
            <w:vAlign w:val="bottom"/>
          </w:tcPr>
          <w:p>
            <w:pPr>
              <w:spacing w:after="0"/>
              <w:rPr>
                <w:sz w:val="17"/>
                <w:szCs w:val="17"/>
                <w:color w:val="auto"/>
              </w:rPr>
            </w:pPr>
          </w:p>
        </w:tc>
        <w:tc>
          <w:tcPr>
            <w:tcW w:w="84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4"/>
              </w:rPr>
              <w:t>10-Q</w:t>
            </w:r>
          </w:p>
        </w:tc>
        <w:tc>
          <w:tcPr>
            <w:tcW w:w="122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6/30/04</w:t>
            </w:r>
          </w:p>
        </w:tc>
        <w:tc>
          <w:tcPr>
            <w:tcW w:w="94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87"/>
              </w:rPr>
              <w:t>2.3</w:t>
            </w:r>
          </w:p>
        </w:tc>
        <w:tc>
          <w:tcPr>
            <w:tcW w:w="2000" w:type="dxa"/>
            <w:vAlign w:val="bottom"/>
          </w:tcPr>
          <w:p>
            <w:pPr>
              <w:jc w:val="center"/>
              <w:ind w:right="974"/>
              <w:spacing w:after="0" w:line="202" w:lineRule="exact"/>
              <w:rPr>
                <w:sz w:val="20"/>
                <w:szCs w:val="20"/>
                <w:color w:val="auto"/>
              </w:rPr>
            </w:pPr>
            <w:r>
              <w:rPr>
                <w:rFonts w:ascii="Arial" w:cs="Arial" w:eastAsia="Arial" w:hAnsi="Arial"/>
                <w:sz w:val="18"/>
                <w:szCs w:val="18"/>
                <w:color w:val="auto"/>
                <w:w w:val="91"/>
              </w:rPr>
              <w:t>8/6/04</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Free Trade Zone Xin Development Co., Ltd. and Amkor Assembly &amp;</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Test (Shanghai) Co., Ltd. dated May 7, 2004.</w:t>
              </w:r>
            </w:hyperlink>
          </w:p>
        </w:tc>
        <w:tc>
          <w:tcPr>
            <w:tcW w:w="1920" w:type="dxa"/>
            <w:vAlign w:val="bottom"/>
            <w:tcBorders>
              <w:top w:val="single" w:sz="8" w:color="0000FF"/>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3.1</w:t>
            </w:r>
          </w:p>
        </w:tc>
        <w:tc>
          <w:tcPr>
            <w:tcW w:w="5220" w:type="dxa"/>
            <w:vAlign w:val="bottom"/>
            <w:gridSpan w:val="13"/>
          </w:tcPr>
          <w:p>
            <w:pPr>
              <w:spacing w:after="0"/>
              <w:rPr>
                <w:rFonts w:ascii="Arial" w:cs="Arial" w:eastAsia="Arial" w:hAnsi="Arial"/>
                <w:sz w:val="18"/>
                <w:szCs w:val="18"/>
                <w:color w:val="0000FF"/>
              </w:rPr>
            </w:pPr>
            <w:hyperlink r:id="rId34">
              <w:r>
                <w:rPr>
                  <w:rFonts w:ascii="Arial" w:cs="Arial" w:eastAsia="Arial" w:hAnsi="Arial"/>
                  <w:sz w:val="18"/>
                  <w:szCs w:val="18"/>
                  <w:color w:val="0000FF"/>
                </w:rPr>
                <w:t>Certificate of Incorporation.</w:t>
              </w:r>
            </w:hyperlink>
          </w:p>
        </w:tc>
        <w:tc>
          <w:tcPr>
            <w:tcW w:w="840" w:type="dxa"/>
            <w:vAlign w:val="bottom"/>
          </w:tcPr>
          <w:p>
            <w:pPr>
              <w:jc w:val="center"/>
              <w:ind w:left="12"/>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21"/>
                <w:szCs w:val="21"/>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7"/>
              </w:rPr>
              <w:t>3.1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10/6/97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3.2</w:t>
            </w:r>
          </w:p>
        </w:tc>
        <w:tc>
          <w:tcPr>
            <w:tcW w:w="4020" w:type="dxa"/>
            <w:vAlign w:val="bottom"/>
            <w:tcBorders>
              <w:bottom w:val="single" w:sz="8" w:color="0000FF"/>
            </w:tcBorders>
            <w:gridSpan w:val="8"/>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Certificate of Correction to Certificate of Incorporation.</w:t>
              </w:r>
            </w:hyperlink>
          </w:p>
        </w:tc>
        <w:tc>
          <w:tcPr>
            <w:tcW w:w="1200" w:type="dxa"/>
            <w:vAlign w:val="bottom"/>
            <w:gridSpan w:val="5"/>
          </w:tcPr>
          <w:p>
            <w:pPr>
              <w:spacing w:after="0"/>
              <w:rPr>
                <w:sz w:val="21"/>
                <w:szCs w:val="21"/>
                <w:color w:val="auto"/>
              </w:rPr>
            </w:pPr>
          </w:p>
        </w:tc>
        <w:tc>
          <w:tcPr>
            <w:tcW w:w="840" w:type="dxa"/>
            <w:vAlign w:val="bottom"/>
          </w:tcPr>
          <w:p>
            <w:pPr>
              <w:jc w:val="center"/>
              <w:ind w:left="12"/>
              <w:spacing w:after="0"/>
              <w:rPr>
                <w:sz w:val="20"/>
                <w:szCs w:val="20"/>
                <w:color w:val="auto"/>
              </w:rPr>
            </w:pPr>
            <w:r>
              <w:rPr>
                <w:rFonts w:ascii="Arial" w:cs="Arial" w:eastAsia="Arial" w:hAnsi="Arial"/>
                <w:sz w:val="18"/>
                <w:szCs w:val="18"/>
                <w:color w:val="auto"/>
                <w:w w:val="92"/>
              </w:rPr>
              <w:t>S-1</w:t>
            </w:r>
          </w:p>
        </w:tc>
        <w:tc>
          <w:tcPr>
            <w:tcW w:w="1220" w:type="dxa"/>
            <w:vAlign w:val="bottom"/>
          </w:tcPr>
          <w:p>
            <w:pPr>
              <w:spacing w:after="0"/>
              <w:rPr>
                <w:sz w:val="21"/>
                <w:szCs w:val="21"/>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7"/>
              </w:rPr>
              <w:t>3.1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4/8/98</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3.3</w:t>
            </w:r>
          </w:p>
        </w:tc>
        <w:tc>
          <w:tcPr>
            <w:tcW w:w="3760" w:type="dxa"/>
            <w:vAlign w:val="bottom"/>
            <w:tcBorders>
              <w:bottom w:val="single" w:sz="8" w:color="0000FF"/>
            </w:tcBorders>
            <w:gridSpan w:val="7"/>
          </w:tcPr>
          <w:p>
            <w:pPr>
              <w:spacing w:after="0"/>
              <w:rPr>
                <w:rFonts w:ascii="Arial" w:cs="Arial" w:eastAsia="Arial" w:hAnsi="Arial"/>
                <w:sz w:val="18"/>
                <w:szCs w:val="18"/>
                <w:color w:val="0000FF"/>
                <w:w w:val="88"/>
              </w:rPr>
            </w:pPr>
            <w:hyperlink r:id="rId36">
              <w:r>
                <w:rPr>
                  <w:rFonts w:ascii="Arial" w:cs="Arial" w:eastAsia="Arial" w:hAnsi="Arial"/>
                  <w:sz w:val="18"/>
                  <w:szCs w:val="18"/>
                  <w:color w:val="0000FF"/>
                  <w:w w:val="88"/>
                </w:rPr>
                <w:t>Restated Bylaws as amended on November 5, 2013.</w:t>
              </w:r>
            </w:hyperlink>
          </w:p>
        </w:tc>
        <w:tc>
          <w:tcPr>
            <w:tcW w:w="1460" w:type="dxa"/>
            <w:vAlign w:val="bottom"/>
            <w:gridSpan w:val="6"/>
          </w:tcPr>
          <w:p>
            <w:pPr>
              <w:spacing w:after="0"/>
              <w:rPr>
                <w:sz w:val="21"/>
                <w:szCs w:val="21"/>
                <w:color w:val="auto"/>
              </w:rPr>
            </w:pPr>
          </w:p>
        </w:tc>
        <w:tc>
          <w:tcPr>
            <w:tcW w:w="840" w:type="dxa"/>
            <w:vAlign w:val="bottom"/>
          </w:tcPr>
          <w:p>
            <w:pPr>
              <w:jc w:val="center"/>
              <w:ind w:left="12"/>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right"/>
              <w:ind w:right="219"/>
              <w:spacing w:after="0"/>
              <w:rPr>
                <w:sz w:val="20"/>
                <w:szCs w:val="20"/>
                <w:color w:val="auto"/>
              </w:rPr>
            </w:pPr>
            <w:r>
              <w:rPr>
                <w:rFonts w:ascii="Arial" w:cs="Arial" w:eastAsia="Arial" w:hAnsi="Arial"/>
                <w:sz w:val="18"/>
                <w:szCs w:val="18"/>
                <w:color w:val="auto"/>
              </w:rPr>
              <w:t>12/31/13</w:t>
            </w: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7"/>
              </w:rPr>
              <w:t>3.3</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2/28/14</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4.1</w:t>
            </w:r>
          </w:p>
        </w:tc>
        <w:tc>
          <w:tcPr>
            <w:tcW w:w="5220" w:type="dxa"/>
            <w:vAlign w:val="bottom"/>
            <w:gridSpan w:val="13"/>
          </w:tcPr>
          <w:p>
            <w:pPr>
              <w:spacing w:after="0"/>
              <w:rPr>
                <w:rFonts w:ascii="Arial" w:cs="Arial" w:eastAsia="Arial" w:hAnsi="Arial"/>
                <w:sz w:val="18"/>
                <w:szCs w:val="18"/>
                <w:color w:val="0000FF"/>
              </w:rPr>
            </w:pPr>
            <w:hyperlink r:id="rId37">
              <w:r>
                <w:rPr>
                  <w:rFonts w:ascii="Arial" w:cs="Arial" w:eastAsia="Arial" w:hAnsi="Arial"/>
                  <w:sz w:val="18"/>
                  <w:szCs w:val="18"/>
                  <w:color w:val="0000FF"/>
                </w:rPr>
                <w:t>Specimen Common Stock Certificate.</w:t>
              </w:r>
            </w:hyperlink>
          </w:p>
        </w:tc>
        <w:tc>
          <w:tcPr>
            <w:tcW w:w="840" w:type="dxa"/>
            <w:vAlign w:val="bottom"/>
          </w:tcPr>
          <w:p>
            <w:pPr>
              <w:jc w:val="center"/>
              <w:ind w:left="12"/>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21"/>
                <w:szCs w:val="21"/>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7"/>
              </w:rPr>
              <w:t>4.1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3/31/98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4.2</w:t>
            </w:r>
          </w:p>
        </w:tc>
        <w:tc>
          <w:tcPr>
            <w:tcW w:w="5200" w:type="dxa"/>
            <w:vAlign w:val="bottom"/>
            <w:tcBorders>
              <w:bottom w:val="single" w:sz="8" w:color="0000FF"/>
            </w:tcBorders>
            <w:gridSpan w:val="12"/>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Indenture, dated March 15, 2019, by and between Amkor Technology,</w:t>
              </w:r>
            </w:hyperlink>
          </w:p>
        </w:tc>
        <w:tc>
          <w:tcPr>
            <w:tcW w:w="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7"/>
              </w:rPr>
              <w:t>4.1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3/5/19</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2"/>
          </w:tcPr>
          <w:p>
            <w:pPr>
              <w:spacing w:after="0" w:line="196" w:lineRule="exact"/>
              <w:rPr>
                <w:rFonts w:ascii="Arial" w:cs="Arial" w:eastAsia="Arial" w:hAnsi="Arial"/>
                <w:sz w:val="18"/>
                <w:szCs w:val="18"/>
                <w:color w:val="0000FF"/>
                <w:w w:val="98"/>
              </w:rPr>
            </w:pPr>
            <w:hyperlink r:id="rId38">
              <w:r>
                <w:rPr>
                  <w:rFonts w:ascii="Arial" w:cs="Arial" w:eastAsia="Arial" w:hAnsi="Arial"/>
                  <w:sz w:val="18"/>
                  <w:szCs w:val="18"/>
                  <w:color w:val="0000FF"/>
                  <w:w w:val="98"/>
                </w:rPr>
                <w:t>Inc. and U.S. Bank National Association, as trustee, regarding the</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6.</w:t>
              </w:r>
              <w:r>
                <w:rPr>
                  <w:rFonts w:ascii="Arial" w:cs="Arial" w:eastAsia="Arial" w:hAnsi="Arial"/>
                  <w:sz w:val="18"/>
                  <w:szCs w:val="18"/>
                  <w:u w:val="single" w:color="auto"/>
                  <w:color w:val="0000FF"/>
                </w:rPr>
                <w:t>625%</w:t>
              </w:r>
              <w:r>
                <w:rPr>
                  <w:rFonts w:ascii="Arial" w:cs="Arial" w:eastAsia="Arial" w:hAnsi="Arial"/>
                  <w:sz w:val="18"/>
                  <w:szCs w:val="18"/>
                  <w:color w:val="0000FF"/>
                </w:rPr>
                <w:t xml:space="preserve"> Senior Notes due 2027.</w:t>
              </w:r>
            </w:hyperlink>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4.3</w:t>
            </w:r>
          </w:p>
        </w:tc>
        <w:tc>
          <w:tcPr>
            <w:tcW w:w="5220" w:type="dxa"/>
            <w:vAlign w:val="bottom"/>
            <w:gridSpan w:val="13"/>
          </w:tcPr>
          <w:p>
            <w:pPr>
              <w:spacing w:after="0"/>
              <w:rPr>
                <w:rFonts w:ascii="Arial" w:cs="Arial" w:eastAsia="Arial" w:hAnsi="Arial"/>
                <w:sz w:val="18"/>
                <w:szCs w:val="18"/>
                <w:color w:val="0000FF"/>
                <w:w w:val="94"/>
              </w:rPr>
            </w:pPr>
            <w:hyperlink w:anchor="page96">
              <w:r>
                <w:rPr>
                  <w:rFonts w:ascii="Arial" w:cs="Arial" w:eastAsia="Arial" w:hAnsi="Arial"/>
                  <w:sz w:val="18"/>
                  <w:szCs w:val="18"/>
                  <w:color w:val="0000FF"/>
                  <w:w w:val="94"/>
                </w:rPr>
                <w:t>Description  of  the  Registrant’s  Securities  Registered  Pursuant  to</w:t>
              </w:r>
            </w:hyperlink>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Section 12 of the Securities Exchange Act of 1934.</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w:t>
            </w:r>
          </w:p>
        </w:tc>
        <w:tc>
          <w:tcPr>
            <w:tcW w:w="4500" w:type="dxa"/>
            <w:vAlign w:val="bottom"/>
            <w:tcBorders>
              <w:bottom w:val="single" w:sz="8" w:color="0000FF"/>
            </w:tcBorders>
            <w:gridSpan w:val="10"/>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Form of Indemnification Agreement for directors and officers.</w:t>
              </w:r>
            </w:hyperlink>
          </w:p>
        </w:tc>
        <w:tc>
          <w:tcPr>
            <w:tcW w:w="720" w:type="dxa"/>
            <w:vAlign w:val="bottom"/>
            <w:gridSpan w:val="3"/>
          </w:tcPr>
          <w:p>
            <w:pPr>
              <w:spacing w:after="0"/>
              <w:rPr>
                <w:sz w:val="21"/>
                <w:szCs w:val="21"/>
                <w:color w:val="auto"/>
              </w:rPr>
            </w:pPr>
          </w:p>
        </w:tc>
        <w:tc>
          <w:tcPr>
            <w:tcW w:w="840" w:type="dxa"/>
            <w:vAlign w:val="bottom"/>
          </w:tcPr>
          <w:p>
            <w:pPr>
              <w:jc w:val="center"/>
              <w:ind w:left="12"/>
              <w:spacing w:after="0"/>
              <w:rPr>
                <w:sz w:val="20"/>
                <w:szCs w:val="20"/>
                <w:color w:val="auto"/>
              </w:rPr>
            </w:pPr>
            <w:r>
              <w:rPr>
                <w:rFonts w:ascii="Arial" w:cs="Arial" w:eastAsia="Arial" w:hAnsi="Arial"/>
                <w:sz w:val="18"/>
                <w:szCs w:val="18"/>
                <w:color w:val="auto"/>
                <w:w w:val="93"/>
              </w:rPr>
              <w:t>S-1/A</w:t>
            </w:r>
          </w:p>
        </w:tc>
        <w:tc>
          <w:tcPr>
            <w:tcW w:w="122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89"/>
              </w:rPr>
              <w:t>3/31/98</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10.2</w:t>
            </w:r>
          </w:p>
        </w:tc>
        <w:tc>
          <w:tcPr>
            <w:tcW w:w="5220" w:type="dxa"/>
            <w:vAlign w:val="bottom"/>
            <w:gridSpan w:val="13"/>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2009 Voting Agreement, dated as of March 26, 2009, between Amkor</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4/1/09</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Technology, Inc., James J. Kim and 915 Investments, LP.</w:t>
              </w:r>
            </w:hyperlink>
          </w:p>
        </w:tc>
        <w:tc>
          <w:tcPr>
            <w:tcW w:w="106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10.3</w:t>
            </w:r>
          </w:p>
        </w:tc>
        <w:tc>
          <w:tcPr>
            <w:tcW w:w="5220" w:type="dxa"/>
            <w:vAlign w:val="bottom"/>
            <w:gridSpan w:val="13"/>
          </w:tcPr>
          <w:p>
            <w:pPr>
              <w:spacing w:after="0"/>
              <w:rPr>
                <w:rFonts w:ascii="Arial" w:cs="Arial" w:eastAsia="Arial" w:hAnsi="Arial"/>
                <w:sz w:val="18"/>
                <w:szCs w:val="18"/>
                <w:color w:val="0000FF"/>
                <w:w w:val="98"/>
              </w:rPr>
            </w:pPr>
            <w:hyperlink r:id="rId40">
              <w:r>
                <w:rPr>
                  <w:rFonts w:ascii="Arial" w:cs="Arial" w:eastAsia="Arial" w:hAnsi="Arial"/>
                  <w:sz w:val="18"/>
                  <w:szCs w:val="18"/>
                  <w:color w:val="0000FF"/>
                  <w:w w:val="98"/>
                </w:rPr>
                <w:t>Employment Letter Agreement, dated February 27, 2017, between</w:t>
              </w:r>
            </w:hyperlink>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spacing w:after="0"/>
              <w:rPr>
                <w:sz w:val="21"/>
                <w:szCs w:val="21"/>
                <w:color w:val="auto"/>
              </w:rPr>
            </w:pPr>
          </w:p>
        </w:tc>
        <w:tc>
          <w:tcPr>
            <w:tcW w:w="940" w:type="dxa"/>
            <w:vAlign w:val="bottom"/>
          </w:tcPr>
          <w:p>
            <w:pPr>
              <w:jc w:val="center"/>
              <w:ind w:right="52"/>
              <w:spacing w:after="0"/>
              <w:rPr>
                <w:sz w:val="20"/>
                <w:szCs w:val="20"/>
                <w:color w:val="auto"/>
              </w:rPr>
            </w:pPr>
            <w:r>
              <w:rPr>
                <w:rFonts w:ascii="Arial" w:cs="Arial" w:eastAsia="Arial" w:hAnsi="Arial"/>
                <w:sz w:val="18"/>
                <w:szCs w:val="18"/>
                <w:color w:val="auto"/>
                <w:w w:val="91"/>
              </w:rPr>
              <w:t>10.1</w:t>
            </w:r>
          </w:p>
        </w:tc>
        <w:tc>
          <w:tcPr>
            <w:tcW w:w="2000" w:type="dxa"/>
            <w:vAlign w:val="bottom"/>
          </w:tcPr>
          <w:p>
            <w:pPr>
              <w:jc w:val="center"/>
              <w:ind w:right="974"/>
              <w:spacing w:after="0"/>
              <w:rPr>
                <w:sz w:val="20"/>
                <w:szCs w:val="20"/>
                <w:color w:val="auto"/>
              </w:rPr>
            </w:pPr>
            <w:r>
              <w:rPr>
                <w:rFonts w:ascii="Arial" w:cs="Arial" w:eastAsia="Arial" w:hAnsi="Arial"/>
                <w:sz w:val="18"/>
                <w:szCs w:val="18"/>
                <w:color w:val="auto"/>
                <w:w w:val="91"/>
              </w:rPr>
              <w:t>3/3/17</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Amkor Technology, Inc. and Stephen D. Kelley.*</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00" w:type="dxa"/>
            <w:vAlign w:val="bottom"/>
          </w:tcPr>
          <w:p>
            <w:pPr>
              <w:spacing w:after="0"/>
              <w:rPr>
                <w:sz w:val="24"/>
                <w:szCs w:val="24"/>
                <w:color w:val="auto"/>
              </w:rPr>
            </w:pPr>
          </w:p>
        </w:tc>
        <w:tc>
          <w:tcPr>
            <w:tcW w:w="3540" w:type="dxa"/>
            <w:vAlign w:val="bottom"/>
            <w:tcBorders>
              <w:top w:val="single" w:sz="8" w:color="0000FF"/>
            </w:tcBorders>
            <w:gridSpan w:val="5"/>
          </w:tcPr>
          <w:p>
            <w:pPr>
              <w:spacing w:after="0"/>
              <w:rPr>
                <w:sz w:val="24"/>
                <w:szCs w:val="24"/>
                <w:color w:val="auto"/>
              </w:rPr>
            </w:pPr>
          </w:p>
        </w:tc>
        <w:tc>
          <w:tcPr>
            <w:tcW w:w="1640" w:type="dxa"/>
            <w:vAlign w:val="bottom"/>
            <w:gridSpan w:val="6"/>
          </w:tcPr>
          <w:p>
            <w:pPr>
              <w:jc w:val="right"/>
              <w:ind w:right="58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980" w:type="dxa"/>
            <w:vAlign w:val="bottom"/>
          </w:tcPr>
          <w:p>
            <w:pPr>
              <w:spacing w:after="0"/>
              <w:rPr>
                <w:sz w:val="14"/>
                <w:szCs w:val="14"/>
                <w:color w:val="auto"/>
              </w:rPr>
            </w:pPr>
          </w:p>
        </w:tc>
        <w:tc>
          <w:tcPr>
            <w:tcW w:w="102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tcPr>
          <w:p>
            <w:pPr>
              <w:jc w:val="right"/>
              <w:ind w:right="352"/>
              <w:spacing w:after="0" w:line="139" w:lineRule="exact"/>
              <w:rPr>
                <w:sz w:val="20"/>
                <w:szCs w:val="20"/>
                <w:color w:val="auto"/>
              </w:rPr>
            </w:pPr>
            <w:r>
              <w:rPr>
                <w:rFonts w:ascii="Arial" w:cs="Arial" w:eastAsia="Arial" w:hAnsi="Arial"/>
                <w:sz w:val="14"/>
                <w:szCs w:val="14"/>
                <w:b w:val="1"/>
                <w:bCs w:val="1"/>
                <w:color w:val="auto"/>
              </w:rPr>
              <w:t>Exhibit</w:t>
            </w:r>
          </w:p>
        </w:tc>
        <w:tc>
          <w:tcPr>
            <w:tcW w:w="1120" w:type="dxa"/>
            <w:vAlign w:val="bottom"/>
          </w:tcPr>
          <w:p>
            <w:pPr>
              <w:spacing w:after="0"/>
              <w:rPr>
                <w:sz w:val="12"/>
                <w:szCs w:val="12"/>
                <w:color w:val="auto"/>
              </w:rPr>
            </w:pPr>
          </w:p>
        </w:tc>
        <w:tc>
          <w:tcPr>
            <w:tcW w:w="4100" w:type="dxa"/>
            <w:vAlign w:val="bottom"/>
            <w:gridSpan w:val="17"/>
            <w:vMerge w:val="restart"/>
          </w:tcPr>
          <w:p>
            <w:pPr>
              <w:ind w:left="88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31"/>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 Ending</w:t>
            </w:r>
          </w:p>
        </w:tc>
        <w:tc>
          <w:tcPr>
            <w:tcW w:w="94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8"/>
              </w:rPr>
              <w:t>Exhibit</w:t>
            </w:r>
          </w:p>
        </w:tc>
        <w:tc>
          <w:tcPr>
            <w:tcW w:w="2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120" w:type="dxa"/>
            <w:vAlign w:val="bottom"/>
          </w:tcPr>
          <w:p>
            <w:pPr>
              <w:spacing w:after="0"/>
              <w:rPr>
                <w:sz w:val="16"/>
                <w:szCs w:val="16"/>
                <w:color w:val="auto"/>
              </w:rPr>
            </w:pPr>
          </w:p>
        </w:tc>
        <w:tc>
          <w:tcPr>
            <w:tcW w:w="4100" w:type="dxa"/>
            <w:vAlign w:val="bottom"/>
            <w:gridSpan w:val="17"/>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Borders>
              <w:top w:val="single" w:sz="8" w:color="auto"/>
            </w:tcBorders>
          </w:tcPr>
          <w:p>
            <w:pPr>
              <w:jc w:val="right"/>
              <w:ind w:right="192"/>
              <w:spacing w:after="0" w:line="202" w:lineRule="exact"/>
              <w:rPr>
                <w:sz w:val="20"/>
                <w:szCs w:val="20"/>
                <w:color w:val="auto"/>
              </w:rPr>
            </w:pPr>
            <w:r>
              <w:rPr>
                <w:rFonts w:ascii="Arial" w:cs="Arial" w:eastAsia="Arial" w:hAnsi="Arial"/>
                <w:sz w:val="18"/>
                <w:szCs w:val="18"/>
                <w:color w:val="auto"/>
              </w:rPr>
              <w:t>10.4</w:t>
            </w:r>
          </w:p>
        </w:tc>
        <w:tc>
          <w:tcPr>
            <w:tcW w:w="5200" w:type="dxa"/>
            <w:vAlign w:val="bottom"/>
            <w:tcBorders>
              <w:top w:val="single" w:sz="8" w:color="auto"/>
              <w:bottom w:val="single" w:sz="8" w:color="0000FF"/>
            </w:tcBorders>
            <w:gridSpan w:val="17"/>
          </w:tcPr>
          <w:p>
            <w:pPr>
              <w:spacing w:after="0" w:line="202"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Form of Stock Option Award Agreement under the Second Amended</w:t>
              </w:r>
            </w:hyperlink>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left="31"/>
              <w:spacing w:after="0" w:line="202" w:lineRule="exact"/>
              <w:rPr>
                <w:sz w:val="20"/>
                <w:szCs w:val="20"/>
                <w:color w:val="auto"/>
              </w:rPr>
            </w:pPr>
            <w:r>
              <w:rPr>
                <w:rFonts w:ascii="Arial" w:cs="Arial" w:eastAsia="Arial" w:hAnsi="Arial"/>
                <w:sz w:val="18"/>
                <w:szCs w:val="18"/>
                <w:color w:val="auto"/>
                <w:w w:val="94"/>
              </w:rPr>
              <w:t>10-Q</w:t>
            </w:r>
          </w:p>
        </w:tc>
        <w:tc>
          <w:tcPr>
            <w:tcW w:w="12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3/31/17</w:t>
            </w:r>
          </w:p>
        </w:tc>
        <w:tc>
          <w:tcPr>
            <w:tcW w:w="940" w:type="dxa"/>
            <w:vAlign w:val="bottom"/>
            <w:tcBorders>
              <w:top w:val="single" w:sz="8" w:color="auto"/>
            </w:tcBorders>
          </w:tcPr>
          <w:p>
            <w:pPr>
              <w:jc w:val="center"/>
              <w:ind w:right="51"/>
              <w:spacing w:after="0" w:line="202" w:lineRule="exact"/>
              <w:rPr>
                <w:sz w:val="20"/>
                <w:szCs w:val="20"/>
                <w:color w:val="auto"/>
              </w:rPr>
            </w:pPr>
            <w:r>
              <w:rPr>
                <w:rFonts w:ascii="Arial" w:cs="Arial" w:eastAsia="Arial" w:hAnsi="Arial"/>
                <w:sz w:val="18"/>
                <w:szCs w:val="18"/>
                <w:color w:val="auto"/>
                <w:w w:val="91"/>
              </w:rPr>
              <w:t>10.2</w:t>
            </w:r>
          </w:p>
        </w:tc>
        <w:tc>
          <w:tcPr>
            <w:tcW w:w="9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and Restated 2007 Equity Incentive Plan.*</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10.5</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6"/>
              </w:rPr>
            </w:pPr>
            <w:hyperlink r:id="rId42">
              <w:r>
                <w:rPr>
                  <w:rFonts w:ascii="Arial" w:cs="Arial" w:eastAsia="Arial" w:hAnsi="Arial"/>
                  <w:sz w:val="18"/>
                  <w:szCs w:val="18"/>
                  <w:color w:val="0000FF"/>
                  <w:w w:val="96"/>
                </w:rPr>
                <w:t>Form  of  Restricted  Stock  Award  Agreement  under  the  Second</w:t>
              </w:r>
            </w:hyperlink>
          </w:p>
        </w:tc>
        <w:tc>
          <w:tcPr>
            <w:tcW w:w="20" w:type="dxa"/>
            <w:vAlign w:val="bottom"/>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8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Amended and Restated 2007 Equity Incentive Plan.*</w:t>
              </w:r>
            </w:hyperlink>
          </w:p>
        </w:tc>
        <w:tc>
          <w:tcPr>
            <w:tcW w:w="14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5220" w:type="dxa"/>
            <w:vAlign w:val="bottom"/>
            <w:gridSpan w:val="18"/>
          </w:tcPr>
          <w:p>
            <w:pPr>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Form of Outside Director Stock Option Award Agreement under the</w:t>
              </w:r>
            </w:hyperlink>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Second Amended and Restated 2007 Equity Incentive Plan.*</w:t>
              </w:r>
            </w:hyperlink>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10.7</w:t>
            </w:r>
          </w:p>
        </w:tc>
        <w:tc>
          <w:tcPr>
            <w:tcW w:w="4380" w:type="dxa"/>
            <w:vAlign w:val="bottom"/>
            <w:tcBorders>
              <w:top w:val="single" w:sz="8" w:color="0000FF"/>
            </w:tcBorders>
            <w:gridSpan w:val="14"/>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Second Amended and Restated 2007 Equity Incentive Plan*</w:t>
              </w:r>
            </w:hyperlink>
          </w:p>
        </w:tc>
        <w:tc>
          <w:tcPr>
            <w:tcW w:w="840" w:type="dxa"/>
            <w:vAlign w:val="bottom"/>
            <w:gridSpan w:val="4"/>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10.8</w:t>
            </w:r>
          </w:p>
        </w:tc>
        <w:tc>
          <w:tcPr>
            <w:tcW w:w="5200" w:type="dxa"/>
            <w:vAlign w:val="bottom"/>
            <w:tcBorders>
              <w:bottom w:val="single" w:sz="8" w:color="0000FF"/>
            </w:tcBorders>
            <w:gridSpan w:val="17"/>
          </w:tcPr>
          <w:p>
            <w:pPr>
              <w:spacing w:after="0"/>
              <w:rPr>
                <w:rFonts w:ascii="Arial" w:cs="Arial" w:eastAsia="Arial" w:hAnsi="Arial"/>
                <w:sz w:val="18"/>
                <w:szCs w:val="18"/>
                <w:color w:val="0000FF"/>
              </w:rPr>
            </w:pPr>
            <w:hyperlink r:id="rId45">
              <w:r>
                <w:rPr>
                  <w:rFonts w:ascii="Arial" w:cs="Arial" w:eastAsia="Arial" w:hAnsi="Arial"/>
                  <w:sz w:val="18"/>
                  <w:szCs w:val="18"/>
                  <w:color w:val="0000FF"/>
                </w:rPr>
                <w:t>Amendment One to Second Amended and Restated 2007 Equity</w:t>
              </w:r>
            </w:hyperlink>
          </w:p>
        </w:tc>
        <w:tc>
          <w:tcPr>
            <w:tcW w:w="20" w:type="dxa"/>
            <w:vAlign w:val="bottom"/>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6/30/19</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8/1/19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Incentive Plan*</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10.9</w:t>
            </w:r>
          </w:p>
        </w:tc>
        <w:tc>
          <w:tcPr>
            <w:tcW w:w="5220" w:type="dxa"/>
            <w:vAlign w:val="bottom"/>
            <w:gridSpan w:val="18"/>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Amended and Restated Executive Incentive Bonus Plan*</w:t>
              </w:r>
            </w:hyperlink>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5/5/17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10.10</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Retirement and Release Agreement, dated May 15, 2019, between</w:t>
              </w:r>
            </w:hyperlink>
          </w:p>
        </w:tc>
        <w:tc>
          <w:tcPr>
            <w:tcW w:w="20" w:type="dxa"/>
            <w:vAlign w:val="bottom"/>
          </w:tcPr>
          <w:p>
            <w:pPr>
              <w:spacing w:after="0"/>
              <w:rPr>
                <w:sz w:val="21"/>
                <w:szCs w:val="21"/>
                <w:color w:val="auto"/>
              </w:rPr>
            </w:pPr>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6/30/19</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8/1/19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980" w:type="dxa"/>
            <w:vAlign w:val="bottom"/>
            <w:tcBorders>
              <w:bottom w:val="single" w:sz="8" w:color="0000FF"/>
            </w:tcBorders>
            <w:gridSpan w:val="7"/>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Amkor Technology, Inc. and Gil C. Tily*</w:t>
              </w:r>
            </w:hyperlink>
          </w:p>
        </w:tc>
        <w:tc>
          <w:tcPr>
            <w:tcW w:w="224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10.11</w:t>
            </w:r>
          </w:p>
        </w:tc>
        <w:tc>
          <w:tcPr>
            <w:tcW w:w="5220" w:type="dxa"/>
            <w:vAlign w:val="bottom"/>
            <w:tcBorders>
              <w:bottom w:val="single" w:sz="8" w:color="0000FF"/>
            </w:tcBorders>
            <w:gridSpan w:val="18"/>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Syndicated Loan Agreement among J-Devices Corporation, Sumitomo</w:t>
              </w:r>
            </w:hyperlink>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Mitsui Banking Corporation and other financial institutions, dated as of</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5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July 13, 2018 (English translation).</w:t>
              </w:r>
            </w:hyperlink>
          </w:p>
        </w:tc>
        <w:tc>
          <w:tcPr>
            <w:tcW w:w="268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10.12</w:t>
            </w:r>
          </w:p>
        </w:tc>
        <w:tc>
          <w:tcPr>
            <w:tcW w:w="5200" w:type="dxa"/>
            <w:vAlign w:val="bottom"/>
            <w:tcBorders>
              <w:bottom w:val="single" w:sz="8" w:color="0000FF"/>
            </w:tcBorders>
            <w:gridSpan w:val="17"/>
          </w:tcPr>
          <w:p>
            <w:pPr>
              <w:spacing w:after="0"/>
              <w:rPr>
                <w:rFonts w:ascii="Arial" w:cs="Arial" w:eastAsia="Arial" w:hAnsi="Arial"/>
                <w:sz w:val="18"/>
                <w:szCs w:val="18"/>
                <w:color w:val="0000FF"/>
              </w:rPr>
            </w:pPr>
            <w:hyperlink r:id="rId49">
              <w:r>
                <w:rPr>
                  <w:rFonts w:ascii="Arial" w:cs="Arial" w:eastAsia="Arial" w:hAnsi="Arial"/>
                  <w:sz w:val="18"/>
                  <w:szCs w:val="18"/>
                  <w:color w:val="0000FF"/>
                </w:rPr>
                <w:t>Guaranty by Amkor Technology, Inc. in favor of Sumitomo Mitsui</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Banking Corporation and other financial institutions, dated as of July</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13, 2018 (English translation).</w:t>
              </w:r>
            </w:hyperlink>
          </w:p>
        </w:tc>
        <w:tc>
          <w:tcPr>
            <w:tcW w:w="302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10.13</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Loan and Security Agreement, dated as of July 13, 2018, by and among</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tcBorders>
              <w:bottom w:val="single" w:sz="8" w:color="0000FF"/>
            </w:tcBorders>
            <w:gridSpan w:val="18"/>
          </w:tcPr>
          <w:p>
            <w:pPr>
              <w:spacing w:after="0" w:line="19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Amkor Technology Singapore Holding Pte, Ltd., Bank of America,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6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N.A. and other financial institutions.</w:t>
              </w:r>
            </w:hyperlink>
          </w:p>
        </w:tc>
        <w:tc>
          <w:tcPr>
            <w:tcW w:w="258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10.14</w:t>
            </w:r>
          </w:p>
        </w:tc>
        <w:tc>
          <w:tcPr>
            <w:tcW w:w="5220" w:type="dxa"/>
            <w:vAlign w:val="bottom"/>
            <w:tcBorders>
              <w:bottom w:val="single" w:sz="8" w:color="0000FF"/>
            </w:tcBorders>
            <w:gridSpan w:val="18"/>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Amendment to Loan and Security Agreement, dated as of July 8, 2019,</w:t>
              </w:r>
            </w:hyperlink>
          </w:p>
        </w:tc>
        <w:tc>
          <w:tcPr>
            <w:tcW w:w="820" w:type="dxa"/>
            <w:vAlign w:val="bottom"/>
          </w:tcPr>
          <w:p>
            <w:pPr>
              <w:jc w:val="center"/>
              <w:ind w:left="31"/>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6/30/19</w:t>
            </w: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8/1/19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by and amount Amkor Technology Singapore Holding Pte, Ltd., Bank</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354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of America, N.A. and other financial institutions.</w:t>
              </w:r>
            </w:hyperlink>
          </w:p>
        </w:tc>
        <w:tc>
          <w:tcPr>
            <w:tcW w:w="168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10.15</w:t>
            </w:r>
          </w:p>
        </w:tc>
        <w:tc>
          <w:tcPr>
            <w:tcW w:w="5220" w:type="dxa"/>
            <w:vAlign w:val="bottom"/>
            <w:tcBorders>
              <w:bottom w:val="single" w:sz="8" w:color="0000FF"/>
            </w:tcBorders>
            <w:gridSpan w:val="18"/>
          </w:tcPr>
          <w:p>
            <w:pPr>
              <w:spacing w:after="0"/>
              <w:rPr>
                <w:rFonts w:ascii="Arial" w:cs="Arial" w:eastAsia="Arial" w:hAnsi="Arial"/>
                <w:sz w:val="18"/>
                <w:szCs w:val="18"/>
                <w:color w:val="0000FF"/>
                <w:w w:val="95"/>
              </w:rPr>
            </w:pPr>
            <w:hyperlink r:id="rId52">
              <w:r>
                <w:rPr>
                  <w:rFonts w:ascii="Arial" w:cs="Arial" w:eastAsia="Arial" w:hAnsi="Arial"/>
                  <w:sz w:val="18"/>
                  <w:szCs w:val="18"/>
                  <w:color w:val="0000FF"/>
                  <w:w w:val="95"/>
                </w:rPr>
                <w:t>Guaranty and Security Agreement, dated as of July 13, 2018, by and</w:t>
              </w:r>
            </w:hyperlink>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7/19/18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among Amkor Technology, Inc., and Bank of America, N.A.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10.16</w:t>
            </w:r>
          </w:p>
        </w:tc>
        <w:tc>
          <w:tcPr>
            <w:tcW w:w="5220" w:type="dxa"/>
            <w:vAlign w:val="bottom"/>
            <w:tcBorders>
              <w:bottom w:val="single" w:sz="8" w:color="0000FF"/>
            </w:tcBorders>
            <w:gridSpan w:val="18"/>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Syndicated Loan Agreement among J-Devices Corporation, Sumitomo</w:t>
              </w:r>
            </w:hyperlink>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12/26/19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Mitsui Banking Corporation and other financial institutions, dated as of</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9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December 23, 2019 (English translation)</w:t>
              </w:r>
            </w:hyperlink>
          </w:p>
        </w:tc>
        <w:tc>
          <w:tcPr>
            <w:tcW w:w="228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10.17</w:t>
            </w:r>
          </w:p>
        </w:tc>
        <w:tc>
          <w:tcPr>
            <w:tcW w:w="5200" w:type="dxa"/>
            <w:vAlign w:val="bottom"/>
            <w:tcBorders>
              <w:bottom w:val="single" w:sz="8" w:color="0000FF"/>
            </w:tcBorders>
            <w:gridSpan w:val="17"/>
          </w:tcPr>
          <w:p>
            <w:pPr>
              <w:spacing w:after="0"/>
              <w:rPr>
                <w:rFonts w:ascii="Arial" w:cs="Arial" w:eastAsia="Arial" w:hAnsi="Arial"/>
                <w:sz w:val="18"/>
                <w:szCs w:val="18"/>
                <w:color w:val="0000FF"/>
              </w:rPr>
            </w:pPr>
            <w:hyperlink r:id="rId54">
              <w:r>
                <w:rPr>
                  <w:rFonts w:ascii="Arial" w:cs="Arial" w:eastAsia="Arial" w:hAnsi="Arial"/>
                  <w:sz w:val="18"/>
                  <w:szCs w:val="18"/>
                  <w:color w:val="0000FF"/>
                </w:rPr>
                <w:t>Guaranty by Amkor Technology, Inc. in favor of Sumitomo Mitsui</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12/26/19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Banking Corporation and other financial institutions, dated as of</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December 23, 2019 (English translation)</w:t>
              </w:r>
            </w:hyperlink>
          </w:p>
        </w:tc>
        <w:tc>
          <w:tcPr>
            <w:tcW w:w="224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10.18</w:t>
            </w:r>
          </w:p>
        </w:tc>
        <w:tc>
          <w:tcPr>
            <w:tcW w:w="5200" w:type="dxa"/>
            <w:vAlign w:val="bottom"/>
            <w:tcBorders>
              <w:bottom w:val="single" w:sz="8" w:color="0000FF"/>
            </w:tcBorders>
            <w:gridSpan w:val="17"/>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Deed of Guaranty by Amkor Technology Singapore Holding Pte. Ltd.</w:t>
              </w:r>
            </w:hyperlink>
          </w:p>
        </w:tc>
        <w:tc>
          <w:tcPr>
            <w:tcW w:w="20" w:type="dxa"/>
            <w:vAlign w:val="bottom"/>
          </w:tcPr>
          <w:p>
            <w:pPr>
              <w:spacing w:after="0"/>
              <w:rPr>
                <w:sz w:val="21"/>
                <w:szCs w:val="21"/>
                <w:color w:val="auto"/>
              </w:rPr>
            </w:pPr>
          </w:p>
        </w:tc>
        <w:tc>
          <w:tcPr>
            <w:tcW w:w="82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21"/>
                <w:szCs w:val="21"/>
                <w:color w:val="auto"/>
              </w:rPr>
            </w:pPr>
          </w:p>
        </w:tc>
        <w:tc>
          <w:tcPr>
            <w:tcW w:w="94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12/26/19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tcBorders>
              <w:bottom w:val="single" w:sz="8" w:color="0000FF"/>
            </w:tcBorders>
            <w:gridSpan w:val="18"/>
          </w:tcPr>
          <w:p>
            <w:pPr>
              <w:spacing w:after="0" w:line="196" w:lineRule="exact"/>
              <w:rPr>
                <w:rFonts w:ascii="Arial" w:cs="Arial" w:eastAsia="Arial" w:hAnsi="Arial"/>
                <w:sz w:val="18"/>
                <w:szCs w:val="18"/>
                <w:color w:val="0000FF"/>
                <w:w w:val="96"/>
              </w:rPr>
            </w:pPr>
            <w:hyperlink r:id="rId55">
              <w:r>
                <w:rPr>
                  <w:rFonts w:ascii="Arial" w:cs="Arial" w:eastAsia="Arial" w:hAnsi="Arial"/>
                  <w:sz w:val="18"/>
                  <w:szCs w:val="18"/>
                  <w:color w:val="0000FF"/>
                  <w:w w:val="96"/>
                </w:rPr>
                <w:t>in favor of Sumitomo Mitsui Banking Corporation and other financial</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institutions, dated as of December 23, 2019 (English translation)</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26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List of subsidiaries of the Registrant.</w:t>
              </w:r>
            </w:hyperlink>
          </w:p>
        </w:tc>
        <w:tc>
          <w:tcPr>
            <w:tcW w:w="1980" w:type="dxa"/>
            <w:vAlign w:val="bottom"/>
            <w:tcBorders>
              <w:top w:val="single" w:sz="8" w:color="0000FF"/>
            </w:tcBorders>
            <w:gridSpan w:val="10"/>
          </w:tcPr>
          <w:p>
            <w:pPr>
              <w:spacing w:after="0"/>
              <w:rPr>
                <w:sz w:val="21"/>
                <w:szCs w:val="21"/>
                <w:color w:val="auto"/>
              </w:rPr>
            </w:pPr>
          </w:p>
        </w:tc>
        <w:tc>
          <w:tcPr>
            <w:tcW w:w="58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9"/>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1200" w:type="dxa"/>
            <w:vAlign w:val="bottom"/>
          </w:tcPr>
          <w:p>
            <w:pPr>
              <w:jc w:val="right"/>
              <w:ind w:right="192"/>
              <w:spacing w:after="0"/>
              <w:rPr>
                <w:sz w:val="20"/>
                <w:szCs w:val="20"/>
                <w:color w:val="auto"/>
              </w:rPr>
            </w:pPr>
            <w:r>
              <w:rPr>
                <w:rFonts w:ascii="Arial" w:cs="Arial" w:eastAsia="Arial" w:hAnsi="Arial"/>
                <w:sz w:val="18"/>
                <w:szCs w:val="18"/>
                <w:color w:val="auto"/>
              </w:rPr>
              <w:t>23.1</w:t>
            </w:r>
          </w:p>
        </w:tc>
        <w:tc>
          <w:tcPr>
            <w:tcW w:w="5220" w:type="dxa"/>
            <w:vAlign w:val="bottom"/>
            <w:gridSpan w:val="18"/>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Consent of PricewaterhouseCoopers LLP.</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9"/>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96"/>
        </w:trPr>
        <w:tc>
          <w:tcPr>
            <w:tcW w:w="1200" w:type="dxa"/>
            <w:vAlign w:val="bottom"/>
          </w:tcPr>
          <w:p>
            <w:pPr>
              <w:spacing w:after="0"/>
              <w:rPr>
                <w:sz w:val="24"/>
                <w:szCs w:val="24"/>
                <w:color w:val="auto"/>
              </w:rPr>
            </w:pPr>
          </w:p>
        </w:tc>
        <w:tc>
          <w:tcPr>
            <w:tcW w:w="3060" w:type="dxa"/>
            <w:vAlign w:val="bottom"/>
            <w:tcBorders>
              <w:top w:val="single" w:sz="8" w:color="0000FF"/>
            </w:tcBorders>
            <w:gridSpan w:val="8"/>
          </w:tcPr>
          <w:p>
            <w:pPr>
              <w:spacing w:after="0"/>
              <w:rPr>
                <w:sz w:val="24"/>
                <w:szCs w:val="24"/>
                <w:color w:val="auto"/>
              </w:rPr>
            </w:pPr>
          </w:p>
        </w:tc>
        <w:tc>
          <w:tcPr>
            <w:tcW w:w="1580" w:type="dxa"/>
            <w:vAlign w:val="bottom"/>
            <w:gridSpan w:val="7"/>
          </w:tcPr>
          <w:p>
            <w:pPr>
              <w:jc w:val="right"/>
              <w:ind w:right="40"/>
              <w:spacing w:after="0"/>
              <w:rPr>
                <w:sz w:val="20"/>
                <w:szCs w:val="20"/>
                <w:color w:val="auto"/>
              </w:rPr>
            </w:pPr>
            <w:r>
              <w:rPr>
                <w:rFonts w:ascii="Arial" w:cs="Arial" w:eastAsia="Arial" w:hAnsi="Arial"/>
                <w:sz w:val="18"/>
                <w:szCs w:val="18"/>
                <w:color w:val="auto"/>
              </w:rPr>
              <w:t>90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980" w:type="dxa"/>
            <w:vAlign w:val="bottom"/>
          </w:tcPr>
          <w:p>
            <w:pPr>
              <w:spacing w:after="0"/>
              <w:rPr>
                <w:sz w:val="14"/>
                <w:szCs w:val="14"/>
                <w:color w:val="auto"/>
              </w:rPr>
            </w:pPr>
          </w:p>
        </w:tc>
        <w:tc>
          <w:tcPr>
            <w:tcW w:w="1020" w:type="dxa"/>
            <w:vAlign w:val="bottom"/>
          </w:tcPr>
          <w:p>
            <w:pPr>
              <w:jc w:val="center"/>
              <w:ind w:left="3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Exhibit</w:t>
            </w:r>
          </w:p>
        </w:tc>
        <w:tc>
          <w:tcPr>
            <w:tcW w:w="5220" w:type="dxa"/>
            <w:vAlign w:val="bottom"/>
            <w:gridSpan w:val="5"/>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Number</w:t>
            </w:r>
          </w:p>
        </w:tc>
        <w:tc>
          <w:tcPr>
            <w:tcW w:w="5220" w:type="dxa"/>
            <w:vAlign w:val="bottom"/>
            <w:gridSpan w:val="5"/>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Borders>
              <w:top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31.1</w:t>
            </w:r>
          </w:p>
        </w:tc>
        <w:tc>
          <w:tcPr>
            <w:tcW w:w="5220" w:type="dxa"/>
            <w:vAlign w:val="bottom"/>
            <w:tcBorders>
              <w:top w:val="single" w:sz="8" w:color="auto"/>
            </w:tcBorders>
            <w:gridSpan w:val="5"/>
          </w:tcPr>
          <w:p>
            <w:pPr>
              <w:spacing w:after="0" w:line="202" w:lineRule="exact"/>
              <w:rPr>
                <w:rFonts w:ascii="Arial" w:cs="Arial" w:eastAsia="Arial" w:hAnsi="Arial"/>
                <w:sz w:val="18"/>
                <w:szCs w:val="18"/>
                <w:color w:val="0000FF"/>
                <w:w w:val="97"/>
              </w:rPr>
            </w:pPr>
            <w:hyperlink w:anchor="page100">
              <w:r>
                <w:rPr>
                  <w:rFonts w:ascii="Arial" w:cs="Arial" w:eastAsia="Arial" w:hAnsi="Arial"/>
                  <w:sz w:val="18"/>
                  <w:szCs w:val="18"/>
                  <w:color w:val="0000FF"/>
                  <w:w w:val="97"/>
                </w:rPr>
                <w:t>Certification of Stephen D. Kelley, Chief Executive Officer of Amkor</w:t>
              </w:r>
            </w:hyperlink>
          </w:p>
        </w:tc>
        <w:tc>
          <w:tcPr>
            <w:tcW w:w="8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20" w:type="dxa"/>
            <w:vAlign w:val="bottom"/>
          </w:tcPr>
          <w:p>
            <w:pPr>
              <w:jc w:val="center"/>
              <w:ind w:left="33"/>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4"/>
          </w:tcPr>
          <w:p>
            <w:pPr>
              <w:spacing w:after="0" w:line="196" w:lineRule="exact"/>
              <w:rPr>
                <w:rFonts w:ascii="Arial" w:cs="Arial" w:eastAsia="Arial" w:hAnsi="Arial"/>
                <w:sz w:val="18"/>
                <w:szCs w:val="18"/>
                <w:color w:val="0000FF"/>
                <w:w w:val="98"/>
              </w:rPr>
            </w:pPr>
            <w:hyperlink w:anchor="page100">
              <w:r>
                <w:rPr>
                  <w:rFonts w:ascii="Arial" w:cs="Arial" w:eastAsia="Arial" w:hAnsi="Arial"/>
                  <w:sz w:val="18"/>
                  <w:szCs w:val="18"/>
                  <w:color w:val="0000FF"/>
                  <w:w w:val="98"/>
                </w:rPr>
                <w:t>Technology, Inc., Pursuant to Rule 13a-14(a) under the Securities</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60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100">
              <w:r>
                <w:rPr>
                  <w:rFonts w:ascii="Arial" w:cs="Arial" w:eastAsia="Arial" w:hAnsi="Arial"/>
                  <w:sz w:val="18"/>
                  <w:szCs w:val="18"/>
                  <w:color w:val="0000FF"/>
                  <w:w w:val="88"/>
                </w:rPr>
                <w:t>Exchange Act of 1934, as amended.</w:t>
              </w:r>
            </w:hyperlink>
          </w:p>
        </w:tc>
        <w:tc>
          <w:tcPr>
            <w:tcW w:w="26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31.2</w:t>
            </w:r>
          </w:p>
        </w:tc>
        <w:tc>
          <w:tcPr>
            <w:tcW w:w="5200" w:type="dxa"/>
            <w:vAlign w:val="bottom"/>
            <w:tcBorders>
              <w:bottom w:val="single" w:sz="8" w:color="0000FF"/>
            </w:tcBorders>
            <w:gridSpan w:val="4"/>
          </w:tcPr>
          <w:p>
            <w:pPr>
              <w:spacing w:after="0"/>
              <w:rPr>
                <w:rFonts w:ascii="Arial" w:cs="Arial" w:eastAsia="Arial" w:hAnsi="Arial"/>
                <w:sz w:val="18"/>
                <w:szCs w:val="18"/>
                <w:color w:val="0000FF"/>
                <w:w w:val="97"/>
              </w:rPr>
            </w:pPr>
            <w:hyperlink w:anchor="page101">
              <w:r>
                <w:rPr>
                  <w:rFonts w:ascii="Arial" w:cs="Arial" w:eastAsia="Arial" w:hAnsi="Arial"/>
                  <w:sz w:val="18"/>
                  <w:szCs w:val="18"/>
                  <w:color w:val="0000FF"/>
                  <w:w w:val="97"/>
                </w:rPr>
                <w:t>Certification  of  Megan  Faust,  Chief  Financial  Officer  of  Amkor</w:t>
              </w:r>
            </w:hyperlink>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00" w:type="dxa"/>
            <w:vAlign w:val="bottom"/>
            <w:tcBorders>
              <w:bottom w:val="single" w:sz="8" w:color="0000FF"/>
            </w:tcBorders>
            <w:gridSpan w:val="4"/>
          </w:tcPr>
          <w:p>
            <w:pPr>
              <w:spacing w:after="0" w:line="196" w:lineRule="exact"/>
              <w:rPr>
                <w:rFonts w:ascii="Arial" w:cs="Arial" w:eastAsia="Arial" w:hAnsi="Arial"/>
                <w:sz w:val="18"/>
                <w:szCs w:val="18"/>
                <w:color w:val="0000FF"/>
                <w:w w:val="98"/>
              </w:rPr>
            </w:pPr>
            <w:hyperlink w:anchor="page101">
              <w:r>
                <w:rPr>
                  <w:rFonts w:ascii="Arial" w:cs="Arial" w:eastAsia="Arial" w:hAnsi="Arial"/>
                  <w:sz w:val="18"/>
                  <w:szCs w:val="18"/>
                  <w:color w:val="0000FF"/>
                  <w:w w:val="98"/>
                </w:rPr>
                <w:t>Technology, Inc., Pursuant to Rule 13a-14(a) under the Securities</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60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101">
              <w:r>
                <w:rPr>
                  <w:rFonts w:ascii="Arial" w:cs="Arial" w:eastAsia="Arial" w:hAnsi="Arial"/>
                  <w:sz w:val="18"/>
                  <w:szCs w:val="18"/>
                  <w:color w:val="0000FF"/>
                  <w:w w:val="88"/>
                </w:rPr>
                <w:t>Exchange Act of 1934, as amended.</w:t>
              </w:r>
            </w:hyperlink>
          </w:p>
        </w:tc>
        <w:tc>
          <w:tcPr>
            <w:tcW w:w="26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32.1</w:t>
            </w:r>
          </w:p>
        </w:tc>
        <w:tc>
          <w:tcPr>
            <w:tcW w:w="52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102">
              <w:r>
                <w:rPr>
                  <w:rFonts w:ascii="Arial" w:cs="Arial" w:eastAsia="Arial" w:hAnsi="Arial"/>
                  <w:sz w:val="18"/>
                  <w:szCs w:val="18"/>
                  <w:color w:val="0000FF"/>
                  <w:w w:val="99"/>
                </w:rPr>
                <w:t>Certification of Chief Executive Officer and Chief Financial Officer</w:t>
              </w:r>
            </w:hyperlink>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5220" w:type="dxa"/>
            <w:vAlign w:val="bottom"/>
            <w:gridSpan w:val="5"/>
          </w:tcPr>
          <w:p>
            <w:pPr>
              <w:spacing w:after="0" w:line="196" w:lineRule="exact"/>
              <w:rPr>
                <w:rFonts w:ascii="Arial" w:cs="Arial" w:eastAsia="Arial" w:hAnsi="Arial"/>
                <w:sz w:val="18"/>
                <w:szCs w:val="18"/>
                <w:color w:val="0000FF"/>
                <w:w w:val="94"/>
              </w:rPr>
            </w:pPr>
            <w:hyperlink w:anchor="page102">
              <w:r>
                <w:rPr>
                  <w:rFonts w:ascii="Arial" w:cs="Arial" w:eastAsia="Arial" w:hAnsi="Arial"/>
                  <w:sz w:val="18"/>
                  <w:szCs w:val="18"/>
                  <w:color w:val="0000FF"/>
                  <w:w w:val="94"/>
                </w:rPr>
                <w:t>Pursuant to 18 U.S.C. Section 1350, as Adopted Pursuant to Section</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906 of the Sarbanes-Oxley Act of 2002.</w:t>
              </w:r>
            </w:hyperlink>
          </w:p>
        </w:tc>
        <w:tc>
          <w:tcPr>
            <w:tcW w:w="230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101.INS</w:t>
            </w:r>
          </w:p>
        </w:tc>
        <w:tc>
          <w:tcPr>
            <w:tcW w:w="5220" w:type="dxa"/>
            <w:vAlign w:val="bottom"/>
            <w:gridSpan w:val="5"/>
          </w:tcPr>
          <w:p>
            <w:pPr>
              <w:spacing w:after="0"/>
              <w:rPr>
                <w:sz w:val="20"/>
                <w:szCs w:val="20"/>
                <w:color w:val="auto"/>
              </w:rPr>
            </w:pPr>
            <w:r>
              <w:rPr>
                <w:rFonts w:ascii="Arial" w:cs="Arial" w:eastAsia="Arial" w:hAnsi="Arial"/>
                <w:sz w:val="18"/>
                <w:szCs w:val="18"/>
                <w:color w:val="auto"/>
                <w:w w:val="98"/>
              </w:rPr>
              <w:t>Inline XBRL Instance Document - the instance document does not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20" w:type="dxa"/>
            <w:vAlign w:val="bottom"/>
            <w:gridSpan w:val="5"/>
          </w:tcPr>
          <w:p>
            <w:pPr>
              <w:spacing w:after="0"/>
              <w:rPr>
                <w:sz w:val="20"/>
                <w:szCs w:val="20"/>
                <w:color w:val="auto"/>
              </w:rPr>
            </w:pPr>
            <w:r>
              <w:rPr>
                <w:rFonts w:ascii="Arial" w:cs="Arial" w:eastAsia="Arial" w:hAnsi="Arial"/>
                <w:sz w:val="18"/>
                <w:szCs w:val="18"/>
                <w:color w:val="auto"/>
                <w:w w:val="89"/>
              </w:rPr>
              <w:t>appear in the Interactive Data File because its XBRL tags are embedded</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22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101.SCH</w:t>
            </w:r>
          </w:p>
        </w:tc>
        <w:tc>
          <w:tcPr>
            <w:tcW w:w="52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101.CAL</w:t>
            </w:r>
          </w:p>
        </w:tc>
        <w:tc>
          <w:tcPr>
            <w:tcW w:w="5220" w:type="dxa"/>
            <w:vAlign w:val="bottom"/>
            <w:gridSpan w:val="5"/>
          </w:tcPr>
          <w:p>
            <w:pPr>
              <w:spacing w:after="0"/>
              <w:rPr>
                <w:sz w:val="20"/>
                <w:szCs w:val="20"/>
                <w:color w:val="auto"/>
              </w:rPr>
            </w:pPr>
            <w:r>
              <w:rPr>
                <w:rFonts w:ascii="Arial" w:cs="Arial" w:eastAsia="Arial" w:hAnsi="Arial"/>
                <w:sz w:val="18"/>
                <w:szCs w:val="18"/>
                <w:color w:val="auto"/>
                <w:w w:val="98"/>
              </w:rPr>
              <w:t>Inline XBRL Taxonomy Extension Calculation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101.LAB</w:t>
            </w:r>
          </w:p>
        </w:tc>
        <w:tc>
          <w:tcPr>
            <w:tcW w:w="52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101.PRE</w:t>
            </w:r>
          </w:p>
        </w:tc>
        <w:tc>
          <w:tcPr>
            <w:tcW w:w="5220" w:type="dxa"/>
            <w:vAlign w:val="bottom"/>
            <w:gridSpan w:val="5"/>
          </w:tcPr>
          <w:p>
            <w:pPr>
              <w:spacing w:after="0"/>
              <w:rPr>
                <w:sz w:val="20"/>
                <w:szCs w:val="20"/>
                <w:color w:val="auto"/>
              </w:rPr>
            </w:pPr>
            <w:r>
              <w:rPr>
                <w:rFonts w:ascii="Arial" w:cs="Arial" w:eastAsia="Arial" w:hAnsi="Arial"/>
                <w:sz w:val="18"/>
                <w:szCs w:val="18"/>
                <w:color w:val="auto"/>
                <w:w w:val="96"/>
              </w:rPr>
              <w:t>Inline XBRL Taxonomy Extension Presentation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101.DEF</w:t>
            </w:r>
          </w:p>
        </w:tc>
        <w:tc>
          <w:tcPr>
            <w:tcW w:w="52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200" w:type="dxa"/>
            <w:vAlign w:val="bottom"/>
          </w:tcPr>
          <w:p>
            <w:pPr>
              <w:jc w:val="right"/>
              <w:ind w:right="193"/>
              <w:spacing w:after="0"/>
              <w:rPr>
                <w:sz w:val="20"/>
                <w:szCs w:val="20"/>
                <w:color w:val="auto"/>
              </w:rPr>
            </w:pPr>
            <w:r>
              <w:rPr>
                <w:rFonts w:ascii="Arial" w:cs="Arial" w:eastAsia="Arial" w:hAnsi="Arial"/>
                <w:sz w:val="18"/>
                <w:szCs w:val="18"/>
                <w:color w:val="auto"/>
              </w:rPr>
              <w:t>104</w:t>
            </w:r>
          </w:p>
        </w:tc>
        <w:tc>
          <w:tcPr>
            <w:tcW w:w="522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20" w:type="dxa"/>
            <w:vAlign w:val="bottom"/>
          </w:tcPr>
          <w:p>
            <w:pPr>
              <w:jc w:val="center"/>
              <w:ind w:left="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220" w:type="dxa"/>
            <w:vAlign w:val="bottom"/>
            <w:gridSpan w:val="5"/>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compensatory plan, contract or arrangement.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AMKOR TECHNOLOGY, INC.</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31750</wp:posOffset>
            </wp:positionV>
            <wp:extent cx="20066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Stephen D. Kelley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Date: February 19, 2020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D. Kelley and Megan Faust, and each of them, his attorneys-in-fact, and agents, each with the power of substitution, for him and in his name, place and stead, in any and all capacities, to sign any and all amendments to this Report on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conforming all that said attorneys-in-fact and agents of any of them, or his or their substitute or substitutes, may lawfully do or cause to be done by virtue hereof.</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Stephen D. Kelley</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and Chief Executive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Stephen D. Kelley</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Megan Faust</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Vice President and 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Megan Faust</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/s/ James J.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Chairman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0"/>
              </w:rPr>
              <w:t>James J.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John T.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Chairman</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John T.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/s/ Susan Y. Kim</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Susan Y. Kim</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Douglas A. Alexander</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Douglas A. Alexander</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Roger A. Carolin</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Roger A. Carolin</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675"/>
        </w:trPr>
        <w:tc>
          <w:tcPr>
            <w:tcW w:w="3780" w:type="dxa"/>
            <w:vAlign w:val="bottom"/>
          </w:tcPr>
          <w:p>
            <w:pPr>
              <w:spacing w:after="0"/>
              <w:rPr>
                <w:sz w:val="24"/>
                <w:szCs w:val="24"/>
                <w:color w:val="auto"/>
              </w:rPr>
            </w:pPr>
          </w:p>
        </w:tc>
        <w:tc>
          <w:tcPr>
            <w:tcW w:w="5600" w:type="dxa"/>
            <w:vAlign w:val="bottom"/>
            <w:gridSpan w:val="2"/>
          </w:tcPr>
          <w:p>
            <w:pPr>
              <w:jc w:val="right"/>
              <w:ind w:right="349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Winston J. Churchill</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Winston J. Churchill</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Daniel Liao</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5"/>
              </w:rPr>
              <w:t>Daniel Liao</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MaryFrances McCourt</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MaryFrances McCourt</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 Robert R. Morse</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R. Morse</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rPr>
              <w:t>/s/ Gil C. Tily</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9"/>
              </w:rPr>
              <w:t>Gil C. Tily</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David N. Watson</w:t>
            </w:r>
          </w:p>
        </w:tc>
        <w:tc>
          <w:tcPr>
            <w:tcW w:w="120" w:type="dxa"/>
            <w:vAlign w:val="bottom"/>
          </w:tcPr>
          <w:p>
            <w:pPr>
              <w:spacing w:after="0"/>
              <w:rPr>
                <w:sz w:val="24"/>
                <w:szCs w:val="2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19, 2020</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David N. Watson</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891"/>
        </w:trPr>
        <w:tc>
          <w:tcPr>
            <w:tcW w:w="3780" w:type="dxa"/>
            <w:vAlign w:val="bottom"/>
          </w:tcPr>
          <w:p>
            <w:pPr>
              <w:spacing w:after="0"/>
              <w:rPr>
                <w:sz w:val="24"/>
                <w:szCs w:val="24"/>
                <w:color w:val="auto"/>
              </w:rPr>
            </w:pPr>
          </w:p>
        </w:tc>
        <w:tc>
          <w:tcPr>
            <w:tcW w:w="5600" w:type="dxa"/>
            <w:vAlign w:val="bottom"/>
            <w:gridSpan w:val="2"/>
          </w:tcPr>
          <w:p>
            <w:pPr>
              <w:jc w:val="right"/>
              <w:ind w:right="349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12 OF THE SECURITIES EXCHANGE ACT OF 1934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Amkor Technology, Inc. (“we,” “our,” or the “Company”) has one class of securities registered under Section 12 of the Securities Exchange Act of 1934, as amended: our common stock.</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The general terms and provisions of our authorized common stock are summarized below. This summary does not purport to be complete and is subject to and is qualified in its entirety by the provisions of our Certificate of Incorporation, as amended (our “Charter”), and our Restated Bylaws (our “Bylaws”), each of which is filed as an exhibit 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of which this </w:t>
      </w:r>
      <w:r>
        <w:rPr>
          <w:rFonts w:ascii="Arial" w:cs="Arial" w:eastAsia="Arial" w:hAnsi="Arial"/>
          <w:sz w:val="16"/>
          <w:szCs w:val="16"/>
          <w:b w:val="1"/>
          <w:bCs w:val="1"/>
          <w:color w:val="auto"/>
        </w:rPr>
        <w:t>Exhibit 4.3</w:t>
      </w:r>
      <w:r>
        <w:rPr>
          <w:rFonts w:ascii="Arial" w:cs="Arial" w:eastAsia="Arial" w:hAnsi="Arial"/>
          <w:sz w:val="16"/>
          <w:szCs w:val="16"/>
          <w:color w:val="auto"/>
        </w:rPr>
        <w:t xml:space="preserve"> is a part, as well as the General Corporation Law of the State of Delaware (the “DGCL”). We encourage you to read our Charter and Bylaws and the applicable provisions of the DGCL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Charter, we are authorized to issue 500,000,000 shares of common stock, par value $0.001 per share.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our Charter, we are also authorized to issue 10,000,000 shares of preferred stock, par value $0.001 per share. Our board of directors is authorized to establish one or more series of preferred stock and to fix the designations, powers, preferences, and rights, and the qualifications, limitations or restrictions of such series, including, without limitation, dividend rights, dividend rates, conversion rights, voting rights, rights and terms of redemption (including sinking fund provisions), redemption prices, liquidation preferences and the number of shares constituting a series or the designation of such series, without any further vote or action by our stockholders, subject to limitations prescribed by applicable law and the Nasdaq Global Select Market. As of the date of the Annual Report on Form 10-K of which this Exhibit is a part, no shares of preferred stock are outstanding. The rights of the holders of our common stock would be subject to the rights of holders of any preferred stock issued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our common stock are entitled to one vote per share on all matters to be voted on by our stockholders. Holders of our common stock do not have cumulative voting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Holders of our common stock are entitled to receive such dividends as may be declared from time to time by our board of directors out of legally available funds, subject to the terms of any existing or future agreements of the Company and the prior rights of any holders of preferred stock then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event of the liquidation, dissolution or winding up of the Company, the holders of our common stock are entitled to share ratably in all assets legally available for distribution after payment of all debts and other liabilities and subject to the prior rights of any holders of any preferred stock then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Election of Directors; Vacancies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consists of one or more members, and the number of directors is determined from time to time by the board of directors. Our board of directors is not classified. The directors are elected by our stockholders at each annual meeting, and each director holds office until his or her successor is elected and qualified or until such director’s earlier resignation or removal. Any newly created directorship or any vacancy occurring in the board of directors for any cause may be filled by a majority of the remaining members of the board of directors, although such majority is less than a quorum, or by a sole remaining director, or by a plurality of the votes cast at a meeting of stockholders, and each director so elected will hold office until the expiration of the term of office of the director whom he or she has replaced or until his or her successor is elected and qualified.</w:t>
      </w:r>
    </w:p>
    <w:p>
      <w:pPr>
        <w:sectPr>
          <w:pgSz w:w="11900" w:h="16838" w:orient="portrait"/>
          <w:cols w:equalWidth="0" w:num="1">
            <w:col w:w="11420"/>
          </w:cols>
          <w:pgMar w:left="240" w:top="553"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issued and outstanding shares of our common stock are fully paid and nonassessable. The holders of our common stock have no preemptive, conversion or exchange rights. There are no redemption or sinking fund provisions applicable to our common stock. There are no restrictions on transfer of our common stock, except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trading symbol “AMKR.”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provisions of the DGCL and our Charter and Bylaws could have certain anti-takeover effects and may delay, deter or prevent a tender offer or takeover attempt that a stockholder might consider to be in its best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Authorized Shares of Capital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additional shares of our authorized common stock and the authorized preferred stock available for issuance under our Charter may be issued without stockholder approval, subject to the requirements prescribed by applicable law and the Nasdaq Global Select Market, and may be issued at such times, under such circumstances, and with such terms and conditions as to impede a change in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establish an advance notice procedure for stockholders seeking to nominate candidates for election to the board of directors or for proposing matters which can be acted upon at stockholders’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Charter and Bylaws do not provide for cumulative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Business Combination Statute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Delaware corporation, we are subject to Section 203 of the DGCL. In general, Section 203 of the DGCL provides that we may not engage in certain “business combinations” with any “interested stockholder” for a three-year period following the time that such stockholder became an interested stockholder unless:</w:t>
      </w:r>
    </w:p>
    <w:p>
      <w:pPr>
        <w:spacing w:after="0" w:line="181" w:lineRule="exact"/>
        <w:rPr>
          <w:sz w:val="20"/>
          <w:szCs w:val="20"/>
          <w:color w:val="auto"/>
        </w:rPr>
      </w:pPr>
    </w:p>
    <w:p>
      <w:pPr>
        <w:ind w:left="660" w:hanging="328"/>
        <w:spacing w:after="0" w:line="25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our voting stock outstanding at the time the transaction commenced, excluding for purposes of determining the voting stock outstanding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our board of directors and authorized at an annual or special meeting of stockholders, and not by written consent, by the affirmative vote of at least two-thirds of the outstanding voting stock not owned by the interested stockholder.</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or which (i) beneficially owns 15% or more of the outstanding voting stock of the corporation, or (ii) any person affiliated or associated with or controlling or controlled by the corporation that was the owner of 15% or more of the outstanding voting stock of the corporation at any time within the three-year period immediately prior to the date of determination if such person is an interested stockholder, and the affiliates and associates of such person.</w:t>
      </w:r>
    </w:p>
    <w:p>
      <w:pPr>
        <w:sectPr>
          <w:pgSz w:w="11900" w:h="16838" w:orient="portrait"/>
          <w:cols w:equalWidth="0" w:num="1">
            <w:col w:w="11420"/>
          </w:cols>
          <w:pgMar w:left="240" w:top="55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60" w:type="dxa"/>
            <w:vAlign w:val="bottom"/>
          </w:tcPr>
          <w:p>
            <w:pPr>
              <w:ind w:left="202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8460" w:type="dxa"/>
            <w:vAlign w:val="bottom"/>
            <w:gridSpan w:val="2"/>
          </w:tcPr>
          <w:p>
            <w:pPr>
              <w:ind w:left="4460"/>
              <w:spacing w:after="0"/>
              <w:rPr>
                <w:sz w:val="20"/>
                <w:szCs w:val="20"/>
                <w:color w:val="auto"/>
              </w:rPr>
            </w:pPr>
            <w:r>
              <w:rPr>
                <w:rFonts w:ascii="Arial" w:cs="Arial" w:eastAsia="Arial" w:hAnsi="Arial"/>
                <w:sz w:val="18"/>
                <w:szCs w:val="18"/>
                <w:b w:val="1"/>
                <w:bCs w:val="1"/>
                <w:color w:val="auto"/>
              </w:rPr>
              <w:t>AMKOR TECHNOLOGY, INC.</w:t>
            </w:r>
          </w:p>
        </w:tc>
        <w:tc>
          <w:tcPr>
            <w:tcW w:w="2960" w:type="dxa"/>
            <w:vAlign w:val="bottom"/>
          </w:tcPr>
          <w:p>
            <w:pPr>
              <w:spacing w:after="0"/>
              <w:rPr>
                <w:sz w:val="24"/>
                <w:szCs w:val="24"/>
                <w:color w:val="auto"/>
              </w:rPr>
            </w:pPr>
          </w:p>
        </w:tc>
      </w:tr>
      <w:tr>
        <w:trPr>
          <w:trHeight w:val="338"/>
        </w:trPr>
        <w:tc>
          <w:tcPr>
            <w:tcW w:w="8460" w:type="dxa"/>
            <w:vAlign w:val="bottom"/>
            <w:gridSpan w:val="2"/>
          </w:tcPr>
          <w:p>
            <w:pPr>
              <w:ind w:left="4700"/>
              <w:spacing w:after="0"/>
              <w:rPr>
                <w:sz w:val="20"/>
                <w:szCs w:val="20"/>
                <w:color w:val="auto"/>
              </w:rPr>
            </w:pPr>
            <w:r>
              <w:rPr>
                <w:rFonts w:ascii="Arial" w:cs="Arial" w:eastAsia="Arial" w:hAnsi="Arial"/>
                <w:sz w:val="18"/>
                <w:szCs w:val="18"/>
                <w:b w:val="1"/>
                <w:bCs w:val="1"/>
                <w:color w:val="auto"/>
              </w:rPr>
              <w:t>LIST OF SUBSIDIARIES</w:t>
            </w:r>
          </w:p>
        </w:tc>
        <w:tc>
          <w:tcPr>
            <w:tcW w:w="2960" w:type="dxa"/>
            <w:vAlign w:val="bottom"/>
          </w:tcPr>
          <w:p>
            <w:pPr>
              <w:spacing w:after="0"/>
              <w:rPr>
                <w:sz w:val="24"/>
                <w:szCs w:val="24"/>
                <w:color w:val="auto"/>
              </w:rPr>
            </w:pPr>
          </w:p>
        </w:tc>
      </w:tr>
      <w:tr>
        <w:trPr>
          <w:trHeight w:val="399"/>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24"/>
                <w:szCs w:val="2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Organization</w:t>
            </w:r>
          </w:p>
        </w:tc>
      </w:tr>
      <w:tr>
        <w:trPr>
          <w:trHeight w:val="378"/>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Advanced Technology Taiwan, Inc.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Assembly &amp; Test (Shanghai) Co., Ltd.</w:t>
            </w: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Euroservices, S.A.S.</w:t>
            </w:r>
          </w:p>
        </w:tc>
        <w:tc>
          <w:tcPr>
            <w:tcW w:w="29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Holding, B.V.</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Holding, B.V., Germany (A Branch of a Netherlands Company)</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Korea,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Limited</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Malaysia Sdn. Bhd.</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Malaysia</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Philippines, Inc. (A Branch of a Singapore Company)</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Singapore Investment Pte.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Singapore Holding Pte.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Technology Taiwan Ltd.</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Amkor Worldwide Services LLC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ATEP - Amkor Technology Portugal, S.A.</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Guardian Assets, Inc.</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J-Devices Corporation</w:t>
            </w:r>
          </w:p>
        </w:tc>
        <w:tc>
          <w:tcPr>
            <w:tcW w:w="2960" w:type="dxa"/>
            <w:vAlign w:val="bottom"/>
          </w:tcPr>
          <w:p>
            <w:pPr>
              <w:jc w:val="center"/>
              <w:spacing w:after="0"/>
              <w:rPr>
                <w:sz w:val="20"/>
                <w:szCs w:val="20"/>
                <w:color w:val="auto"/>
              </w:rPr>
            </w:pPr>
            <w:r>
              <w:rPr>
                <w:rFonts w:ascii="Arial" w:cs="Arial" w:eastAsia="Arial" w:hAnsi="Arial"/>
                <w:sz w:val="18"/>
                <w:szCs w:val="18"/>
                <w:color w:val="auto"/>
                <w:w w:val="81"/>
              </w:rPr>
              <w:t>Japan</w:t>
            </w:r>
          </w:p>
        </w:tc>
      </w:tr>
    </w:tbl>
    <w:p>
      <w:pPr>
        <w:sectPr>
          <w:pgSz w:w="11900" w:h="16838" w:orient="portrait"/>
          <w:cols w:equalWidth="0" w:num="1">
            <w:col w:w="11420"/>
          </w:cols>
          <w:pgMar w:left="240" w:top="553"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333-62891, 333-86161, 333-63430, 333-100814 and 333-149376) of Amkor Technology, Inc. of our report dated February 19, 2020, relating to the financial statements and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11420"/>
          </w:cols>
          <w:pgMar w:left="240" w:top="553"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85" w:lineRule="exact"/>
        <w:rPr>
          <w:sz w:val="20"/>
          <w:szCs w:val="20"/>
          <w:color w:val="auto"/>
        </w:rPr>
      </w:pPr>
    </w:p>
    <w:p>
      <w:pPr>
        <w:ind w:left="520" w:hanging="188"/>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184" w:lineRule="exact"/>
        <w:rPr>
          <w:rFonts w:ascii="Arial" w:cs="Arial" w:eastAsia="Arial" w:hAnsi="Arial"/>
          <w:sz w:val="18"/>
          <w:szCs w:val="18"/>
          <w:color w:val="auto"/>
        </w:rPr>
      </w:pPr>
    </w:p>
    <w:p>
      <w:pPr>
        <w:jc w:val="both"/>
        <w:ind w:left="500" w:right="20" w:hanging="168"/>
        <w:spacing w:after="0" w:line="264"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left="500" w:hanging="168"/>
        <w:spacing w:after="0" w:line="308" w:lineRule="auto"/>
        <w:tabs>
          <w:tab w:leader="none" w:pos="519"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6" w:lineRule="exact"/>
        <w:rPr>
          <w:rFonts w:ascii="Arial" w:cs="Arial" w:eastAsia="Arial" w:hAnsi="Arial"/>
          <w:sz w:val="17"/>
          <w:szCs w:val="17"/>
          <w:color w:val="auto"/>
        </w:rPr>
      </w:pPr>
    </w:p>
    <w:p>
      <w:pPr>
        <w:jc w:val="both"/>
        <w:ind w:left="500" w:hanging="168"/>
        <w:spacing w:after="0" w:line="264" w:lineRule="auto"/>
        <w:tabs>
          <w:tab w:leader="none" w:pos="5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68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73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660" w:hanging="166"/>
        <w:spacing w:after="0" w:line="342" w:lineRule="auto"/>
        <w:tabs>
          <w:tab w:leader="none" w:pos="704"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3" w:lineRule="exact"/>
        <w:rPr>
          <w:rFonts w:ascii="Arial" w:cs="Arial" w:eastAsia="Arial" w:hAnsi="Arial"/>
          <w:sz w:val="16"/>
          <w:szCs w:val="16"/>
          <w:color w:val="auto"/>
        </w:rPr>
      </w:pPr>
    </w:p>
    <w:p>
      <w:pPr>
        <w:jc w:val="both"/>
        <w:ind w:left="660" w:hanging="166"/>
        <w:spacing w:after="0" w:line="264" w:lineRule="auto"/>
        <w:tabs>
          <w:tab w:leader="none" w:pos="712"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00" w:hanging="168"/>
        <w:spacing w:after="0" w:line="308" w:lineRule="auto"/>
        <w:tabs>
          <w:tab w:leader="none" w:pos="529"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hanging="166"/>
        <w:spacing w:after="0" w:line="277" w:lineRule="auto"/>
        <w:tabs>
          <w:tab w:leader="none" w:pos="6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166"/>
        <w:spacing w:after="0" w:line="277" w:lineRule="auto"/>
        <w:tabs>
          <w:tab w:leader="none" w:pos="6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34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7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Stephen D. Kelley</w:t>
      </w:r>
    </w:p>
    <w:p>
      <w:pPr>
        <w:spacing w:after="0" w:line="86" w:lineRule="exact"/>
        <w:rPr>
          <w:sz w:val="20"/>
          <w:szCs w:val="20"/>
          <w:color w:val="auto"/>
        </w:rPr>
      </w:pPr>
    </w:p>
    <w:p>
      <w:pPr>
        <w:sectPr>
          <w:pgSz w:w="11900" w:h="16838" w:orient="portrait"/>
          <w:cols w:equalWidth="0" w:num="2">
            <w:col w:w="7040" w:space="46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ectPr>
          <w:pgSz w:w="11900" w:h="16838" w:orient="portrait"/>
          <w:cols w:equalWidth="0" w:num="2">
            <w:col w:w="7160" w:space="34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2020</w:t>
      </w:r>
    </w:p>
    <w:p>
      <w:pPr>
        <w:sectPr>
          <w:pgSz w:w="11900" w:h="16838" w:orient="portrait"/>
          <w:cols w:equalWidth="0" w:num="2">
            <w:col w:w="7160" w:space="340"/>
            <w:col w:w="3920"/>
          </w:cols>
          <w:pgMar w:left="240" w:top="553" w:right="2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85" w:lineRule="exact"/>
        <w:rPr>
          <w:sz w:val="20"/>
          <w:szCs w:val="20"/>
          <w:color w:val="auto"/>
        </w:rPr>
      </w:pPr>
    </w:p>
    <w:p>
      <w:pPr>
        <w:ind w:left="520" w:hanging="188"/>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184" w:lineRule="exact"/>
        <w:rPr>
          <w:rFonts w:ascii="Arial" w:cs="Arial" w:eastAsia="Arial" w:hAnsi="Arial"/>
          <w:sz w:val="18"/>
          <w:szCs w:val="18"/>
          <w:color w:val="auto"/>
        </w:rPr>
      </w:pPr>
    </w:p>
    <w:p>
      <w:pPr>
        <w:jc w:val="both"/>
        <w:ind w:left="500" w:right="20" w:hanging="168"/>
        <w:spacing w:after="0" w:line="264"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0" w:lineRule="exact"/>
        <w:rPr>
          <w:rFonts w:ascii="Arial" w:cs="Arial" w:eastAsia="Arial" w:hAnsi="Arial"/>
          <w:sz w:val="18"/>
          <w:szCs w:val="18"/>
          <w:color w:val="auto"/>
        </w:rPr>
      </w:pPr>
    </w:p>
    <w:p>
      <w:pPr>
        <w:ind w:left="500" w:hanging="168"/>
        <w:spacing w:after="0" w:line="308" w:lineRule="auto"/>
        <w:tabs>
          <w:tab w:leader="none" w:pos="5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6" w:lineRule="exact"/>
        <w:rPr>
          <w:rFonts w:ascii="Arial" w:cs="Arial" w:eastAsia="Arial" w:hAnsi="Arial"/>
          <w:sz w:val="17"/>
          <w:szCs w:val="17"/>
          <w:color w:val="auto"/>
        </w:rPr>
      </w:pPr>
    </w:p>
    <w:p>
      <w:pPr>
        <w:jc w:val="both"/>
        <w:ind w:left="500" w:hanging="168"/>
        <w:spacing w:after="0" w:line="264" w:lineRule="auto"/>
        <w:tabs>
          <w:tab w:leader="none" w:pos="5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68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0" w:lineRule="exact"/>
        <w:rPr>
          <w:rFonts w:ascii="Arial" w:cs="Arial" w:eastAsia="Arial" w:hAnsi="Arial"/>
          <w:sz w:val="18"/>
          <w:szCs w:val="18"/>
          <w:color w:val="auto"/>
        </w:rPr>
      </w:pPr>
    </w:p>
    <w:p>
      <w:pPr>
        <w:jc w:val="both"/>
        <w:ind w:left="660" w:hanging="166"/>
        <w:spacing w:after="0" w:line="264" w:lineRule="auto"/>
        <w:tabs>
          <w:tab w:leader="none" w:pos="7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660" w:hanging="166"/>
        <w:spacing w:after="0" w:line="342" w:lineRule="auto"/>
        <w:tabs>
          <w:tab w:leader="none" w:pos="70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3" w:lineRule="exact"/>
        <w:rPr>
          <w:rFonts w:ascii="Arial" w:cs="Arial" w:eastAsia="Arial" w:hAnsi="Arial"/>
          <w:sz w:val="16"/>
          <w:szCs w:val="16"/>
          <w:color w:val="auto"/>
        </w:rPr>
      </w:pPr>
    </w:p>
    <w:p>
      <w:pPr>
        <w:jc w:val="both"/>
        <w:ind w:left="660" w:hanging="166"/>
        <w:spacing w:after="0" w:line="264" w:lineRule="auto"/>
        <w:tabs>
          <w:tab w:leader="none" w:pos="71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00" w:hanging="168"/>
        <w:spacing w:after="0" w:line="308" w:lineRule="auto"/>
        <w:tabs>
          <w:tab w:leader="none" w:pos="52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660" w:hanging="166"/>
        <w:spacing w:after="0" w:line="277" w:lineRule="auto"/>
        <w:tabs>
          <w:tab w:leader="none" w:pos="69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166"/>
        <w:spacing w:after="0" w:line="277" w:lineRule="auto"/>
        <w:tabs>
          <w:tab w:leader="none" w:pos="6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15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Megan Faust</w:t>
      </w:r>
    </w:p>
    <w:p>
      <w:pPr>
        <w:spacing w:after="0" w:line="97" w:lineRule="exact"/>
        <w:rPr>
          <w:sz w:val="20"/>
          <w:szCs w:val="20"/>
          <w:color w:val="auto"/>
        </w:rPr>
      </w:pPr>
    </w:p>
    <w:p>
      <w:pPr>
        <w:sectPr>
          <w:pgSz w:w="11900" w:h="16838" w:orient="portrait"/>
          <w:cols w:equalWidth="0" w:num="2">
            <w:col w:w="7040" w:space="46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ectPr>
          <w:pgSz w:w="11900" w:h="16838" w:orient="portrait"/>
          <w:cols w:equalWidth="0" w:num="2">
            <w:col w:w="7160" w:space="34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2020</w:t>
      </w:r>
    </w:p>
    <w:p>
      <w:pPr>
        <w:sectPr>
          <w:pgSz w:w="11900" w:h="16838" w:orient="portrait"/>
          <w:cols w:equalWidth="0" w:num="2">
            <w:col w:w="7160" w:space="340"/>
            <w:col w:w="3920"/>
          </w:cols>
          <w:pgMar w:left="240" w:top="553" w:right="2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26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Stephen D. Kelley, certify, pursuant to 18 U.S.C. Section 1350, as adopted pursuant to Section 906 of the Sarbanes-Oxley Act of 2002, that the Annual Report of Amkor Technology, Inc. on Form 10-K for the year ended December 31, 2019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3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7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Stephen D. Kelley</w:t>
      </w:r>
    </w:p>
    <w:p>
      <w:pPr>
        <w:spacing w:after="0" w:line="86" w:lineRule="exact"/>
        <w:rPr>
          <w:sz w:val="20"/>
          <w:szCs w:val="20"/>
          <w:color w:val="auto"/>
        </w:rPr>
      </w:pPr>
    </w:p>
    <w:p>
      <w:pPr>
        <w:sectPr>
          <w:pgSz w:w="11900" w:h="16838" w:orient="portrait"/>
          <w:cols w:equalWidth="0" w:num="2">
            <w:col w:w="7040" w:space="46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6" w:lineRule="exact"/>
        <w:rPr>
          <w:sz w:val="20"/>
          <w:szCs w:val="20"/>
          <w:color w:val="auto"/>
        </w:rPr>
      </w:pPr>
    </w:p>
    <w:p>
      <w:pPr>
        <w:sectPr>
          <w:pgSz w:w="11900" w:h="16838" w:orient="portrait"/>
          <w:cols w:equalWidth="0" w:num="2">
            <w:col w:w="7160" w:space="34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2020</w:t>
      </w:r>
    </w:p>
    <w:p>
      <w:pPr>
        <w:spacing w:after="0" w:line="200" w:lineRule="exact"/>
        <w:rPr>
          <w:sz w:val="20"/>
          <w:szCs w:val="20"/>
          <w:color w:val="auto"/>
        </w:rPr>
      </w:pPr>
    </w:p>
    <w:p>
      <w:pPr>
        <w:sectPr>
          <w:pgSz w:w="11900" w:h="16838" w:orient="portrait"/>
          <w:cols w:equalWidth="0" w:num="2">
            <w:col w:w="7160" w:space="340"/>
            <w:col w:w="3920"/>
          </w:cols>
          <w:pgMar w:left="240" w:top="553" w:right="239" w:bottom="1440" w:gutter="0" w:footer="0" w:header="0"/>
          <w:type w:val="continuous"/>
        </w:sectPr>
      </w:pP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Megan Faust, certify, pursuant to 18 U.S.C. Section 1350, as adopted pursuant to Section 906 of the Sarbanes-Oxley Act of 2002, that the Annual Report of Amkor Technology, Inc. on Form 10-K for the year ended December 31, 2019 fully complies with the requirements of Section 13(a) or 15(d) of the Securities Exchange Act of 1934 and that information contained in such Form 10-K fairly presents in all material respects the financial condition and results of operations of Amkor Technology, Inc.</w:t>
      </w:r>
    </w:p>
    <w:p>
      <w:pPr>
        <w:spacing w:after="0" w:line="200" w:lineRule="exact"/>
        <w:rPr>
          <w:sz w:val="20"/>
          <w:szCs w:val="20"/>
          <w:color w:val="auto"/>
        </w:rPr>
      </w:pPr>
    </w:p>
    <w:p>
      <w:pPr>
        <w:spacing w:after="0" w:line="2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p>
      <w:pPr>
        <w:spacing w:after="0" w:line="158"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Megan Faust</w:t>
      </w:r>
    </w:p>
    <w:p>
      <w:pPr>
        <w:spacing w:after="0" w:line="97" w:lineRule="exact"/>
        <w:rPr>
          <w:sz w:val="20"/>
          <w:szCs w:val="20"/>
          <w:color w:val="auto"/>
        </w:rPr>
      </w:pPr>
    </w:p>
    <w:p>
      <w:pPr>
        <w:sectPr>
          <w:pgSz w:w="11900" w:h="16838" w:orient="portrait"/>
          <w:cols w:equalWidth="0" w:num="2">
            <w:col w:w="7040" w:space="46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ectPr>
          <w:pgSz w:w="11900" w:h="16838" w:orient="portrait"/>
          <w:cols w:equalWidth="0" w:num="2">
            <w:col w:w="7160" w:space="340"/>
            <w:col w:w="3920"/>
          </w:cols>
          <w:pgMar w:left="240" w:top="553" w:right="239" w:bottom="1440" w:gutter="0" w:footer="0" w:header="0"/>
          <w:type w:val="continuous"/>
        </w:sectPr>
      </w:pPr>
    </w:p>
    <w:p>
      <w:pPr>
        <w:ind w:left="678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19, 2020</w:t>
      </w:r>
    </w:p>
    <w:sectPr>
      <w:pgSz w:w="11900" w:h="16838" w:orient="portrait"/>
      <w:cols w:equalWidth="0" w:num="2">
        <w:col w:w="7160" w:space="340"/>
        <w:col w:w="3920"/>
      </w:cols>
      <w:pgMar w:left="240" w:top="55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5"/>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2"/>
    </w:lvl>
    <w:lvl w:ilvl="1">
      <w:lvlJc w:val="left"/>
      <w:lvlText w:val="•"/>
      <w:numFmt w:val="bullet"/>
      <w:start w:val="1"/>
    </w:lvl>
  </w:abstractNum>
  <w:abstractNum w:abstractNumId="32">
    <w:nsid w:val="2A487CB0"/>
    <w:multiLevelType w:val="hybridMultilevel"/>
    <w:lvl w:ilvl="0">
      <w:lvlJc w:val="left"/>
      <w:lvlText w:val="%1."/>
      <w:numFmt w:val="decimal"/>
      <w:start w:val="4"/>
    </w:lvl>
  </w:abstractNum>
  <w:abstractNum w:abstractNumId="33">
    <w:nsid w:val="1D4ED43B"/>
    <w:multiLevelType w:val="hybridMultilevel"/>
    <w:lvl w:ilvl="0">
      <w:lvlJc w:val="left"/>
      <w:lvlText w:val="(%1)"/>
      <w:numFmt w:val="lowerRoman"/>
      <w:start w:val="5"/>
    </w:lvl>
  </w:abstractNum>
  <w:abstractNum w:abstractNumId="34">
    <w:nsid w:val="725A06FB"/>
    <w:multiLevelType w:val="hybridMultilevel"/>
    <w:lvl w:ilvl="0">
      <w:lvlJc w:val="left"/>
      <w:lvlText w:val="%1."/>
      <w:numFmt w:val="decimal"/>
      <w:start w:val="7"/>
    </w:lvl>
  </w:abstractNum>
  <w:abstractNum w:abstractNumId="35">
    <w:nsid w:val="2CD89A32"/>
    <w:multiLevelType w:val="hybridMultilevel"/>
    <w:lvl w:ilvl="0">
      <w:lvlJc w:val="left"/>
      <w:lvlText w:val="%1."/>
      <w:numFmt w:val="decimal"/>
      <w:start w:val="8"/>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0"/>
    </w:lvl>
  </w:abstractNum>
  <w:abstractNum w:abstractNumId="39">
    <w:nsid w:val="542289EC"/>
    <w:multiLevelType w:val="hybridMultilevel"/>
    <w:lvl w:ilvl="0">
      <w:lvlJc w:val="left"/>
      <w:lvlText w:val="%1."/>
      <w:numFmt w:val="decimal"/>
      <w:start w:val="14"/>
    </w:lvl>
  </w:abstractNum>
  <w:abstractNum w:abstractNumId="40">
    <w:nsid w:val="6DE91B18"/>
    <w:multiLevelType w:val="hybridMultilevel"/>
    <w:lvl w:ilvl="0">
      <w:lvlJc w:val="left"/>
      <w:lvlText w:val="%1."/>
      <w:numFmt w:val="decimal"/>
      <w:start w:val="15"/>
    </w:lvl>
  </w:abstractNum>
  <w:abstractNum w:abstractNumId="41">
    <w:nsid w:val="38437FDB"/>
    <w:multiLevelType w:val="hybridMultilevel"/>
    <w:lvl w:ilvl="0">
      <w:lvlJc w:val="left"/>
      <w:lvlText w:val="%1."/>
      <w:numFmt w:val="decimal"/>
      <w:start w:val="16"/>
    </w:lvl>
  </w:abstractNum>
  <w:abstractNum w:abstractNumId="42">
    <w:nsid w:val="7644A45C"/>
    <w:multiLevelType w:val="hybridMultilevel"/>
    <w:lvl w:ilvl="0">
      <w:lvlJc w:val="left"/>
      <w:lvlText w:val="%1."/>
      <w:numFmt w:val="decimal"/>
      <w:start w:val="17"/>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33" Type="http://schemas.openxmlformats.org/officeDocument/2006/relationships/hyperlink" Target="http://www.sec.gov/Archives/edgar/data/1047127/000089322004001612/w99531exv2w3.txt" TargetMode="External"/><Relationship Id="rId34" Type="http://schemas.openxmlformats.org/officeDocument/2006/relationships/hyperlink" Target="http://www.sec.gov/Archives/edgar/data/1047127/0000891618-97-004025.txt" TargetMode="External"/><Relationship Id="rId35" Type="http://schemas.openxmlformats.org/officeDocument/2006/relationships/hyperlink" Target="http://www.sec.gov/Archives/edgar/data/1047127/0000891618-98-001602.txt" TargetMode="External"/><Relationship Id="rId36" Type="http://schemas.openxmlformats.org/officeDocument/2006/relationships/hyperlink" Target="http://www.sec.gov/Archives/edgar/data/1047127/000104712714000006/amkr123113ex33.htm" TargetMode="External"/><Relationship Id="rId37" Type="http://schemas.openxmlformats.org/officeDocument/2006/relationships/hyperlink" Target="http://www.sec.gov/Archives/edgar/data/1047127/0000891618-98-001449.txt" TargetMode="External"/><Relationship Id="rId38" Type="http://schemas.openxmlformats.org/officeDocument/2006/relationships/hyperlink" Target="http://www.sec.gov/Archives/edgar/data/1047127/000119312519076193/d712238dex41.htm" TargetMode="External"/><Relationship Id="rId39" Type="http://schemas.openxmlformats.org/officeDocument/2006/relationships/hyperlink" Target="http://www.sec.gov/Archives/edgar/data/1047127/000095015309000248/p14626exv10w1.htm" TargetMode="External"/><Relationship Id="rId40" Type="http://schemas.openxmlformats.org/officeDocument/2006/relationships/hyperlink" Target="http://www.sec.gov/Archives/edgar/data/1047127/000104712717000013/ex101ceoagreement.htm" TargetMode="External"/><Relationship Id="rId41" Type="http://schemas.openxmlformats.org/officeDocument/2006/relationships/hyperlink" Target="http://www.sec.gov/Archives/edgar/data/1047127/000104712717000023/amkr33117ex102.htm" TargetMode="External"/><Relationship Id="rId42" Type="http://schemas.openxmlformats.org/officeDocument/2006/relationships/hyperlink" Target="http://www.sec.gov/Archives/edgar/data/1047127/000104712717000023/amkr33117ex103.htm" TargetMode="External"/><Relationship Id="rId43" Type="http://schemas.openxmlformats.org/officeDocument/2006/relationships/hyperlink" Target="http://www.sec.gov/Archives/edgar/data/1047127/000104712717000023/amkr33117ex104.htm" TargetMode="External"/><Relationship Id="rId44" Type="http://schemas.openxmlformats.org/officeDocument/2006/relationships/hyperlink" Target="http://www.sec.gov/Archives/edgar/data/1047127/000104712717000025/amkorarequityplanexhibit10.htm" TargetMode="External"/><Relationship Id="rId45" Type="http://schemas.openxmlformats.org/officeDocument/2006/relationships/hyperlink" Target="http://www.sec.gov/Archives/edgar/data/1047127/000104712719000036/amkr63019ex103.htm" TargetMode="External"/><Relationship Id="rId46" Type="http://schemas.openxmlformats.org/officeDocument/2006/relationships/hyperlink" Target="http://www.sec.gov/Archives/edgar/data/1047127/000104712717000025/amkorarexecutiveincentiveb.htm" TargetMode="External"/><Relationship Id="rId47" Type="http://schemas.openxmlformats.org/officeDocument/2006/relationships/hyperlink" Target="http://www.sec.gov/Archives/edgar/data/1047127/000104712719000036/amkr63019ex101.htm" TargetMode="External"/><Relationship Id="rId48" Type="http://schemas.openxmlformats.org/officeDocument/2006/relationships/hyperlink" Target="http://www.sec.gov/Archives/edgar/data/1047127/000119312518220776/d551484dex101.htm" TargetMode="External"/><Relationship Id="rId49" Type="http://schemas.openxmlformats.org/officeDocument/2006/relationships/hyperlink" Target="http://www.sec.gov/Archives/edgar/data/1047127/000119312518220776/d551484dex102.htm" TargetMode="External"/><Relationship Id="rId50" Type="http://schemas.openxmlformats.org/officeDocument/2006/relationships/hyperlink" Target="http://www.sec.gov/Archives/edgar/data/1047127/000119312518220776/d551484dex103.htm" TargetMode="External"/><Relationship Id="rId51" Type="http://schemas.openxmlformats.org/officeDocument/2006/relationships/hyperlink" Target="http://www.sec.gov/Archives/edgar/data/1047127/000104712719000036/amkr63019ex102.htm" TargetMode="External"/><Relationship Id="rId52" Type="http://schemas.openxmlformats.org/officeDocument/2006/relationships/hyperlink" Target="http://www.sec.gov/Archives/edgar/data/1047127/000119312518220776/d551484dex104.htm" TargetMode="External"/><Relationship Id="rId53" Type="http://schemas.openxmlformats.org/officeDocument/2006/relationships/hyperlink" Target="http://www.sec.gov/Archives/edgar/data/1047127/000119312519323503/d841984dex101.htm" TargetMode="External"/><Relationship Id="rId54" Type="http://schemas.openxmlformats.org/officeDocument/2006/relationships/hyperlink" Target="http://www.sec.gov/Archives/edgar/data/1047127/000119312519323503/d841984dex102.htm" TargetMode="External"/><Relationship Id="rId55" Type="http://schemas.openxmlformats.org/officeDocument/2006/relationships/hyperlink" Target="http://www.sec.gov/Archives/edgar/data/1047127/000119312519323503/d84198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2020-02-19T14:04:58Z</dcterms:created>
  <dcterms:modified xsi:type="dcterms:W3CDTF">2020-02-19T14:04:58Z</dcterms:modified>
</cp:coreProperties>
</file>