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ANNUAL REPORT PURSUANT TO SECTION 13 OR 15(d)</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000-29472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Amkor Technology,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630" w:right="239" w:bottom="1440" w:gutter="0" w:footer="0" w:header="0"/>
        </w:sectPr>
      </w:pPr>
    </w:p>
    <w:p>
      <w:pPr>
        <w:spacing w:after="0" w:line="156"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23-1722724</w:t>
      </w:r>
    </w:p>
    <w:p>
      <w:pPr>
        <w:spacing w:after="0" w:line="49" w:lineRule="exact"/>
        <w:rPr>
          <w:sz w:val="24"/>
          <w:szCs w:val="24"/>
          <w:color w:val="auto"/>
        </w:rPr>
      </w:pPr>
    </w:p>
    <w:p>
      <w:pPr>
        <w:sectPr>
          <w:pgSz w:w="11900" w:h="16838" w:orient="portrait"/>
          <w:cols w:equalWidth="0" w:num="2">
            <w:col w:w="7000" w:space="720"/>
            <w:col w:w="3700"/>
          </w:cols>
          <w:pgMar w:left="240" w:top="630" w:right="239" w:bottom="1440" w:gutter="0" w:footer="0" w:header="0"/>
          <w:type w:val="continuous"/>
        </w:sectPr>
      </w:pPr>
    </w:p>
    <w:p>
      <w:pPr>
        <w:jc w:val="center"/>
        <w:ind w:left="640"/>
        <w:spacing w:after="0"/>
        <w:rPr>
          <w:sz w:val="20"/>
          <w:szCs w:val="20"/>
          <w:color w:val="auto"/>
        </w:rPr>
      </w:pPr>
      <w:r>
        <w:rPr>
          <w:rFonts w:ascii="Arial" w:cs="Arial" w:eastAsia="Arial" w:hAnsi="Arial"/>
          <w:sz w:val="13"/>
          <w:szCs w:val="13"/>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Number)</w:t>
      </w:r>
    </w:p>
    <w:p>
      <w:pPr>
        <w:spacing w:after="0" w:line="20" w:lineRule="exact"/>
        <w:rPr>
          <w:sz w:val="24"/>
          <w:szCs w:val="24"/>
          <w:color w:val="auto"/>
        </w:rPr>
      </w:pPr>
    </w:p>
    <w:p>
      <w:pPr>
        <w:sectPr>
          <w:pgSz w:w="11900" w:h="16838" w:orient="portrait"/>
          <w:cols w:equalWidth="0" w:num="2">
            <w:col w:w="6240" w:space="720"/>
            <w:col w:w="4460"/>
          </w:cols>
          <w:pgMar w:left="240" w:top="630"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2045 East Innovation Circle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Tempe, AZ 85284</w:t>
      </w:r>
    </w:p>
    <w:p>
      <w:pPr>
        <w:jc w:val="center"/>
        <w:spacing w:after="0"/>
        <w:rPr>
          <w:sz w:val="20"/>
          <w:szCs w:val="20"/>
          <w:color w:val="auto"/>
        </w:rPr>
      </w:pPr>
      <w:r>
        <w:rPr>
          <w:rFonts w:ascii="Arial" w:cs="Arial" w:eastAsia="Arial" w:hAnsi="Arial"/>
          <w:sz w:val="16"/>
          <w:szCs w:val="16"/>
          <w:b w:val="1"/>
          <w:bCs w:val="1"/>
          <w:color w:val="auto"/>
        </w:rPr>
        <w:t>(480) 821-5000</w:t>
      </w:r>
    </w:p>
    <w:p>
      <w:pPr>
        <w:jc w:val="center"/>
        <w:spacing w:after="0"/>
        <w:rPr>
          <w:sz w:val="20"/>
          <w:szCs w:val="20"/>
          <w:color w:val="auto"/>
        </w:rPr>
      </w:pPr>
      <w:r>
        <w:rPr>
          <w:rFonts w:ascii="Arial" w:cs="Arial" w:eastAsia="Arial" w:hAnsi="Arial"/>
          <w:sz w:val="14"/>
          <w:szCs w:val="14"/>
          <w:i w:val="1"/>
          <w:iCs w:val="1"/>
          <w:color w:val="auto"/>
        </w:rPr>
        <w:t>(Address of principal executive offices and zip code)</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160" w:type="dxa"/>
        <w:tblCellMar>
          <w:top w:w="0" w:type="dxa"/>
          <w:left w:w="0" w:type="dxa"/>
          <w:bottom w:w="0" w:type="dxa"/>
          <w:right w:w="0" w:type="dxa"/>
        </w:tblCellMar>
      </w:tblPr>
      <w:tr>
        <w:trPr>
          <w:trHeight w:val="192"/>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00" w:type="dxa"/>
            <w:vAlign w:val="bottom"/>
          </w:tcPr>
          <w:p>
            <w:pPr>
              <w:spacing w:after="0"/>
              <w:rPr>
                <w:sz w:val="16"/>
                <w:szCs w:val="16"/>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3"/>
        </w:trPr>
        <w:tc>
          <w:tcPr>
            <w:tcW w:w="46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$0.001 par value</w:t>
            </w:r>
          </w:p>
        </w:tc>
        <w:tc>
          <w:tcPr>
            <w:tcW w:w="4580" w:type="dxa"/>
            <w:vAlign w:val="bottom"/>
          </w:tcPr>
          <w:p>
            <w:pPr>
              <w:jc w:val="center"/>
              <w:spacing w:after="0"/>
              <w:rPr>
                <w:sz w:val="20"/>
                <w:szCs w:val="20"/>
                <w:color w:val="auto"/>
              </w:rPr>
            </w:pPr>
            <w:r>
              <w:rPr>
                <w:rFonts w:ascii="Arial" w:cs="Arial" w:eastAsia="Arial" w:hAnsi="Arial"/>
                <w:sz w:val="16"/>
                <w:szCs w:val="16"/>
                <w:color w:val="auto"/>
                <w:w w:val="94"/>
              </w:rPr>
              <w:t>The NASDAQ Global Select Market</w:t>
            </w:r>
          </w:p>
        </w:tc>
      </w:tr>
    </w:tbl>
    <w:p>
      <w:pPr>
        <w:spacing w:after="0" w:line="1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420"/>
          </w:cols>
          <w:pgMar w:left="240" w:top="630" w:right="239" w:bottom="1440" w:gutter="0" w:footer="0" w:header="0"/>
          <w:type w:val="continuous"/>
        </w:sectPr>
      </w:pPr>
    </w:p>
    <w:p>
      <w:pPr>
        <w:spacing w:after="0" w:line="7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5"/>
          <w:szCs w:val="15"/>
          <w:color w:val="auto"/>
        </w:rPr>
        <w:t>No o</w:t>
      </w:r>
    </w:p>
    <w:p>
      <w:pPr>
        <w:spacing w:after="0" w:line="52" w:lineRule="exact"/>
        <w:rPr>
          <w:sz w:val="24"/>
          <w:szCs w:val="24"/>
          <w:color w:val="auto"/>
        </w:rPr>
      </w:pPr>
    </w:p>
    <w:p>
      <w:pPr>
        <w:sectPr>
          <w:pgSz w:w="11900" w:h="16838" w:orient="portrait"/>
          <w:cols w:equalWidth="0" w:num="2">
            <w:col w:w="8120" w:space="200"/>
            <w:col w:w="3100"/>
          </w:cols>
          <w:pgMar w:left="240" w:top="630" w:right="23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sectPr>
          <w:pgSz w:w="11900" w:h="16838" w:orient="portrait"/>
          <w:cols w:equalWidth="0" w:num="2">
            <w:col w:w="8200" w:space="200"/>
            <w:col w:w="3020"/>
          </w:cols>
          <w:pgMar w:left="240" w:top="630" w:right="239" w:bottom="1440" w:gutter="0" w:footer="0" w:header="0"/>
          <w:type w:val="continuous"/>
        </w:sect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as amended,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jc w:val="both"/>
        <w:ind w:right="2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0" w:lineRule="exact"/>
        <w:rPr>
          <w:sz w:val="24"/>
          <w:szCs w:val="24"/>
          <w:color w:val="auto"/>
        </w:rPr>
      </w:pPr>
    </w:p>
    <w:p>
      <w:pPr>
        <w:jc w:val="both"/>
        <w:ind w:right="20"/>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0"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9" w:lineRule="exact"/>
        <w:rPr>
          <w:sz w:val="24"/>
          <w:szCs w:val="24"/>
          <w:color w:val="auto"/>
        </w:rPr>
      </w:pPr>
    </w:p>
    <w:p>
      <w:pPr>
        <w:ind w:left="280"/>
        <w:spacing w:after="0" w:line="184" w:lineRule="exact"/>
        <w:tabs>
          <w:tab w:leader="none" w:pos="2480" w:val="left"/>
          <w:tab w:leader="none" w:pos="4280" w:val="left"/>
          <w:tab w:leader="none" w:pos="6420" w:val="left"/>
          <w:tab w:leader="none" w:pos="91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6"/>
          <w:szCs w:val="16"/>
          <w:color w:val="auto"/>
        </w:rPr>
        <w:t>Smaller reporting company o</w:t>
      </w:r>
      <w:r>
        <w:rPr>
          <w:sz w:val="20"/>
          <w:szCs w:val="20"/>
          <w:color w:val="auto"/>
        </w:rPr>
        <w:tab/>
      </w:r>
      <w:r>
        <w:rPr>
          <w:rFonts w:ascii="Arial" w:cs="Arial" w:eastAsia="Arial" w:hAnsi="Arial"/>
          <w:sz w:val="14"/>
          <w:szCs w:val="14"/>
          <w:color w:val="auto"/>
        </w:rPr>
        <w:t>Emerging growth company o</w:t>
      </w:r>
    </w:p>
    <w:p>
      <w:pPr>
        <w:spacing w:after="0" w:line="76" w:lineRule="exact"/>
        <w:rPr>
          <w:sz w:val="24"/>
          <w:szCs w:val="24"/>
          <w:color w:val="auto"/>
        </w:rPr>
      </w:pPr>
    </w:p>
    <w:p>
      <w:pPr>
        <w:jc w:val="both"/>
        <w:spacing w:after="0" w:line="25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73" w:lineRule="exact"/>
        <w:tabs>
          <w:tab w:leader="none" w:pos="79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17"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29, 2018, based upon the closing price of the common stock as reported by the NASDAQ Global Select Market on that date, was approximately $872 million.</w:t>
      </w:r>
    </w:p>
    <w:p>
      <w:pPr>
        <w:spacing w:after="0" w:line="65"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The number of shares outstanding of each of the issuer’s classes of common equity, as of February 15, 2019, was as follows: 239,572,534 shares of Common Stock, $0.001 par value.</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320"/>
        <w:spacing w:after="0" w:line="311" w:lineRule="auto"/>
        <w:rPr>
          <w:sz w:val="20"/>
          <w:szCs w:val="20"/>
          <w:color w:val="auto"/>
        </w:rPr>
      </w:pPr>
      <w:r>
        <w:rPr>
          <w:rFonts w:ascii="Arial" w:cs="Arial" w:eastAsia="Arial" w:hAnsi="Arial"/>
          <w:sz w:val="16"/>
          <w:szCs w:val="16"/>
          <w:color w:val="auto"/>
        </w:rPr>
        <w:t>Portions of the registrant’s Proxy Statement relating to its 2019 Annual Meeting of Stockholders, to be filed subsequently, are incorporated by reference into Part III of this Report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20" w:type="dxa"/>
            <w:vAlign w:val="bottom"/>
            <w:gridSpan w:val="15"/>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320" w:type="dxa"/>
            <w:vAlign w:val="bottom"/>
            <w:gridSpan w:val="11"/>
          </w:tcPr>
          <w:p>
            <w:pPr>
              <w:jc w:val="center"/>
              <w:ind w:right="4740"/>
              <w:spacing w:after="0" w:line="189" w:lineRule="exact"/>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42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580" w:type="dxa"/>
            <w:vAlign w:val="bottom"/>
            <w:tcBorders>
              <w:top w:val="single" w:sz="8" w:color="0000FF"/>
            </w:tcBorders>
            <w:gridSpan w:val="2"/>
          </w:tcPr>
          <w:p>
            <w:pPr>
              <w:spacing w:after="0"/>
              <w:rPr>
                <w:sz w:val="21"/>
                <w:szCs w:val="21"/>
                <w:color w:val="auto"/>
              </w:rPr>
            </w:pPr>
          </w:p>
        </w:tc>
        <w:tc>
          <w:tcPr>
            <w:tcW w:w="474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18">
              <w:r>
                <w:rPr>
                  <w:rFonts w:ascii="Arial" w:cs="Arial" w:eastAsia="Arial" w:hAnsi="Arial"/>
                  <w:sz w:val="18"/>
                  <w:szCs w:val="18"/>
                  <w:color w:val="0000FF"/>
                  <w:w w:val="80"/>
                </w:rPr>
                <w:t>Item 1A.</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Risk Factors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33">
              <w:r>
                <w:rPr>
                  <w:rFonts w:ascii="Arial" w:cs="Arial" w:eastAsia="Arial" w:hAnsi="Arial"/>
                  <w:sz w:val="18"/>
                  <w:szCs w:val="18"/>
                  <w:color w:val="0000FF"/>
                  <w:w w:val="80"/>
                </w:rPr>
                <w:t>Item 1B.</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Unresolved Staff Comments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FF"/>
                <w:w w:val="98"/>
              </w:rPr>
              <w:t>Item 2.</w:t>
            </w:r>
          </w:p>
        </w:tc>
        <w:tc>
          <w:tcPr>
            <w:tcW w:w="560" w:type="dxa"/>
            <w:vAlign w:val="bottom"/>
          </w:tcPr>
          <w:p>
            <w:pPr>
              <w:spacing w:after="0"/>
              <w:rPr>
                <w:sz w:val="21"/>
                <w:szCs w:val="21"/>
                <w:color w:val="auto"/>
              </w:rPr>
            </w:pPr>
          </w:p>
        </w:tc>
        <w:tc>
          <w:tcPr>
            <w:tcW w:w="2040" w:type="dxa"/>
            <w:vAlign w:val="bottom"/>
            <w:gridSpan w:val="9"/>
          </w:tcPr>
          <w:p>
            <w:pPr>
              <w:spacing w:after="0"/>
              <w:rPr>
                <w:sz w:val="20"/>
                <w:szCs w:val="20"/>
                <w:color w:val="auto"/>
              </w:rPr>
            </w:pPr>
            <w:r>
              <w:rPr>
                <w:rFonts w:ascii="Arial" w:cs="Arial" w:eastAsia="Arial" w:hAnsi="Arial"/>
                <w:sz w:val="18"/>
                <w:szCs w:val="18"/>
                <w:color w:val="0000FF"/>
              </w:rPr>
              <w:t>Properties</w:t>
            </w:r>
          </w:p>
        </w:tc>
        <w:tc>
          <w:tcPr>
            <w:tcW w:w="7520" w:type="dxa"/>
            <w:vAlign w:val="bottom"/>
            <w:gridSpan w:val="1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3.</w:t>
              </w:r>
            </w:hyperlink>
          </w:p>
        </w:tc>
        <w:tc>
          <w:tcPr>
            <w:tcW w:w="9560" w:type="dxa"/>
            <w:vAlign w:val="bottom"/>
            <w:gridSpan w:val="2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4.</w:t>
              </w:r>
            </w:hyperlink>
          </w:p>
        </w:tc>
        <w:tc>
          <w:tcPr>
            <w:tcW w:w="9560" w:type="dxa"/>
            <w:vAlign w:val="bottom"/>
            <w:gridSpan w:val="2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Mine Safety Disclosures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jc w:val="cente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w:t>
              </w:r>
            </w:hyperlink>
          </w:p>
        </w:tc>
        <w:tc>
          <w:tcPr>
            <w:tcW w:w="470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5.</w:t>
              </w:r>
            </w:hyperlink>
          </w:p>
        </w:tc>
        <w:tc>
          <w:tcPr>
            <w:tcW w:w="9560" w:type="dxa"/>
            <w:vAlign w:val="bottom"/>
            <w:gridSpan w:val="2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Market for Registrant’s Common Equity, Related Stockholder Matters and Issuer Purchases of Equity Securities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6.</w:t>
              </w:r>
            </w:hyperlink>
          </w:p>
        </w:tc>
        <w:tc>
          <w:tcPr>
            <w:tcW w:w="9560" w:type="dxa"/>
            <w:vAlign w:val="bottom"/>
            <w:gridSpan w:val="2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98"/>
              </w:rPr>
            </w:pPr>
            <w:hyperlink w:anchor="page38">
              <w:r>
                <w:rPr>
                  <w:rFonts w:ascii="Arial" w:cs="Arial" w:eastAsia="Arial" w:hAnsi="Arial"/>
                  <w:sz w:val="18"/>
                  <w:szCs w:val="18"/>
                  <w:color w:val="0000FF"/>
                  <w:w w:val="98"/>
                </w:rPr>
                <w:t>Item 7.</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48">
              <w:r>
                <w:rPr>
                  <w:rFonts w:ascii="Arial" w:cs="Arial" w:eastAsia="Arial" w:hAnsi="Arial"/>
                  <w:sz w:val="18"/>
                  <w:szCs w:val="18"/>
                  <w:color w:val="0000FF"/>
                  <w:w w:val="80"/>
                </w:rPr>
                <w:t>Item 7A.</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98"/>
              </w:rPr>
            </w:pPr>
            <w:hyperlink w:anchor="page50">
              <w:r>
                <w:rPr>
                  <w:rFonts w:ascii="Arial" w:cs="Arial" w:eastAsia="Arial" w:hAnsi="Arial"/>
                  <w:sz w:val="18"/>
                  <w:szCs w:val="18"/>
                  <w:color w:val="0000FF"/>
                  <w:w w:val="98"/>
                </w:rPr>
                <w:t>Item 8.</w:t>
              </w:r>
            </w:hyperlink>
          </w:p>
        </w:tc>
        <w:tc>
          <w:tcPr>
            <w:tcW w:w="560" w:type="dxa"/>
            <w:vAlign w:val="bottom"/>
          </w:tcPr>
          <w:p>
            <w:pPr>
              <w:spacing w:after="0"/>
              <w:rPr>
                <w:sz w:val="21"/>
                <w:szCs w:val="21"/>
                <w:color w:val="auto"/>
              </w:rPr>
            </w:pPr>
          </w:p>
        </w:tc>
        <w:tc>
          <w:tcPr>
            <w:tcW w:w="4360" w:type="dxa"/>
            <w:vAlign w:val="bottom"/>
            <w:gridSpan w:val="17"/>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Financial Statements and Supplementary Data</w:t>
              </w:r>
            </w:hyperlink>
          </w:p>
        </w:tc>
        <w:tc>
          <w:tcPr>
            <w:tcW w:w="520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Item 9.</w:t>
              </w:r>
            </w:hyperlink>
          </w:p>
        </w:tc>
        <w:tc>
          <w:tcPr>
            <w:tcW w:w="9560" w:type="dxa"/>
            <w:vAlign w:val="bottom"/>
            <w:gridSpan w:val="27"/>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Changes in and Disagreements with Accountants on Accounting and Financial Disclosure</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89">
              <w:r>
                <w:rPr>
                  <w:rFonts w:ascii="Arial" w:cs="Arial" w:eastAsia="Arial" w:hAnsi="Arial"/>
                  <w:sz w:val="18"/>
                  <w:szCs w:val="18"/>
                  <w:color w:val="0000FF"/>
                  <w:w w:val="80"/>
                </w:rPr>
                <w:t>Item 9A.</w:t>
              </w:r>
            </w:hyperlink>
          </w:p>
        </w:tc>
        <w:tc>
          <w:tcPr>
            <w:tcW w:w="56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FF"/>
                <w:w w:val="88"/>
              </w:rPr>
            </w:pPr>
            <w:hyperlink w:anchor="page89">
              <w:r>
                <w:rPr>
                  <w:rFonts w:ascii="Arial" w:cs="Arial" w:eastAsia="Arial" w:hAnsi="Arial"/>
                  <w:sz w:val="18"/>
                  <w:szCs w:val="18"/>
                  <w:color w:val="0000FF"/>
                  <w:w w:val="88"/>
                </w:rPr>
                <w:t>Controls and Procedures</w:t>
              </w:r>
            </w:hyperlink>
          </w:p>
        </w:tc>
        <w:tc>
          <w:tcPr>
            <w:tcW w:w="7780" w:type="dxa"/>
            <w:vAlign w:val="bottom"/>
            <w:gridSpan w:val="2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87</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90">
              <w:r>
                <w:rPr>
                  <w:rFonts w:ascii="Arial" w:cs="Arial" w:eastAsia="Arial" w:hAnsi="Arial"/>
                  <w:sz w:val="18"/>
                  <w:szCs w:val="18"/>
                  <w:color w:val="0000FF"/>
                  <w:w w:val="80"/>
                </w:rPr>
                <w:t>Item 9B.</w:t>
              </w:r>
            </w:hyperlink>
          </w:p>
        </w:tc>
        <w:tc>
          <w:tcPr>
            <w:tcW w:w="56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Other Information</w:t>
              </w:r>
            </w:hyperlink>
          </w:p>
        </w:tc>
        <w:tc>
          <w:tcPr>
            <w:tcW w:w="7780" w:type="dxa"/>
            <w:vAlign w:val="bottom"/>
            <w:gridSpan w:val="2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0">
              <w:r>
                <w:rPr>
                  <w:rFonts w:ascii="Arial" w:cs="Arial" w:eastAsia="Arial" w:hAnsi="Arial"/>
                  <w:sz w:val="18"/>
                  <w:szCs w:val="18"/>
                  <w:color w:val="0000FF"/>
                </w:rPr>
                <w:t>88</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0000FF"/>
            </w:tcBorders>
            <w:gridSpan w:val="7"/>
          </w:tcPr>
          <w:p>
            <w:pPr>
              <w:jc w:val="center"/>
              <w:spacing w:after="0"/>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PART III</w:t>
              </w:r>
            </w:hyperlink>
          </w:p>
        </w:tc>
        <w:tc>
          <w:tcPr>
            <w:tcW w:w="466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0">
              <w:r>
                <w:rPr>
                  <w:rFonts w:ascii="Arial" w:cs="Arial" w:eastAsia="Arial" w:hAnsi="Arial"/>
                  <w:sz w:val="18"/>
                  <w:szCs w:val="18"/>
                  <w:color w:val="0000FF"/>
                  <w:w w:val="82"/>
                </w:rPr>
                <w:t>Item 10.</w:t>
              </w:r>
            </w:hyperlink>
          </w:p>
        </w:tc>
        <w:tc>
          <w:tcPr>
            <w:tcW w:w="560" w:type="dxa"/>
            <w:vAlign w:val="bottom"/>
          </w:tcPr>
          <w:p>
            <w:pPr>
              <w:spacing w:after="0"/>
              <w:rPr>
                <w:sz w:val="21"/>
                <w:szCs w:val="21"/>
                <w:color w:val="auto"/>
              </w:rPr>
            </w:pPr>
          </w:p>
        </w:tc>
        <w:tc>
          <w:tcPr>
            <w:tcW w:w="4100" w:type="dxa"/>
            <w:vAlign w:val="bottom"/>
            <w:gridSpan w:val="13"/>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Directors, Executive Officers and Corporate Governance</w:t>
              </w:r>
            </w:hyperlink>
          </w:p>
        </w:tc>
        <w:tc>
          <w:tcPr>
            <w:tcW w:w="546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0">
              <w:r>
                <w:rPr>
                  <w:rFonts w:ascii="Arial" w:cs="Arial" w:eastAsia="Arial" w:hAnsi="Arial"/>
                  <w:sz w:val="18"/>
                  <w:szCs w:val="18"/>
                  <w:color w:val="0000FF"/>
                  <w:w w:val="82"/>
                </w:rPr>
                <w:t>Item 11.</w:t>
              </w:r>
            </w:hyperlink>
          </w:p>
        </w:tc>
        <w:tc>
          <w:tcPr>
            <w:tcW w:w="560" w:type="dxa"/>
            <w:vAlign w:val="bottom"/>
          </w:tcPr>
          <w:p>
            <w:pPr>
              <w:spacing w:after="0"/>
              <w:rPr>
                <w:sz w:val="21"/>
                <w:szCs w:val="21"/>
                <w:color w:val="auto"/>
              </w:rPr>
            </w:pPr>
          </w:p>
        </w:tc>
        <w:tc>
          <w:tcPr>
            <w:tcW w:w="4100" w:type="dxa"/>
            <w:vAlign w:val="bottom"/>
            <w:gridSpan w:val="13"/>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Executive Compensation</w:t>
              </w:r>
            </w:hyperlink>
          </w:p>
        </w:tc>
        <w:tc>
          <w:tcPr>
            <w:tcW w:w="546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0">
              <w:r>
                <w:rPr>
                  <w:rFonts w:ascii="Arial" w:cs="Arial" w:eastAsia="Arial" w:hAnsi="Arial"/>
                  <w:sz w:val="18"/>
                  <w:szCs w:val="18"/>
                  <w:color w:val="0000FF"/>
                </w:rPr>
                <w:t>88</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0">
              <w:r>
                <w:rPr>
                  <w:rFonts w:ascii="Arial" w:cs="Arial" w:eastAsia="Arial" w:hAnsi="Arial"/>
                  <w:sz w:val="18"/>
                  <w:szCs w:val="18"/>
                  <w:color w:val="0000FF"/>
                  <w:w w:val="82"/>
                </w:rPr>
                <w:t>Item 12.</w:t>
              </w:r>
            </w:hyperlink>
          </w:p>
        </w:tc>
        <w:tc>
          <w:tcPr>
            <w:tcW w:w="560" w:type="dxa"/>
            <w:vAlign w:val="bottom"/>
          </w:tcPr>
          <w:p>
            <w:pPr>
              <w:spacing w:after="0"/>
              <w:rPr>
                <w:sz w:val="21"/>
                <w:szCs w:val="21"/>
                <w:color w:val="auto"/>
              </w:rPr>
            </w:pPr>
          </w:p>
        </w:tc>
        <w:tc>
          <w:tcPr>
            <w:tcW w:w="7300" w:type="dxa"/>
            <w:vAlign w:val="bottom"/>
            <w:gridSpan w:val="25"/>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Security Ownership of Certain Beneficial Owners and Management and Related Stockholder Matters</w:t>
              </w:r>
            </w:hyperlink>
          </w:p>
        </w:tc>
        <w:tc>
          <w:tcPr>
            <w:tcW w:w="226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0">
              <w:r>
                <w:rPr>
                  <w:rFonts w:ascii="Arial" w:cs="Arial" w:eastAsia="Arial" w:hAnsi="Arial"/>
                  <w:sz w:val="18"/>
                  <w:szCs w:val="18"/>
                  <w:color w:val="0000FF"/>
                </w:rPr>
                <w:t>88</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1">
              <w:r>
                <w:rPr>
                  <w:rFonts w:ascii="Arial" w:cs="Arial" w:eastAsia="Arial" w:hAnsi="Arial"/>
                  <w:sz w:val="18"/>
                  <w:szCs w:val="18"/>
                  <w:color w:val="0000FF"/>
                  <w:w w:val="82"/>
                </w:rPr>
                <w:t>Item 13.</w:t>
              </w:r>
            </w:hyperlink>
          </w:p>
        </w:tc>
        <w:tc>
          <w:tcPr>
            <w:tcW w:w="560" w:type="dxa"/>
            <w:vAlign w:val="bottom"/>
          </w:tcPr>
          <w:p>
            <w:pPr>
              <w:spacing w:after="0"/>
              <w:rPr>
                <w:sz w:val="21"/>
                <w:szCs w:val="21"/>
                <w:color w:val="auto"/>
              </w:rPr>
            </w:pPr>
          </w:p>
        </w:tc>
        <w:tc>
          <w:tcPr>
            <w:tcW w:w="7300" w:type="dxa"/>
            <w:vAlign w:val="bottom"/>
            <w:gridSpan w:val="25"/>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Certain Relationships and Related Transactions and Director Independence</w:t>
              </w:r>
            </w:hyperlink>
          </w:p>
        </w:tc>
        <w:tc>
          <w:tcPr>
            <w:tcW w:w="226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89</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1">
              <w:r>
                <w:rPr>
                  <w:rFonts w:ascii="Arial" w:cs="Arial" w:eastAsia="Arial" w:hAnsi="Arial"/>
                  <w:sz w:val="18"/>
                  <w:szCs w:val="18"/>
                  <w:color w:val="0000FF"/>
                  <w:w w:val="82"/>
                </w:rPr>
                <w:t>Item 14.</w:t>
              </w:r>
            </w:hyperlink>
          </w:p>
        </w:tc>
        <w:tc>
          <w:tcPr>
            <w:tcW w:w="560" w:type="dxa"/>
            <w:vAlign w:val="bottom"/>
          </w:tcPr>
          <w:p>
            <w:pPr>
              <w:spacing w:after="0"/>
              <w:rPr>
                <w:sz w:val="21"/>
                <w:szCs w:val="21"/>
                <w:color w:val="auto"/>
              </w:rPr>
            </w:pPr>
          </w:p>
        </w:tc>
        <w:tc>
          <w:tcPr>
            <w:tcW w:w="5400" w:type="dxa"/>
            <w:vAlign w:val="bottom"/>
            <w:gridSpan w:val="22"/>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Principal Accountant Fees and Services</w:t>
              </w:r>
            </w:hyperlink>
          </w:p>
        </w:tc>
        <w:tc>
          <w:tcPr>
            <w:tcW w:w="416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89</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gridSpan w:val="13"/>
          </w:tcPr>
          <w:p>
            <w:pPr>
              <w:jc w:val="center"/>
              <w:ind w:right="4660"/>
              <w:spacing w:after="0"/>
              <w:rPr>
                <w:rFonts w:ascii="Arial" w:cs="Arial" w:eastAsia="Arial" w:hAnsi="Arial"/>
                <w:sz w:val="18"/>
                <w:szCs w:val="18"/>
                <w:b w:val="1"/>
                <w:bCs w:val="1"/>
                <w:color w:val="0000FF"/>
              </w:rPr>
            </w:pPr>
            <w:hyperlink w:anchor="page91">
              <w:r>
                <w:rPr>
                  <w:rFonts w:ascii="Arial" w:cs="Arial" w:eastAsia="Arial" w:hAnsi="Arial"/>
                  <w:sz w:val="18"/>
                  <w:szCs w:val="18"/>
                  <w:b w:val="1"/>
                  <w:bCs w:val="1"/>
                  <w:color w:val="0000FF"/>
                </w:rPr>
                <w:t>PART IV</w:t>
              </w:r>
            </w:hyperlink>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1">
              <w:r>
                <w:rPr>
                  <w:rFonts w:ascii="Arial" w:cs="Arial" w:eastAsia="Arial" w:hAnsi="Arial"/>
                  <w:sz w:val="18"/>
                  <w:szCs w:val="18"/>
                  <w:color w:val="0000EE"/>
                  <w:w w:val="82"/>
                </w:rPr>
                <w:t>Item 15.</w:t>
              </w:r>
            </w:hyperlink>
          </w:p>
        </w:tc>
        <w:tc>
          <w:tcPr>
            <w:tcW w:w="560" w:type="dxa"/>
            <w:vAlign w:val="bottom"/>
          </w:tcPr>
          <w:p>
            <w:pPr>
              <w:spacing w:after="0"/>
              <w:rPr>
                <w:sz w:val="21"/>
                <w:szCs w:val="21"/>
                <w:color w:val="auto"/>
              </w:rPr>
            </w:pPr>
          </w:p>
        </w:tc>
        <w:tc>
          <w:tcPr>
            <w:tcW w:w="4200" w:type="dxa"/>
            <w:vAlign w:val="bottom"/>
            <w:gridSpan w:val="15"/>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Exhibits and Financial Statement Schedules</w:t>
              </w:r>
            </w:hyperlink>
          </w:p>
        </w:tc>
        <w:tc>
          <w:tcPr>
            <w:tcW w:w="680" w:type="dxa"/>
            <w:vAlign w:val="bottom"/>
            <w:tcBorders>
              <w:top w:val="single" w:sz="8" w:color="0000FF"/>
            </w:tcBorders>
            <w:gridSpan w:val="5"/>
          </w:tcPr>
          <w:p>
            <w:pPr>
              <w:spacing w:after="0"/>
              <w:rPr>
                <w:sz w:val="21"/>
                <w:szCs w:val="21"/>
                <w:color w:val="auto"/>
              </w:rPr>
            </w:pPr>
          </w:p>
        </w:tc>
        <w:tc>
          <w:tcPr>
            <w:tcW w:w="46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89</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2">
              <w:r>
                <w:rPr>
                  <w:rFonts w:ascii="Arial" w:cs="Arial" w:eastAsia="Arial" w:hAnsi="Arial"/>
                  <w:sz w:val="18"/>
                  <w:szCs w:val="18"/>
                  <w:color w:val="0000EE"/>
                  <w:w w:val="82"/>
                </w:rPr>
                <w:t>Item 16.</w:t>
              </w:r>
            </w:hyperlink>
          </w:p>
        </w:tc>
        <w:tc>
          <w:tcPr>
            <w:tcW w:w="560" w:type="dxa"/>
            <w:vAlign w:val="bottom"/>
          </w:tcPr>
          <w:p>
            <w:pPr>
              <w:spacing w:after="0"/>
              <w:rPr>
                <w:sz w:val="21"/>
                <w:szCs w:val="21"/>
                <w:color w:val="auto"/>
              </w:rPr>
            </w:pPr>
          </w:p>
        </w:tc>
        <w:tc>
          <w:tcPr>
            <w:tcW w:w="1560" w:type="dxa"/>
            <w:vAlign w:val="bottom"/>
            <w:gridSpan w:val="5"/>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Form 10-K Summary</w:t>
              </w:r>
            </w:hyperlink>
          </w:p>
        </w:tc>
        <w:tc>
          <w:tcPr>
            <w:tcW w:w="1600" w:type="dxa"/>
            <w:vAlign w:val="bottom"/>
            <w:gridSpan w:val="6"/>
          </w:tcPr>
          <w:p>
            <w:pPr>
              <w:spacing w:after="0"/>
              <w:rPr>
                <w:sz w:val="21"/>
                <w:szCs w:val="21"/>
                <w:color w:val="auto"/>
              </w:rPr>
            </w:pPr>
          </w:p>
        </w:tc>
        <w:tc>
          <w:tcPr>
            <w:tcW w:w="6400" w:type="dxa"/>
            <w:vAlign w:val="bottom"/>
            <w:gridSpan w:val="1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90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All references in this Annual Report on Form 10-K to “Amkor,” “we,” “us,” “our” or the “company” are to Amkor Technology, Inc. and its subsidiaries. We refer to the Republic of Korea, which is also commonly known as South Korea, as “Korea”. All references to "J-Devices", "Toshiba" and "Qualcomm" are to J-Devices Corporation, our wholly owned subsidiary in Japan, Toshiba Corporation and Qualcomm Incorporated, respectively. We also refer to our new factory and research and development facility in Incheon, Korea as "K5". Amounts preceded by ¥ are in Japanese yen, and amounts preceded by ₩ are in Korean won. Amkor</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Amkor Technology</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ChipArray</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FusionQuad</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J-Devices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Micro</w:t>
      </w:r>
      <w:r>
        <w:rPr>
          <w:rFonts w:ascii="Arial" w:cs="Arial" w:eastAsia="Arial" w:hAnsi="Arial"/>
          <w:sz w:val="17"/>
          <w:szCs w:val="17"/>
          <w:color w:val="auto"/>
        </w:rPr>
        <w:t>LeadFrame</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TMV</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and SWIFT</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among others, are trademarks of Amkor Technology, Inc. All other trademarks appearing herein are held by their respective owners. Subsequent use of the above trademarks in this report may occur without the respective superscript symbol (</w:t>
      </w:r>
      <w:r>
        <w:rPr>
          <w:rFonts w:ascii="Arial" w:cs="Arial" w:eastAsia="Arial" w:hAnsi="Arial"/>
          <w:sz w:val="24"/>
          <w:szCs w:val="24"/>
          <w:color w:val="auto"/>
          <w:vertAlign w:val="superscript"/>
        </w:rPr>
        <w:t>®</w:t>
      </w:r>
      <w:r>
        <w:rPr>
          <w:rFonts w:ascii="Arial" w:cs="Arial" w:eastAsia="Arial" w:hAnsi="Arial"/>
          <w:sz w:val="17"/>
          <w:szCs w:val="17"/>
          <w:color w:val="auto"/>
        </w:rPr>
        <w:t xml:space="preserve">and </w:t>
      </w:r>
      <w:r>
        <w:rPr>
          <w:rFonts w:ascii="Arial" w:cs="Arial" w:eastAsia="Arial" w:hAnsi="Arial"/>
          <w:sz w:val="24"/>
          <w:szCs w:val="24"/>
          <w:color w:val="auto"/>
          <w:vertAlign w:val="superscript"/>
        </w:rPr>
        <w:t>TM</w:t>
      </w:r>
      <w:r>
        <w:rPr>
          <w:rFonts w:ascii="Arial" w:cs="Arial" w:eastAsia="Arial" w:hAnsi="Arial"/>
          <w:sz w:val="17"/>
          <w:szCs w:val="17"/>
          <w:color w:val="auto"/>
        </w:rPr>
        <w:t>) in order to facilitate the readability of the report and are not a waiver of any rights that may be associated with the relevant trademarks.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report contains forward-looking statements within the meaning of the federal securities laws, including but not limited to statements regarding: (1) the amount, timing and focus of our expected capital investments in 2019 including expenditures in support of advanced packaging and test equipment, (2) our ability to fund our operating activities and financial requirements for the next twelve months, (3) the effect of changes in revenue levels and capacity utilization on our gross margin, (4) the focus of our research and development activities, (5) the anticipated impact of the Tax Cuts and Jobs Act (the "Tax Act") on our taxes, (6) the grant and expiration of tax holidays in jurisdictions in which we operate and expectations regarding our effective tax rate and the availability of tax incentives, (7) the creation or release of valuation allowances related to taxes in the future, (8) our repurchase or repayment of outstanding debt or the conversion of debt in the future, (9) payment of dividends, (10) compliance with our covenants, (11) expected contributions to foreign pension plans,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in mobile and automotive devices and our technology leadership and potential growth in this market, (18) our expected forfeiture rate for outstanding stock options and restricted shares, (19) our expected rate of return for pension plan assets, (20) interest savings from the redemption of our 6.625% Senior Notes due 2021, (21) the anticipated impact of changes in accounting standards, and</w:t>
      </w:r>
    </w:p>
    <w:p>
      <w:pPr>
        <w:spacing w:after="0" w:line="3" w:lineRule="exact"/>
        <w:rPr>
          <w:sz w:val="20"/>
          <w:szCs w:val="20"/>
          <w:color w:val="auto"/>
        </w:rPr>
      </w:pPr>
    </w:p>
    <w:p>
      <w:pPr>
        <w:jc w:val="both"/>
        <w:ind w:firstLine="8"/>
        <w:spacing w:after="0" w:line="295" w:lineRule="auto"/>
        <w:tabs>
          <w:tab w:leader="none" w:pos="345" w:val="left"/>
        </w:tabs>
        <w:numPr>
          <w:ilvl w:val="0"/>
          <w:numId w:val="1"/>
        </w:numPr>
        <w:rPr>
          <w:rFonts w:ascii="Arial" w:cs="Arial" w:eastAsia="Arial" w:hAnsi="Arial"/>
          <w:sz w:val="16"/>
          <w:szCs w:val="16"/>
          <w:color w:val="auto"/>
        </w:rPr>
      </w:pPr>
      <w:r>
        <w:rPr>
          <w:rFonts w:ascii="Arial" w:cs="Arial" w:eastAsia="Arial" w:hAnsi="Arial"/>
          <w:sz w:val="16"/>
          <w:szCs w:val="16"/>
          <w:color w:val="auto"/>
        </w:rPr>
        <w:t>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 Item 1A of this Annual Report on Form 10-K.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Amkor pioneered the outsourcing of semiconductor packaging and test services through a predecessor corporation in 1968, and over the years we have built a leading position by:</w:t>
      </w:r>
    </w:p>
    <w:p>
      <w:pPr>
        <w:spacing w:after="0" w:line="11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Designing and developing innovative packaging and test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Offering a broad portfolio of cost-effective solutions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Focusing on strategic end markets that offer solid growth potential;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Cultivating long-standing relationships with our customers, which include many of the world’s leading semiconductor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Collaborating with customers, original equipment manufacturers (“OEMs”) and equipment and material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Developing a competitive cost structure with disciplined capital investment;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Building expertise in high-volume manufacturing processes and developing a reputation for high quality and solid execution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Providing a geographically diverse operating base, with research and development, engineering support and production capabilities at various facilities in China, Japan, Korea, Malaysia, the Philippines, Portugal and Taiwan.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packaging and test services are designed to meet application and chip specific requirements including the required type of interconnect technology; size; thickness and electrical, mechanical and thermal performance. We provide turnkey packaging and test services including semiconductor wafer bump, wafer probe, wafer back-grind, package design, packaging, system-level and final test and drop shipment services. Our customers use us for one or more of these services.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our services to integrated device manufacturers (“IDMs”), “fabless” semiconductor companies and contract foundries. IDMs generally design, manufacture, package and test semiconductors in their own facilities. However, the availability of technologically advanced outsourced manufacturing services has encouraged IDMs to outsource a portion of their manufacturing. Fabless semiconductor companies do not have factories and focus exclusively on the semiconductor design process and outsource virtually every step of the manufacturing process. Fabless semiconductor companies utilize contract foundries to manufacture their semiconductors in wafer form, and companies such as Amkor for their packaging and test needs. Some companies will engage a contract foundry to manage the complete semiconductor manufacturing process, and in turn, the contract foundry will outsource some of its packaging and test needs.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IDM customers include: Intel Corporation; Renesas Electronics Corporation; STMicroelectronics N.V.; Texas Instruments Incorporated and Toshiba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Corporation. Our fabless customers include: Broadcom Limited; Qualcomm Incorporated and Toshiba Memory Corporation. Our contract foundry customers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 Samsung Electronics Company Limited and Taiwan Semiconductor Manufacturing Company Limited.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Amkor files annual, quarterly and current reports, proxy statements and other information with the U.S. Securities and Exchange Commission (the “SEC”). The SEC maintains a website that contains annual, quarterly and current reports, proxy statements and other information that issuers (including Amkor) file electronically with the SEC. The SEC’s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Amkor’s website is </w:t>
      </w:r>
      <w:r>
        <w:rPr>
          <w:rFonts w:ascii="Arial" w:cs="Arial" w:eastAsia="Arial" w:hAnsi="Arial"/>
          <w:sz w:val="18"/>
          <w:szCs w:val="18"/>
          <w:i w:val="1"/>
          <w:iCs w:val="1"/>
          <w:color w:val="auto"/>
        </w:rPr>
        <w:t>https://www.amkor.com.</w:t>
      </w:r>
      <w:r>
        <w:rPr>
          <w:rFonts w:ascii="Arial" w:cs="Arial" w:eastAsia="Arial" w:hAnsi="Arial"/>
          <w:sz w:val="18"/>
          <w:szCs w:val="18"/>
          <w:color w:val="auto"/>
        </w:rPr>
        <w:t xml:space="preserve"> Amkor makes available, free of charge, through its website, our annual reports on Form 10-K; quarterly reports on Form 10-Q; current reports on Form 8-K; Forms 3, 4 and 5 filed on behalf of directors and executive officers and any amendments to those reports filed or furnished pursuant to the Securities Exchange Act 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1934, as amended (the "Exchange Act"), as soon as reasonably practicable after such material is electronically filed with, or furnished to, the SEC. We also make available, free of charge, through our website, our Corporate Governance Guidelines, the charters of the Audit Committee, Nominating and Governance Committee and Compensation Committee of our Board of Directors, our Code of Business Conduct, our Code of Ethics for Directors and other information and materials. The information on Amkor’s website is not incorporated by reference into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Semiconductor devices are the essential building blocks used in most electronic products. As electronic and semiconductor devices have evolved, several important trends have emerged that have fueled the growth of the overall semiconductor industry, as well as the market for outsourced semiconductor packaging and test services. These trends include:</w:t>
      </w:r>
    </w:p>
    <w:p>
      <w:pPr>
        <w:spacing w:after="0" w:line="127"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increasing demand for mobile and internet-connected devices, including the world-wide adoption of “smart” phones, tablets and other consumer electronic devices that can access the internet and provide multimedia capabilities.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in mobility and connectivity capabilities and growing digital content driving demand for new broadband wired and wireless networking equipment.</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proliferation of semiconductor devices into well-established end products such as automotive systems due to increased use of electronics for safety, navigation, fuel efficiency, emission reduction and entertainment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overall increase in the semiconductor content within electronic products to provide greater functionality and higher levels of performance.</w:t>
      </w:r>
    </w:p>
    <w:p>
      <w:pPr>
        <w:spacing w:after="0" w:line="182"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of advanced System-in-Package ("SiP") modules where multiple semiconductor and other electronic components with different functionalities are combined into a single package. The increasing demand for miniaturization and higher functionality at competitive cost is driving the adoption of advanced SiP in new products. Advanced SiPs are the primary vehicle for package-level integration, which allow customers to combine integrated circuits ("ICs") from different silicon nodes and different foundries.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supplier in the semiconductor industry, our business is cyclical by nature and impacted by broad economic factors, such as world-wide gross domestic product and consumer spending. Historical trends indicate there has been a strong correlation between world-wide gross domestic product levels, consumer spending and semiconductor industry cycles.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Outsourcing Trends in Semiconductor Manufacturing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Semiconductor companies outsource their packaging and test needs to service providers such as Amkor for the following reasons: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have developed expertise in advanced technologies.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increasing demands for miniaturization, greater functionality, lower power consumption and improved thermal and electrical performance are driving the continuous development of semiconductor packaging and test technologies that are more sophisticated, complex and customized. This trend has led many semiconductor companies and OEMs to view packaging and test as enabling technologies requiring the kind of leading-edge expertise for technological innovation found in the leading outsourced assembly and test companies. At the same time, these companies are often looking to reduce the internal manufacturing and research and development costs in packaging and test. As a result, many of these companies are increasingly relying on packaging and test service providers as key sources for new package designs and advanced interconnect technologies.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offer a cost effective solution in a highly cyclical, capital intensive industry.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semiconductor industry is cyclical by nature and impacted by broad economic factors, such as changes in worldwide gross domestic product and consumer spending. Semiconductor packaging and test are complex processes requiring substantial investment in specialized equipment, factories and human resources. As a result of this cyclicality and the large investments required, manufacturing facilities must operate at consistently high levels of utilization to be cost effective. Shorter product life cycles, coupled with the need to update or replace packaging and test equipment to accommodate new package types, make it more difficult for integrated semiconductor companies to maintain cost effective utilization of their packaging and test assets throughout semiconductor industry cycles. Packaging and test service providers, on the other hand, can typically use their assets to support a broad range of customers, potentially generating more efficient use of their production assets and a more cost effective solution.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can facilitate a more efficient supply chain and help shorten time-to-market for new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semiconductor companies, together with their customers, are seeking to shorten the time-to-market for their new products, and that having an effective supply chain is a critical factor in facilitating timely and successful product introductions. Packaging and test service providers have the resources and expertise to timely develop their capabilities and implement new packaging technology in volume. For this reason, semiconductor companies and OEMs are leveraging the capabilities of packaging and test service providers to deliver their new products to market more quickly.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High quality packaging and test service providers enable semiconductor manufacturers to focus their resources on semiconductor design and wafer fabrication.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semiconductor process technology migrates to larger wafers and smaller feature sizes, the cost of building a state-of-the-art wafer fabrication factory has risen significantly and can now be several billions of dollars. The high cost of investing in next generation silicon technology and equipment is causing many semiconductor companies to adopt or maintain a “fabless” or “fab-lite” strategy to reduce or eliminate their investment in wafer fabrication and associated packaging and test operations. As a result, these companies are increasing their reliance on outsourced providers of semiconductor manufacturing services, including packaging and test.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goals are sales growth and improved profitability, and we are focusing on the following strategies to achieve these goals: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Our Investment in Services for Advanced Technologies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an industry leader in developing and commercializing cost-effective advanced packaging and test technologies. These advanced technology solutions provide increased value to our customers. An important factor for success in the advanced packaging and test area is to generate reasonably quick returns on investments made in support of customers seeking leading-edge technologies.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recent years we have made significant investments in state-of-the-art facilities and equipment to provide services for the industry’s most complex devices. With more than 600 employees engaged in research and development and manufacturing process engineering for new semiconductor packaging and test technologies, we are a technology leader in areas such as fine pitch bumping, advanced flip chip, wafer-level processing and advanced SiPs. During 2018, we had success capitalizing on our advanced technology to achieve design wins and new product introductions in areas such as chips fabricated at 7, 10, 14 and 16 nanometer geometries; advanced SiP products including radio frequency ("RF"), front end modules and micro-electro-mechanical systems ("MEMS") devices; optical sensors and cavity MEMS; advanced Flip Chip with Through Silicon Via ("TSV") Technology and wafer-level Chip Scale Packaging ("CSP") and wafer-level fan-out packages.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work closely with our customers to develop cost-effective leading-edge packages for the next generation of devices, and we are making substantial progress in a number of areas. These include integrated technologies such as advanced SiP, wafer-level fan-out, and Silicon Wafer Integrated Fan-out Technology ("SWIFT") solutions which enable very thin, very small products combining application processors, memory, baseband and other peripheral integrated circuits ("ICs"). They also include packages utilizing Through Silicon Via ("TSV") interconnects and silicon interposers which enable the integration of high performance chips such as high bandwidth memory and graphics processors into a single package.</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believe that advanced packaging services will continue to grow as our customers and leading electronics OEMs strive for smaller device geometries, higher levels of speed and performance and lower power consumption. We intend to continue to leverage our investment in advanced technology to meet the demand for these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 Utilization of Existing Assets and Broaden Our Customer Base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Another key to our success is to improve the utilization of our existing assets. The transition by leading edge customers to newer packaging and test equipment platforms typically frees up capacity in existing, previously installed equipment. As part of our strategy, we are focused on developing a second wave of customers to more effectively utilize these assets over a longer period of time.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particular, we are devoting substantial resources to increasing our sales to Chinese and Taiwanese fabless chip companies which have a significant portion of the mid-tier and entry-level segments of the mobile device market.</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key element of our Greater China strategy is our world-class factory in Shanghai. In 2016, we expanded our clean room space at this facility by nearly 45%, to a total of about 625,000 square feet. Our Shanghai facility serves both international and local customers, with a heavy emphasis on wafer-level packaging, wafer bumping, stacked die packaging and advanced test services.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portion of our expanded Shanghai facility houses Qualcomm Communication Technologies (Shanghai) Co. Ltd., Qualcomm’s semiconductor test facility. This test center combines Amkor’s extensive test services experience and state-of-the-art cleanroom facilities with Qualcomm's industry leadership in cutting-edge product engineering and development. The co-location of the test center at our Shanghai factory helps to strengthen our close business relationship with a key customer.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Balanced Growth</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growth is a significant objective for Amkor. We strive to grow in a balanced way and avoid over-reliance on any single market or customer. Our goal is to achieve more consistent financial performance through all phases of the business cycle. Our balanced growth strategy has four components, as follows:</w:t>
      </w:r>
    </w:p>
    <w:p>
      <w:pPr>
        <w:spacing w:after="0" w:line="124" w:lineRule="exact"/>
        <w:rPr>
          <w:sz w:val="20"/>
          <w:szCs w:val="20"/>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First, we are increasing our revenue in markets other than smartphones and tablets, such as automotive, which now drives approximately 26% of Amkor's total revenue. Revenue from these markets tends to be more stable, with less pronounced highs and lows from year to year. Sales in these other markets now account for 56% of our overall revenue, up from 47% in 2015, prior to the acquisition of J-Devices.</w:t>
      </w:r>
    </w:p>
    <w:p>
      <w:pPr>
        <w:spacing w:after="0" w:line="111"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Second, we are expanding our customer base in the smartphone and tablet market, primarily by engaging with fabless companies in Greater China. This allows us to more fully utilize our existing assets and broadens our participation in all tiers of the mobile device market.</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we continue to focus on share gains in the iOS and high-end Android ecosystems, leveraging our expertise in advanced SiP, MEMS and other advanced packages to expand our content in flagship phones.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Finally, we are building and utilizing manufacturing lines which support multiple customers, and increasing factory utilization through more sophisticated planning processes and more intensive efficiency improvement activities.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Selectively Grow Our Scale and Scope through Strategic Investments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see attractive opportunities to grow our customer base and expand markets through strategic investments. For example, in 2017 we completed the acquisition of Nanium, S.A. ("Nanium"), a provider of wafer-level fan-out semiconductor packaging solutions. We believe that this acquisition has strengthened our position in the market for wafer-level packaging. In 2015, we completed the acquisition of 100% of J-Devices, our outsourced semiconductor assembly and test ("OSAT") joint venture in Japan. We believe that with this acquisition we are the largest OSAT by revenue for the automotive market, with over $1 billion in automotive-based revenues in 2018.</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selective growth through joint ventures, acquisitions and other strategic investments can help diversify our revenue streams, improve our profits and maintain our technological leadership.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outsourced semiconductor packaging and test market is very competitive. We also compete with the internal semiconductor packaging and test capabilities of many of our customers and foundries. We believe we are well-positioned in the outsourced packaging and test services market. The following competitive strengths allow us to build upon our industry position and to remain one of the preferred providers of semiconductor packaging and test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Leading Technology Innovator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leader in developing and deploying advanced semiconductor packaging and test solutions. We have designed and developed several state-of-the-art package formats and technologies including our Package-on-Package (“PoP”) platform with Through Mold Via (“TMV”) technology, molded embedded packages, FusionQuad, flip chip ball grid array, multi-chip modules with a silicon interposer placed between the module chips and substrate, copper pillar bumping and fine pitch copper pillar flip chip packaging technologies. In addition, we believe that as semiconductor technology continues to achieve smaller device geometries with higher levels of speed and performance, packages will increasingly require wafer-level CSP, wafer-level fan-out, SWIFT and flip chip interconnect solutions and advanced SiP products.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continue to invest in developing the key processes and packaging and test technologies required for our customers to deliver advanced integrated and modular solutions to market. We are a leader in wafer thinning, micro-bumping, die stacking, hybrid packaging and TSV-based flip chip innovation. We are also a developer of environmentally friendly IC packaging, which involves the elimination of lead and certain other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Long-Standing Relationships and Collaboration with Prominent Semiconductor Companies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customers include most of the world’s largest semiconductor companies and over the last five decades, we have developed long-standing relationships with many of these companies. We believe that our production excellence has been a key factor in our success in attracting and retaining customers. We work with our customers and our suppliers to develop proprietary process technologies to enhance our existing capabilities, reduce time-to-market, increase quality and lower costs.</w:t>
      </w:r>
    </w:p>
    <w:p>
      <w:pPr>
        <w:spacing w:after="0" w:line="18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believe that our focus on research and product development will enable us to enter new markets early, capture market share and promote the adoption of our new package designs as industry standards. We collaborate with customers and leading OEMs to develop comprehensive packaging solutions that make it easier for next-generation semiconductors to be designed into next-generation end products. By collaborating with leading semiconductor companies and OEM electronic companies, we gain access to technology roadmaps for next generation semiconductor designs and obtain the opportunity to develop new packages that satisfy their future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 Offering of Semiconductor Package Design, Packaging and Test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Creating successful interconnect solutions for advanced semiconductor devices often poses unique thermal, electrical and mechanical design challenges, and we employ a large number of engineers to solve these challenges. We provide services for a wide variety of products. This wide variety of packaging offerings is necessary to meet the diverse needs of our customers for the optimal combination of performance, size and cost attributes. Our solutions enable our customers to focus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semiconductor design and wafer fabrication while utilizing Amkor as their turnkey design, packaging and test services provider and, in many cases, their packaging technology innovator.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offer an extensive line of advanced probe and final test services for analog, digital, logic, mixed signal and RF semiconductor devices. We believe that the breadth of our design, packaging and test services is important to customers seeking to limit the number of their suppliers.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Geographically Diversified Operating Base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a broad and geographically diversified operating footprint strategically located in seven countries in many of the world’s important electronics manufacturing regions. We believe that our scale and scope allow us to provide cost effective solutions to our customers by:</w:t>
      </w:r>
    </w:p>
    <w:p>
      <w:pPr>
        <w:spacing w:after="0" w:line="1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capacity to absorb large orders and accommodate quick turn-around times;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favorable pricing on materials and equipment, where possible, by using our purchasing power and leading industry position;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Qualifying production of customer devices at multiple manufacturing sites to mitigate the risks of supply disruptions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capabilities and solutions for customer-specific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Cost Structure and Disciplined Capital Investment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is a continuous push throughout the entire semiconductor supply chain for lower cost solutions. We work to maintain a competitive cost structure and make disciplined capital investment decisions so that we can provide cost-competitive solutions to our customers and achieve sustainable profitability and cash flow. Some of our cost control efforts have included: (1) improving the utilization of our existing assets; (2) developing new manufacturing methods to reduce processing costs; (3) utilizing flexible manufacturing lines that can accommodate a variety of products and customers; (4) increasing strip densities to drive higher throughput; (5) implementing more cost-effective materials; (6) utilizing our scale to drive world-wide purchasing leverage and (7) increasing labor productivity.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in a cyclical industry. During an industry downturn we seek to reduce our costs and drive greater factory and administrative efficiencies. Cost control efforts can include reducing labor costs by temporarily lowering compensation, reducing employee and contractor headcount, shortening work weeks and obtaining labor-related foreign government subsidies where available.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PACKAGING AND TEST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Semiconductor Manufacturing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general, the semiconductor manufacturing process consists of IC design, wafer fabrication, wafer probe, packaging and final test.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Integrated circuit design involves the laying out of electronic components, such as transistors, resistors, capacitors and the metallic interconnect of these components, to achieve the desired device functionality. Wafer fabrication is a multiple-step sequence of photolithographic and chemical processing steps during which the ICs are gradually created on semiconductor material, typically a silicon wafer. Individual ICs are generally known as a “chip” or “die”, and a single wafer will contain many die. Wafers are fabricated by two types of companies - IDMs which design and fabricate wafers using their own in-house manufacturing facilities, and contract foundries which manufacture wafers that are designed by fabless companies or other customers.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packaging and test services we provide occur subsequent to wafer fabrication. The wafers that we receive from our customers are generally consigned to us; we do not own the consigned wafers or record their value in our financial statements. During wafer probe, each individual die is electrically tested, or probed, for defects. Packaging is the processing of bare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die to facilitate electrical connections and heat dissipation and protect the die. The wafer is separated into individual die. Each good die is then assembled into a package that typically encapsulates the die for protection and creates the electrical connections used to connect the package to a printed circuit board, module or other part of the electronic device. In some packages, chips are attached to a substrate or leadframe carrier through wirebonding or flip chip interconnects and then encased in a protective material. Or, for a wafer-level package, the electrical interconnections are created directly on the surface of the die so that the chip may be attached directly to other parts of an electronic device without a substrate or leadframe. The packages are then tested using sophisticated equipment to ensure that each packaged chip meets its design and performance specifications.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Packaging and Test Technologies and Processes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employ wirebond, flip chip, copper clip and other interconnect technologies. We use leadframe and substrate package carriers, and we perform a variety of test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Interconnect Technologies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Wirebond: </w:t>
      </w:r>
      <w:r>
        <w:rPr>
          <w:rFonts w:ascii="Arial" w:cs="Arial" w:eastAsia="Arial" w:hAnsi="Arial"/>
          <w:sz w:val="18"/>
          <w:szCs w:val="18"/>
          <w:color w:val="auto"/>
        </w:rPr>
        <w:t>In packages that employ wirebond interconnect technology, the die is mounted face up on the package carrier and the interconnections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 die and package carrier are made through very fine gold, silver or copper wires which are attached from the bond pads of the die to the package carrier. The interconnections are placed along the perimeter of the die. Wirebonding is generally considered to be the most cost-effective and flexible interconnect technology and is used to assemble the majority of semiconductor packages.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Flip Chip: </w:t>
      </w:r>
      <w:r>
        <w:rPr>
          <w:rFonts w:ascii="Arial" w:cs="Arial" w:eastAsia="Arial" w:hAnsi="Arial"/>
          <w:sz w:val="17"/>
          <w:szCs w:val="17"/>
          <w:color w:val="auto"/>
        </w:rPr>
        <w:t>In packages that employ flip chip interconnect technology, the interconnections between the die and package carrier are made through conductive</w:t>
      </w:r>
      <w:r>
        <w:rPr>
          <w:rFonts w:ascii="Arial" w:cs="Arial" w:eastAsia="Arial" w:hAnsi="Arial"/>
          <w:sz w:val="17"/>
          <w:szCs w:val="17"/>
          <w:i w:val="1"/>
          <w:iCs w:val="1"/>
          <w:color w:val="auto"/>
        </w:rPr>
        <w:t xml:space="preserve"> </w:t>
      </w:r>
      <w:r>
        <w:rPr>
          <w:rFonts w:ascii="Arial" w:cs="Arial" w:eastAsia="Arial" w:hAnsi="Arial"/>
          <w:sz w:val="17"/>
          <w:szCs w:val="17"/>
          <w:color w:val="auto"/>
        </w:rPr>
        <w:t>“bumps” that are placed directly on the die surface utilizing a process called wafer bumping. The bumped die is then “flipped over” and placed face down, with the bumps connecting directly to the package carrier. Flip chip allows a higher number of interconnects than wirebond as it uses the entire surface area of the die, and sometimes the perimeter as well, instead of just the perimeter as used by most wirebond packages. Flip chip also provides enhanced thermal and electrical performance, and enables smaller die and thinner, smaller form factors (or physical package dimensions).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wafer bumping process consists of preparing the wafer for bumping and forming or placing the bumps. Preparation may include cleaning, removing insulating oxides and providing a pad metallurgy that will protect the interconnections while making good mechanical and electrical connection between the bump and the wafer.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Copper Clip</w:t>
      </w:r>
      <w:r>
        <w:rPr>
          <w:rFonts w:ascii="Arial" w:cs="Arial" w:eastAsia="Arial" w:hAnsi="Arial"/>
          <w:sz w:val="18"/>
          <w:szCs w:val="18"/>
          <w:color w:val="auto"/>
        </w:rPr>
        <w:t>: Copper clip interconnect technology uses a solid copper bridge or “clip” to connect the die to the package carrier. The clip allows a higher level</w:t>
      </w:r>
      <w:r>
        <w:rPr>
          <w:rFonts w:ascii="Arial" w:cs="Arial" w:eastAsia="Arial" w:hAnsi="Arial"/>
          <w:sz w:val="18"/>
          <w:szCs w:val="18"/>
          <w:i w:val="1"/>
          <w:iCs w:val="1"/>
          <w:color w:val="auto"/>
        </w:rPr>
        <w:t xml:space="preserve"> </w:t>
      </w:r>
      <w:r>
        <w:rPr>
          <w:rFonts w:ascii="Arial" w:cs="Arial" w:eastAsia="Arial" w:hAnsi="Arial"/>
          <w:sz w:val="18"/>
          <w:szCs w:val="18"/>
          <w:color w:val="auto"/>
        </w:rPr>
        <w:t>of current flow than a wire and also provides a better method of heat transfer from the die. The clip is either spot welded, or more often re-flow soldered, to the die pads and the package carrier pads.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Package Carriers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Leadframe: </w:t>
      </w:r>
      <w:r>
        <w:rPr>
          <w:rFonts w:ascii="Arial" w:cs="Arial" w:eastAsia="Arial" w:hAnsi="Arial"/>
          <w:sz w:val="17"/>
          <w:szCs w:val="17"/>
          <w:color w:val="auto"/>
        </w:rPr>
        <w:t>A leadframe is a miniature sheet of metal, generally made of copper and silver alloys, on which a pattern of electrical connections (or “leads”)</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cut. The leads are generally placed around the perimeter of the leadframe and are used to connect the package to the system board. The number of leads on an individual leadframe is limited as electrical shorting can occur if the leads are placed too close together.</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Substrate: </w:t>
      </w:r>
      <w:r>
        <w:rPr>
          <w:rFonts w:ascii="Arial" w:cs="Arial" w:eastAsia="Arial" w:hAnsi="Arial"/>
          <w:sz w:val="17"/>
          <w:szCs w:val="17"/>
          <w:color w:val="auto"/>
        </w:rPr>
        <w:t>A substrate is a laminate of either single or multiple layers of epoxy resin, woven glass fibers and metal conductors. Solder bumps provide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electrical connection to the system board. The bumps are typically distributed evenly across the bottom surface of the substrate (called a “ball grid array” format). This allows less distance between individual leads and a higher number of interconnects than leadframe packages.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Test Services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Amkor provides a complete range of semiconductor testing services including wafer testing or probe and final test. We offer a full range of test software, hardware, integration and product engineering services, and we support a range of business models and test capabilities. Substantially all of our test business is derived from testing packages that we assemble.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Wafer Test Services: </w:t>
      </w:r>
      <w:r>
        <w:rPr>
          <w:rFonts w:ascii="Arial" w:cs="Arial" w:eastAsia="Arial" w:hAnsi="Arial"/>
          <w:sz w:val="16"/>
          <w:szCs w:val="16"/>
          <w:color w:val="auto"/>
        </w:rPr>
        <w:t>Wafer test, also referred to as wafer probe, is performed after wafer fabrication or wafer bumping to screen out defective devices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packaging. We offer a range of wafer test coverage that can be tailored based on the cost and complexity of the die, the package and the product. These services range from coarse level screening for major defects all the way up to probing at high digital speeds and can include full radio frequency transmit and receive as well as testing at multiple temperatures. Wafer testing can also involve a range of wafer mapping and inspection operations.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Final Test Services: </w:t>
      </w:r>
      <w:r>
        <w:rPr>
          <w:rFonts w:ascii="Arial" w:cs="Arial" w:eastAsia="Arial" w:hAnsi="Arial"/>
          <w:sz w:val="18"/>
          <w:szCs w:val="18"/>
          <w:color w:val="auto"/>
        </w:rPr>
        <w:t>After the packaging process, final test is performed to ensure that the packaged device meets the customer’s requirements. Final test</w:t>
      </w:r>
      <w:r>
        <w:rPr>
          <w:rFonts w:ascii="Arial" w:cs="Arial" w:eastAsia="Arial" w:hAnsi="Arial"/>
          <w:sz w:val="18"/>
          <w:szCs w:val="18"/>
          <w:i w:val="1"/>
          <w:iCs w:val="1"/>
          <w:color w:val="auto"/>
        </w:rPr>
        <w:t xml:space="preserve"> </w:t>
      </w:r>
      <w:r>
        <w:rPr>
          <w:rFonts w:ascii="Arial" w:cs="Arial" w:eastAsia="Arial" w:hAnsi="Arial"/>
          <w:sz w:val="18"/>
          <w:szCs w:val="18"/>
          <w:color w:val="auto"/>
        </w:rPr>
        <w:t>spans a range of rigor and complexity depending on the device and end market application. More rigorous types of final test include testing multiple times under different electrical and temperature conditions and before and after device reliability stresses, such as burn-in. In addition to electrical testing, specialized solutions are required for packages that also process non-electric stimuli.</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electrical tests are a mix of functional, structural and system-level tests depending on the customer’s requirements and cost and reliability parameters. The electrical test equipment we use includes commercially available automated test equipment, customized and proprietary system level test equipment and innovative types of low cost test equipment developed by Amkor.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Products and Mainstream Products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offer a broad range of advanced and mainstream packaging and test services to our customers. We refer to our flip chip, wafer-level processing and related test services as “Advanced Products”, and our wirebond packaging and related test services as “Mainstream Products”. The following table sets forth, for the periods indicated, the amount of advanced and mainstream packaging and test net sales and the percentage of such net sales: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3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3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(In millions, except percentage of net sales)</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6"/>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Products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Mainstream Products</w:t>
            </w:r>
          </w:p>
        </w:tc>
        <w:tc>
          <w:tcPr>
            <w:tcW w:w="4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2,241</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2,225</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56.6%</w:t>
            </w:r>
          </w:p>
        </w:tc>
      </w:tr>
      <w:tr>
        <w:trPr>
          <w:trHeight w:val="27"/>
        </w:trPr>
        <w:tc>
          <w:tcPr>
            <w:tcW w:w="3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4,316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Effective January 1, 2018, we adopted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utilizing the full retrospective transition method. Unless otherwise indicated, the prior periods presented herein have been revised to reflect this change. For more information, see Note 2 to our Consolidated Financial Statements in Part II,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Advanced Products include flip chip chip scale packages, wafer-level packages and flip chip ball grid array packages. These package families use flip chip interconnect technology so that the die can be connected to a substrate package carrier or, in the case of wafer-level chip scale packages, directly to a printed circuit board.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Flip Chip Chip Scale Package ("FC CSP") Products</w:t>
      </w:r>
      <w:r>
        <w:rPr>
          <w:rFonts w:ascii="Arial" w:cs="Arial" w:eastAsia="Arial" w:hAnsi="Arial"/>
          <w:sz w:val="18"/>
          <w:szCs w:val="18"/>
          <w:color w:val="auto"/>
        </w:rPr>
        <w:t>: FC CSP packages are small form factor packages where the substrate size is not much larger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die itself. The size advantage provided by CSP technologies has made FC CSP an attractive choice for a wide variety of applications that require very small form factors such as smartphones, tablets and other mobile consumer electronic devices.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Flip chip stacked chip scale packages ("FC SCSP") stack a second die on top of the original flip-chip die. The top die is typically a memory device, and wirebond interconnects are used to attach it to the substrate. FC SCSP is frequently used to stack memory on top of digital baseband and applications processors for use in mobile devices.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drive thinner package solutions for our PoP technology through the development of ultra-thin substrates and enhancing our pre-stacking and thin die handling capabilities.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developed fine pitch copper pillar flip chip interconnect technology, which creates interconnections at finer pitches using a plating process to reduce the number of substrate layers to facilitate very thin packages. This innovative solution is also an enabling technology for package stacking with TSVs.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Flip Chip Ball Grid Array ("FC BGA") Products</w:t>
      </w:r>
      <w:r>
        <w:rPr>
          <w:rFonts w:ascii="Arial" w:cs="Arial" w:eastAsia="Arial" w:hAnsi="Arial"/>
          <w:sz w:val="16"/>
          <w:szCs w:val="16"/>
          <w:color w:val="auto"/>
        </w:rPr>
        <w:t>: FC BGA packages are large form factor substrate-based packages which are used where processing power</w:t>
      </w:r>
      <w:r>
        <w:rPr>
          <w:rFonts w:ascii="Arial" w:cs="Arial" w:eastAsia="Arial" w:hAnsi="Arial"/>
          <w:sz w:val="16"/>
          <w:szCs w:val="16"/>
          <w:i w:val="1"/>
          <w:iCs w:val="1"/>
          <w:color w:val="auto"/>
        </w:rPr>
        <w:t xml:space="preserve"> </w:t>
      </w:r>
      <w:r>
        <w:rPr>
          <w:rFonts w:ascii="Arial" w:cs="Arial" w:eastAsia="Arial" w:hAnsi="Arial"/>
          <w:sz w:val="16"/>
          <w:szCs w:val="16"/>
          <w:color w:val="auto"/>
        </w:rPr>
        <w:t>and speed are needed, and small form factors are not required. Our FC BGA packages are assembled around state-of-the-art substrates. Utilizing multiple high density routing layers, laser drilled vias, and ultra-fine line and space metallization, FC BGA substrates have the highest routing density available. The variety of FC BGA package options allows package selection to be tailored to the specific thermal needs of the end product. We offer FC BGA packaging in a variety of product formats to fit a wide range of end application requirements, including networking, storage, computing and consumer applications.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Wafer-level Package Products</w:t>
      </w:r>
      <w:r>
        <w:rPr>
          <w:rFonts w:ascii="Arial" w:cs="Arial" w:eastAsia="Arial" w:hAnsi="Arial"/>
          <w:sz w:val="18"/>
          <w:szCs w:val="18"/>
          <w:color w:val="auto"/>
        </w:rPr>
        <w:t>: We offer three types of wafer-level packages: Wafer-level CSP, wafer-level fan-out and SWIFT.</w:t>
      </w:r>
    </w:p>
    <w:p>
      <w:pPr>
        <w:spacing w:after="0" w:line="225" w:lineRule="exact"/>
        <w:rPr>
          <w:sz w:val="20"/>
          <w:szCs w:val="20"/>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Wafer-level CSP packages (also known as fan-in wafer-level packages) do not utilize a package carrier. The bumped wafer is singulated into individual die, and the wafer-level package is then attached directly to the system board. Wafer-level CSP offers one of the lowest total system costs, enabling higher semiconductor content while leveraging the smallest form factor and one of the highest performing, most reliable, semiconductor package platforms on the market today. We have seen significant growth in our wafer-level CSP business, driven largely by mobile communications. Applications for wafer-level CSP include power management, transceivers, sensors, wireless charging, codecs, and specialty silicon for new or unique functionality.</w:t>
      </w:r>
    </w:p>
    <w:p>
      <w:pPr>
        <w:spacing w:after="0" w:line="193"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Wafer-level fan-out packages (also known as low-density fan-out packages) are utilized for ICs where the die surface area is too small to accommodate all of the bond pads. The fan-out package enlarges the bondable surface area by building a border around the die using low-cost molding compound. Wafer-level CSP and wafer-level fan-out are complementary technologies. Customers can choose between the two package types as their die sizes shrink or grow. With the acquisition of Nanium, we became a leader in low-density fan-out technology.</w:t>
      </w:r>
    </w:p>
    <w:p>
      <w:pPr>
        <w:spacing w:after="0" w:line="171"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Silicon Wafer Integrated Fan-out Technology ("SWIFT", also known as high-density fan-out) replaces a laminate substrate with a thinner structure. SWIFT solutions enable very thin, very small products combining application processors, memory, baseband and other peripheral ICs.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Mainstream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Mainstream Products include leadframe packages, substrate-based wirebond packages and MEMS packages. These package families use wirebond interconnect technology to connect a die to a leadframe or substrate package carrier.</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Leadframe Packages: </w:t>
      </w:r>
      <w:r>
        <w:rPr>
          <w:rFonts w:ascii="Arial" w:cs="Arial" w:eastAsia="Arial" w:hAnsi="Arial"/>
          <w:sz w:val="17"/>
          <w:szCs w:val="17"/>
          <w:color w:val="auto"/>
        </w:rPr>
        <w:t>Leadframe packages use wirebond or flip chip technology to interconnect a die to a leadframe package carrier. Leadframe packages are</w:t>
      </w:r>
      <w:r>
        <w:rPr>
          <w:rFonts w:ascii="Arial" w:cs="Arial" w:eastAsia="Arial" w:hAnsi="Arial"/>
          <w:sz w:val="17"/>
          <w:szCs w:val="17"/>
          <w:i w:val="1"/>
          <w:iCs w:val="1"/>
          <w:color w:val="auto"/>
        </w:rPr>
        <w:t xml:space="preserve"> </w:t>
      </w:r>
      <w:r>
        <w:rPr>
          <w:rFonts w:ascii="Arial" w:cs="Arial" w:eastAsia="Arial" w:hAnsi="Arial"/>
          <w:sz w:val="17"/>
          <w:szCs w:val="17"/>
          <w:color w:val="auto"/>
        </w:rPr>
        <w:t>used in many electronic devices and remain the most practical and cost-effective solution for many low to medium pin count applications.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Traditional leadframe packages support a wide variety of device types and applications. Two of our most popular traditional leadframe package types are small outline integrated circuit and quad flat package, commonly known as “dual” and “quad” products, respectively, based upon the number of sides from which the leads extend. The traditional leadframe package family has evolved from “through hole design,” where the leads are plugged into holes on the circuit board to “surface mount design,” where the leads are soldered to the surface of the circuit board. We offer a wide range of lead counts and body sizes to satisfy variations in the size of customers’ semiconductor devices.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 a process of continuous engineering and customization, we have designed several leadframe package types that are thinner and smaller than traditional leadframe packages and can accommodate more leads on the perimeter of the package. These leadframe packages typically have superior thermal and electrical characteristics, which allow them to dissipate heat generated by high-powered semiconductor devices while providing enhanced electrical connectivity. We are developing increasingly smaller versions of these packages to keep pace with continually shrinking semiconductor device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sizes and demand for miniaturization of portable electronic products. One of our more successful leadframe package offerings is the </w:t>
      </w:r>
      <w:r>
        <w:rPr>
          <w:rFonts w:ascii="Arial" w:cs="Arial" w:eastAsia="Arial" w:hAnsi="Arial"/>
          <w:sz w:val="18"/>
          <w:szCs w:val="18"/>
          <w:i w:val="1"/>
          <w:iCs w:val="1"/>
          <w:color w:val="auto"/>
        </w:rPr>
        <w:t>Micro</w:t>
      </w:r>
      <w:r>
        <w:rPr>
          <w:rFonts w:ascii="Arial" w:cs="Arial" w:eastAsia="Arial" w:hAnsi="Arial"/>
          <w:sz w:val="18"/>
          <w:szCs w:val="18"/>
          <w:color w:val="auto"/>
        </w:rPr>
        <w:t>LeadFrame family of quad flat no lead packages.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Power discrete devices use a leadframe as the package carrier and primarily use wirebond interconnect technology. However, power applications that require improved thermal and electrical performance will use packaging with copper clip interconnect technology.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Substrate-based Wirebond Packages</w:t>
      </w:r>
      <w:r>
        <w:rPr>
          <w:rFonts w:ascii="Arial" w:cs="Arial" w:eastAsia="Arial" w:hAnsi="Arial"/>
          <w:sz w:val="18"/>
          <w:szCs w:val="18"/>
          <w:color w:val="auto"/>
        </w:rPr>
        <w:t>: Substrate-based wirebond packages use wirebond technology to connect a die to a substrate. Some of our packages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category include stacked CSP, wirebond ball grid array packages and plastic ball grid array ("PBGA") packages.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Stacked CSP technology enables the stacking of a wide range of different semiconductor devices to deliver high levels of silicon integration and area efficiency. Stacked CSP utilizes high density thin core substrates and advanced materials, along with leading-edge wafer thinning, die attach, and molding capabilities to stack multiple die on a substrate. Stacked CSP is ideal for memory, including NAND and DRAM memory, and mixed signal applications.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Wirebond ball grid array packages offer a broad selection of ball array pitches, ball counts and body sizes, single and multi-die layouts, stacked die and passive component integration. They are applicable for a wide range of semiconductors requiring a smaller package size than conventional PBGAs or leadframe packages.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Plastic ball grid array packages are used in applications requiring higher pin count than leadframe packages, but typically have lower pin counts than flip chip. PBGA packages are designed for low inductance, improved thermal operation and enhanced surface-mount technology ability. Custom performance enhancements, like ground and power planes, are also available.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Micro-Electro-Mechanical Systems Packages</w:t>
      </w:r>
      <w:r>
        <w:rPr>
          <w:rFonts w:ascii="Arial" w:cs="Arial" w:eastAsia="Arial" w:hAnsi="Arial"/>
          <w:sz w:val="18"/>
          <w:szCs w:val="18"/>
          <w:color w:val="auto"/>
        </w:rPr>
        <w:t>: MEMS are miniaturized mechanical and electro-mechanical devices that can sense and provide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physical world and sometimes trigger a response. Examples of MEMS devices include microphones, accelerometers, airbag deployment sensors, gyrometers, magnetometers, and humidity, temperature and pressure sensors. We also specialize in sensor fusion products which utilize our cavity MEMS platform and combine multiple sensors into a single package. MEMS packages leverage our expertise in wafer thinning, die stacking, wirebonding and flip chip interconnect to deliver sophisticated products with a very small form factor.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System-in-Package Modules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Advanced SiP modules combine multiple semiconductor and other electronic components with different functionalities into a single package. These modules use wirebond, flip chip or wafer-level interconnect technologies. Components can include passive devices (inductors, capacitors, resistors, filters and diplexers), antennas and mechanical parts.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increasing demand for miniaturization and higher functionality at competitive cost is driving the adoption of advanced SiP in new products. Advanced SiP modules are used for many applications such as RF and front end modules, basebands, connectivity, fingerprint sensors, display and touch screen drivers, sensors and MEMS, NAND memory and solid state drives. Advanced SiP modules are found in many products including smartphones and tablets, automobiles, wearable electronics, high-performance gaming systems, computers and network systems.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2018, 2017 and 2016, we had net sales of approximately $990 million, $840 million and $770 million, respectively, from our advanced SiP modules which are included in either Advanced Products or Mainstream Products depending upon the interconnect technology used in the module.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lists the end markets that use our products and sets forth, for the periods indicated, the percentage of net sales in each end market. All prior periods have been retrospectively recast to conform with current year presentation.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2016</w:t>
            </w:r>
          </w:p>
        </w:tc>
      </w:tr>
      <w:tr>
        <w:trPr>
          <w:trHeight w:val="206"/>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4"/>
              </w:rPr>
              <w:t xml:space="preserve">End Market Distribution Data </w:t>
            </w:r>
            <w:r>
              <w:rPr>
                <w:rFonts w:ascii="Arial" w:cs="Arial" w:eastAsia="Arial" w:hAnsi="Arial"/>
                <w:sz w:val="16"/>
                <w:szCs w:val="16"/>
                <w:color w:val="auto"/>
                <w:w w:val="94"/>
              </w:rPr>
              <w:t>(an approximation including representative devices and applications based on a sampling of</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our largest customers):</w:t>
            </w: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Communications (smart phones, tablets, handheld devices)</w:t>
            </w: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 industrial and other (driver assist, infotainment, safety, performance)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Computing (data center, infrastructure, PC/laptops, storage)</w:t>
            </w: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(set-top boxes, televisions, connected home, personal electronics, visual imaging)</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8320" w:type="dxa"/>
            <w:vAlign w:val="bottom"/>
          </w:tcPr>
          <w:p>
            <w:pPr>
              <w:ind w:left="40"/>
              <w:spacing w:after="0"/>
              <w:rPr>
                <w:sz w:val="20"/>
                <w:szCs w:val="20"/>
                <w:color w:val="auto"/>
              </w:rPr>
            </w:pPr>
            <w:r>
              <w:rPr>
                <w:rFonts w:ascii="Arial" w:cs="Arial" w:eastAsia="Arial" w:hAnsi="Arial"/>
                <w:sz w:val="16"/>
                <w:szCs w:val="16"/>
                <w:color w:val="auto"/>
              </w:rPr>
              <w:t>Total net sales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8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efforts focus on developing new packaging solutions and test services, and improving the efficiency and capabilities of our existing production processes. We believe that technology development is one of the keys to success in the semiconductor packaging and test industry. By concentrating our research and development on our customers’ needs for innovative packages, increased performance and lower cost, we gain opportunities to enter markets early, capture market share and promote our new package offerings as industry standards.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One of our top priorities is developing low-cost packaging solutions for the next generation of mobile devices, which minimize material and processing costs, while maximizing yields and reliability. This development effort is particularly important for customers seeking cost-effective alternatives to further silicon-level integration. Another important focus area is the development of wafer-level packages for larger chips. These wafer-level chip-scale packages and wafer-level fan-out (low density) packages are increasingly the preferred package type for many chips used in mobile devices. They provide a very low-profile product at a competitive cost. We are also developing integrated (high density) wafer-level fan-out solutions called SWIFT which enable very thin, very small products by combining application processors, memory, baseband and other peripheral ICs into one packaged module. Through the use of die partitioning and heterogeneous die integration, these sub-system and system modules provide higher functionality at lower cost versus multi-package options.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employees are located throughout Asia and in the United States and Portugal. In 2018, we had approximately 600 employees engaged in research and development activities. In 2018, 2017 and 2016, we incurred $157.2 million, $166.6 million and $117.2 million, respectively, of research and development expense. The 2017 increase was primarily due to development and other costs associated with our new K5 factory and research and development facility in Korea.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sales offices are located throughout Asia, Europe and North America. Our support personnel manage and promote our packaging and test services and provide key customer and technical support. To provide comprehensive sales and customer service, we typically assign our customers a direct support team consisting of an account manager, technical program manager, test program manager and both field and factory customer support representatives. We also support our largest multinational customers from multiple office locations to ensure that we are aligned with their global operational and business requirements.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 support teams are further supported by an extended staff of product, process, quality and reliability engineers, as well as marketing and advertising specialists, information systems technicians and factory personnel. Together, these direct and extended support teams deliver an array of services to our customers.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sales have generally been higher in the second half of the year than in the first half due to the effect of consumer buying patterns in the U.S., Europe and Asia and the timing of flagship mobile device launches. In addition, semiconductor companies generally reduce their production during the holidays at the end of December which generally results in a decrease in packaging and test services during the first quarter. General economic conditions, changes in our supply chain or overall demand in any of our end-markets can impact our seasonality.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we had approximately 275 customers, including many of the largest semiconductor companies in the world. Our ten largest customers accounted for 62% of our net sales in 2018. Toshiba accounted for more than 10% of our net sales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materials are used primarily for packaging activities. Our packaging operations depend upon obtaining adequate supplies of materials on a timely basis. The principal materials used in our packaging process are leadframes, laminate substrates, gold and copper wire, mold compound, epoxy, tubes and trays. The silicon wafer is generally consigned from the customer. We generally do not take ownership of the customer consigned wafer, and title and risk of loss remains with the customer for these materials. Test materials constitute a very small portion of our total test cost. We purchase materials based on customer forecasts, and our customers are generally responsible for any unused materials which we purchased based on such forecasts.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obtain the materials required for packaging services from various suppliers. We source most of our materials, including critical materials such as leadframes, laminate substrates and gold wire, from a limited group of suppliers. We work closely with our primary material suppliers in an effort to ensure consistent quality and that materials are available and delivered on time. We also negotiate world-wide pricing agreements with our major suppliers to take advantage of the scale of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ability to meet the changing demand from our customers for manufacturing capacity depends upon obtaining packaging and test equipment in a timely manner. We work closely with our main equipment suppliers to coordinate the ordering and delivery of equipment to meet our expected capacity needs.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types of equipment used in providing our packaging services are wirebonders and die bonders. In addition, we maintain a variety of other packaging equipment, including mold, singulation, die attach, ball attach and wafer backgrind, along with numerous other types of manufacturing equipment. A substantial portion of our packaging equipment base can generally be used and adapted to support the manufacture of many of our packages through the use of relatively low cost tooling, although equipment used in advanced packaging can be more difficult to redeploy than equipment used in traditional wirebond packaging.</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purchase wafer bumping equipment to facilitate our flip chip and wafer level packaging services. Wafer bump equipment includes sputter and spin coaters, electroplating equipment, reflow ovens and other types of equipment. This equipment tends to have longer lead times for delivery and installation than other packaging equipment and is sold in relatively larger increments of capacity.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equipment used in the testing process includes testers, handlers and probers. Handlers are used to transfer individual or small groups of packaged ICs to a tester. Test equipment is generally a more capital intensive portion of the process and tends to have longer delivery lead times than most types of packaging equipment. We focus our capital expenditures on standardized tester platforms in order to maximize test equipment utilization where possible. In some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cases, our customers will consign test equipment to us. In those cases, we operate the equipment on their behalf but do not own 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semiconductor packaging process uses chemicals, materials and gases and generates byproducts that are subject to extensive governmental regulations. For example,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The usage of lead (Pb) has decreased over the past few years, as we have ramped volume production of alternative lead (Pb)-free processes. Our operations are subject to numerous laws and regulations governing the protection of the environment, disposal of waste, discharges into water, emissions into the atmosphere and the protection of employee health and safety. Future regulations may impose stricter environmental requirements on the semiconductor packaging and test industry and may require additional capital investment.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engaged in a continuing program to assure compliance with federal, state and local environmental laws and regulations. We do not expect that capital expenditures or other costs attributable to compliance with environmental laws and regulations will have a material adverse effect on our business, liquidity, results of operations, financial condition or cash flows.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committed to sound and responsible environmental practices in conducting our business. We are an active member of the Responsible Business Alliance (formerly known as the Electronics Industry Citizenship Coalition), the largest industry organization dedicated to supply chain responsibility. We also continuously engage with our customers and suppliers to improve the sustainability of our operations around the world.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outsourced semiconductor packaging and test market is very competitive. We face substantial competition from established packaging and test service providers primarily located in Asia, including companies with significant manufacturing capacity, financial resources, research and development operations, marketing and other capabilities. These companies include ASE Technology Holding Co., Ltd. and Jiangsu Changjiang Electronics Technology Co., Ltd. Such companies also have developed relationships with most of the world’s largest semiconductor companies, including current or potential customers of Amkor.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compete with the internal semiconductor packaging and test capabilities of many of our customers. Our IDM customers continually evaluate the attractiveness of outsourced services against their own in-house packaging and test services and at times may decide to shift some or all of their outsourced packaging and test services to internally sourced capacity. We also compete with contract foundries, such as Taiwan Semiconductor Manufacturing Company Limited and Samsung Electronics Co., Ltd., which offer full turnkey services from silicon wafer fabrication through packaging and final test. In addition, we compete with companies that offer only test services and not packaging.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elements of competition in the semiconductor packaging and test services market include:</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technical competence;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packaging and test services offered, including turnkey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package and test design, technology innovation and implementation;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cycle times;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service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620" w:firstLine="332"/>
        <w:spacing w:after="0" w:line="465"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available capacity and ability to invest in capacity, geographic location and scale of manufacturing. We believe that we compete favorably with respect to each of these elements.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an active program to protect and derive value from our investment in technology and the associated intellectual property rights. Intellectual property rights that apply to our various products and services include patents, copyrights, trade secrets and trademarks. We have filed and obtained a number of patents in the U.S. and abroad, and their durations vary depending on the jurisdiction in which each patent is filed. Although our patents are an important element of our intellectual property strategy as a whole, we are not materially dependent on any one patent or any one technology. We expect to continue to file patent applications when appropriate to protect our proprietary technologies, but we cannot assure you that we will receive patents from pending or future applications. In addition, any patents we obtain may be challenged, invalidated or circumvented and may not provide meaningful protection or other commercial advantage to us.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protect and maintain the confidentiality of certain information about our processes, products and strategies which we believe provides us with a competitive advantage. We have ongoing programs designed to maintain the confidentiality of such information. Further, to distinguish our products from our competitors’ products, we have obtained certain trademarks and service marks and may promote our particular brands through advertising and other marketing techniques.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Amkor had approximately 30,850 full-time employees. We believe that our relations with our employees are good, and we have not experienced a work stoppage in any of our factories. Our employees in the Philippines, Singapore, Taiwan and the U.S. are not represented by any union. Certain employees at our factories in China, Japan, Korea, Malaysia and Portugal are members of a union, and we operate subject to collective bargaining agreements that we have entered into with these unions.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Annual Report on Form 10-K. You should carefully consider the risks and uncertainties described below, together with all of the other information included in this report, in considering our business and prospects. The risks and uncertainties described below are not the only ones facing Amkor. Additional risks and uncertainties not presently known to us may also impair our business operations. The occurrence of any of the following risks could affect our business, liquidity, results of operations, financial condition or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the Highly Cyclical Semiconductor Industry - We Operate in Volatile Industries and Industry Downturns and Declines in Global Economic and Financial Conditions Could Harm Our Performance.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we compete in experience slower, or even negative growth, our business and results of operations may be adversely affected.</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consumer electronics, or computing, could have a material adverse effect on our business and operating results. During downturns, we have experienced, among other things, reduced demand, excess capacity and reduced sales. For example, generally soft economic conditions and a lack of compelling new mobile products constrained overall demand during 2015. In addition, we believe that there is an inventory correction currently underway in the smartphone market in the first quarter of 2019 and that the general semiconductor market is going through a normal cyclical correction. Macroeconomic uncertainties and a cautious business climate are also expected to constrain the revenue growth in our business. It is difficult to predict the timing, strength or duration of any economic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factors, including the impact of adverse economic conditions,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gross profit, operating income and cash flows have historically fluctuated significantly from quarter to quarter as a result of many of the following factors, over which we have little or no control and which we expect to continue to impact our business:</w:t>
      </w:r>
    </w:p>
    <w:p>
      <w:pPr>
        <w:spacing w:after="0" w:line="116"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expanding our sales to customers in Greater China and, in particular, in the mid-level and entry-level tiers of the mobile device market; and increasing our share of the automotive market;</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labor costs to perform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 leverage and restrictive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political instability and government shutdowns, civil disturbances or environmental or natural events, such as earthquakes like the recent ones in Japan, that impact our operations, and international events, such as the United Kingdom's vote to leave the European Union;</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pandemic illnesses that may impact our labor force and our ability to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interest rates and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often difficult to predict the impact of these factors upon our results for a particular period. These factors may have a material and adverse effect on our business, liquidity, results of operations, financial condition and cash flows or lead to significant variability of quarterly or annual operating results. In addition, these factors may adversely affect our credit ratings which could make it more difficult and expensive for us to raise capital and could adversely affect the price of our securities.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1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demand resulting from deteriorating conditions in local economies;</w:t>
      </w:r>
    </w:p>
    <w:p>
      <w:pPr>
        <w:spacing w:after="0" w:line="171"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laws, rules, regulations and policies imposed by U.S. or foreign governments, such as tariffs, customs, duties and other restrictive trade barriers, national security, data privacy and cybersecurity, antitrust and competition, tax, currency and banking, labor, environmental, health and safety, and in particular the recent increase in tariffs, customs, duties and other restrictive trade barriers considered or adopted by U.S. and foreign governments;</w:t>
      </w:r>
    </w:p>
    <w:p>
      <w:pPr>
        <w:spacing w:after="0" w:line="92"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payment of dividends and other payments by non-U.S. subsidiaries may be subject to prohibitions, limitations or taxes in local jurisdictions;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J-Devices;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foreign jurisdictions in which we operate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particular, 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a recent rise in tensions within and among other countries in the region.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Customer Capabilities and May Face Competition from New Competitors, Including Foundries.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the People’s Republic of China, or the PRC, where there are government-supported efforts to promote the development and growth of the local semiconductor industry. For example, STATS ChipPAC was acquired in 2015 by Jiangsu Electronics Technology Co., Ltd., a local PRC company.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For example, Advanced Semiconductor Engineering, Inc. and Siliconware Precision Industries Co., Ltd. became sister companies under a new joint holding company, ASE Technology Holding Co. LTD., in April 2018.</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face competition from the internal capabilities and capacity of many of our current and potential IDM and foundry customers. In addition, we compete with contract foundries, such as Taiwan Semiconductor Manufacturing Company Limited and Samsung Electronics Co., Ltd., which offer full turnkey services from silicon wafer fabrication through packaging and final test. These semiconductor foundries, which are substantially larger and have greater financial resources than we do, have expanded their operations to include packaging and test services, and may continue to expand these capabilities in the future.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for packaging and test services, or that our business, liquidity, results of operations, financial condition and cash flows will not be adversely affected by such increased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characterized by relatively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In periods of low demand, we experience relatively low capacity utilization in our operations, which leads to reduced margins during that period. Transitions between different packaging technologies, such as the transition from gold wirebond to flip chip and copper wirebond packages, can also impact our capacity utilization if we do not efficiently redeploy our equipment for other packaging and test opportunities. For example, in 2011 the migration of some customer demand from wirebond to flip chip packages resulted in under-utilized wirebond assets which negatively impacted our capacity utilization and gross margin. We cannot assure you that we will be able to achieve consistently high capacity utilization, and if we fail to do so, our gross margins will be negatively impacted. If our gross margins decrease, our business, liquidity, results of operations, financial condition and cash flows could be materially adversely affected.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fixed operating costs have increased in recent years in part as a result of our efforts to expand our capacity through significant capital expenditures. Forecasted customer demand for which we have made capital investments may not materialize, especially if industry conditions deteriorate. As a result, our sales may not adequately cover fixed costs resulting in reduced profit levels or causing significant losses, both of which may adversely impact our business, liquidity,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 Our Failure to Meet Our Guidance or Analyst Projections Could Adversely Impact the Trading Prices of Our Securities.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periodically provide guidance to investors with respect to certain financial information for future periods. Securities analysts also periodically publish their own projections with respect to our future operating results. As discussed above under “Fluctuations in Operating Results and Cash Flows - Our Operating Results and Cash Flows Have Varied and May Vary Significantly as a Result of Factors That We Cannot Control,” our operating results and cash flows vary significantly and are difficult to accurately predict. Volatility in customer forecasts and fluctuations in global consumer demand make it particularly difficult to predict future results. Further, providing guidance requires us to make estimates and assumptions about such things as revenue, costs and expenses, which may turn out to be incorrect or change. To the extent we fail to meet or exceed our own guidance or the analyst projections for any reason, the trading prices of our securities may be adversely impacted. Moreover, even if we do meet or exceed that guidance or those projections, if analysts and investors do not react favorably, or if analysts were to discontinue providing coverage of our company, the trading prices of our securities may be adversely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Decisions by Our Integrated Device Manufacturer and Foundry Customers to Curtail Outsourcing May Adversely Affect Our Business.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been dependent on the trend in outsourcing of packaging and test services by IDM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reasons IDMs and foundries may shift their outsourced business to internal capacity include:</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their desire to realize higher utilization of their existing packaging and test capacity, especially during downturns in the semiconductor industry;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their unwillingness to disclose proprietary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their possession of more advanced packaging and test technologies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guaranteed availability of their own packaging and test capacity.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downturn in the semiconductor industry, IDMs and foundries could respond by shifting some or all outsourced packaging and test services to internally serviced capacity on a short-term basis. Also, the IDMs and foundries could curtail or reverse the trend of outsourcing packaging and test services. If we experience a significant loss of IDM or foundry business, it could have a material adverse effect on our business, liquidity, results of operations, financial condition and cash flows, especially during a prolonged industry downturn.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significant amount of indebtedness, and the terms of the agreements governing our indebtedness allow us and our subsidiaries to incur more debt, subject to certain limitations. As of December 31, 2018, our total debt balance was $1,332.3 million, of which $114.6 million was classified as a current liability and $537.0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intensify.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 along with the financial and other restrictive covenants in our indebtedness, among other things, our ability to borrow additional funds;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and debt service requirements and other funding needs. Our liquidity is affected by, among other things, the performance of our business, our capital expenditure and other investment levels and our ability to repay debt and other long-term obligations out of our operating cash flows or with the proceeds of debt or equity financings.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in a capital-intensive industry. We had capital expenditures of $547.1 million in 2018. Servicing our current and future customers requires that we incur significant operating expenses and continue to make significant capital expenditures and other investments, which are generally made in advance of the related revenues and without firm customer commitments. Ultimately the actual amount of our capital expenditures for 2019 and thereafter may vary materially and will depend on several factors. These factors include, among others, the amount, timing and implementation of our capital projects, including those under review and those not yet planned, the performance of our business, economic and market conditions, the cash needs and investment opportunities for the business, the need for additional capacity and facilities and the availability of cash flows from operations or financing.</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have a significant level of debt, which requires significant scheduled principal and interest payments in the coming years. The sources funding our operations, including making capital expenditures and other investments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servicing principal and interest obligations with respect to our debt, are cash flows from our operations, existing cash and cash equivalents, borrowings under available debt facilities, or proceeds from any additional debt or equity financing.</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health of the worldwide banking system and capital markets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rising interest rates or adverse economic, political and other global conditions, could also make it difficult or more expensive for us to maintain our existing credit facilities or refinance our debt.</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may be adversely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Restrictive Covenants in the Indentures and Agreements Governing Our Current and Future Indebtedness Could Restrict Our Operating Flexibility.</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subsidiary in Korea maintains an unfunded severance plan under which we have an accrued liability of $142.1 million as of December 31, 2018.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See Note 12 to our Consolidated Financial Statements in Part II, Item 8 of this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Financial Results or Prevent Fraud.</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We must annually evaluate our internal procedures to satisfy the requirements of Section 404 of the Sarbanes-Oxley Act of 2002, which requires management and our independent registered public accounting firm to assess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controls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of any evaluation of effectiveness of internal controls to future periods are subject to the risk that the internal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In December 2015, we acquired the operations of J-Devices, and we integrated those operations into our overall internal control over financial reporting. Although we continue to monitor and assess our internal controls for these systems and operations, there is a risk that deficiencies may occur that could constitute significant deficiencies or, in the aggregate, a material weakness.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which occur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telecommunication failures, user errors, malfeasance or catastrophic events. In addition, security breaches could result in unauthorized disclosure of confidential information. Some of our key software has been developed by our own programmers, and this software may not be easily integrated with other software and systems. From time to time we make additions or changes to our information technology systems. For example, we have implemented new shop floor systems in certain of our factories, and we are integrating J-Devices' information technology systems with our existing systems and processes. In addition, in May 2017, we completed our acquisition of Nanium, and continue to integrate its information technology systems into our existing systems and processes. We face risks in connection with current and future projects to install or integrate new information technology systems or upgrade our existing systems. These risks include:</w:t>
      </w:r>
    </w:p>
    <w:p>
      <w:pPr>
        <w:spacing w:after="0" w:line="11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face delays in the design and implementation of the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the systems may exceed our plans and expectations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resulting from the implementation or integration of the systems may impact our ability to process transactions and delay shipments to customers, impact our results of operations or financial condition or harm our control environment.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could be materially and adversely affected if our information technology systems are disrupted or if we are unable to successfully install new systems or improve, upgrade, integrate or expand upon our existing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Retain or Replace Qualified Employees to Support Our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and operational consolidations, strategic acquisitions, joint ventures and other partnering arrangements. Some of the risks from these activities include those associated with the following:</w:t>
      </w:r>
    </w:p>
    <w:p>
      <w:pPr>
        <w:spacing w:after="0" w:line="1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 other difficulties in the assimilation of acquired operations, technologies or products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For example, in May 2017, we completed the purchase of Nanium, which we are now integrating with our existing operations.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Dependence on Materials and Equipment Suppliers - Our Business May Suffer If the Cost, Quality or Supply of Materials or Equipment Changes Adversely Including Any Disruption that May Occur in the Supply of Certain Materials due to Regulations and Customer Requirements.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obtain from various vendors the materials and equipment required for the packaging and test services performed by our factories. We source most of our materials, including critical materials such as leadframes, laminate substrates and gold wire, from a limited group of suppliers. A disruption to the operations of one or more of our suppliers could have a negative impact on our business. For example, the severe earthquake and tsunami in Japan in 2011 had a significant adverse effect on the electronics industry supply chain by impacting the supply of specialty chemicals, substrates, silicon wafers, equipment and other supplies to the electronics industry. 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 For example, the shortage in the supply of 28 nanometer wafers to some of our customers in 2012 delayed or otherwise adversely impacted the demand for certain of our advanced packaging and test services.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Rules adopted by the SEC implementing the Dodd-Frank Wall Street Reform and Consumer Protection Act impose diligence and disclosure requirements regarding the use of certain minerals originating from the conflict zones of the Democratic Republic of Congo and adjoining countries in our products. Industry associations and many of our customers have implemented initiatives to improve transparency and accountability concerning the supply of these materials and, in some cases, requiring us to certify that the covered materials we use in our packages do not come from the conflict areas. We may incur additional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in sufficient quantities and at competitive prices or that we will be able to verify the origin of all of the materials we use in our manufacturing process. If we are unable to meet these requirements and customer initiatives, it could adversely affect our business as some customers may move their business to other suppliers. Our reputation could also be adversely affected.</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which could have a material adverse effect on our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62% of our net sales for the year ended December 31, 2018, and one customer accounted for more than 10% of our consolidated net sales during the period. In addition, we have significant customer concentration within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end markets. The loss of a significant customer, a business combination among our customers, a reduction in orders or decrease in price from a significant customer or disruption in any of our significant strategic partnerships or other commercial arrangements may result in a decline in our sales and profitability and could have a material adverse effect on our business, liquidity, results of operations, financial condition and cash flows.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Our business is likely to remain subject to this variability in order levels, and we cannot assure you that our key customers or any other customers will continue to place orders with us in the future at the same levels as in past periods.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example, if a key customer decides to purchase wafers from a semiconductor foundry that provides packaging and test services, our business could be reduced if the customer also engages that foundry for related packaging and test services. We cannot assure that customer decisions regarding the purchase of semiconductor wafers will not significantly and adversely impact customer demand for our packaging and test services.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from time to time we may acquire or build new facilities, such as K5, or migrate existing business among our facilities. In connection with these facility changes, our customers require us to re-qualify the new facilities even though we have already qualified to perform the services at our other facilities. We cannot assure that we will successfully re-qualify or that our customers will not qualify our competitors and move the business for such services.</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make significant investments in equipment and facilities in order to service the demand of our customers. For example, we had capital expenditures of $547.1 million in 2018, $550.9 million in 2017 and $650.0 million in 2016. The amount of our capital expenditures depends on several factors, including the performance of our business, our assessment of future industry and customer demand, our capacity utilization levels and availability,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our capital expenditures to increase production capacity will put downward pressure on our gross margin, at least over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margin could be negatively impacted. Our capital expenditures or cost per square foot may increase as we transition to new or more advanced packaging and test technologies because, among other things, new equipment used for these technologies is generally more expensive and often our existing equipment cannot be redeployed in whole or part for these technologies.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w:t>
      </w:r>
    </w:p>
    <w:p>
      <w:pPr>
        <w:spacing w:after="0" w:line="12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financial condition, results of operations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 for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fixed income, credit and equity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political and other global conditions.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lead time needed to order, install and put into service various capital investments is often significant, and, as a result, we often need to commit to capital expenditures in advance of our receipt of firm orders or advance deposits based on our view of anticipated future demand with only very limited visibility. Although we seek to limit our exposure in this regard,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past we have from time to time expended significant capital for additional equipment or facilities for which the anticipated demand did not materialize for a variety of reasons, many of which were outside of our control. To the extent this occurs in the future, our business, liquidity, results of operations, financial condition and cash flows could be materially adversely affected.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during periods where customer demand exceeds our capacity, customers may transfer some or all of their business to other suppliers who are able to support their needs. To the extent this occurs, our business, liquidity, results of operations, financial condition and cash flows could be materially adversely affected.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completed the initial phase of construction of K5 in December 2016, there can be no assurance regarding when the facility will be fully utilized, or that the actual scope, costs, timeline or benefits of the project will be consistent with our expectations.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 - Any Impairment Charges Required Under U.S. GAAP May Have a Material Adverse Effect on Our Net Income.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U.S. GAAP, we review our long-lived assets including property, plant and equipment, intellectual property, goodwill and other intangibles for impairment when events or changes in circumstances indicate the carrying value may not be recoverable. In addition, we review goodwill for impairment annually during the fourth quarter of each year. Factors we consider include significant under-performance relative to expected historical or projected future operating results, significant negative industry or economic trends and our market capitalization relative to net book value. We may be required in the future to record a significant charge to earnings in our financial statements during the period in which any impairment of our long-lived assets is determined. Such charges have had and could have a significant adverse impact on our results of operations and our operating flexibility under our debt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Incident to Our Business Could Adversely Affect 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 party to various legal proceedings, including those described from time to time in our reports filed with the SEC, and may be a party to legal proceedings in the future. These proceedings could require significant management time and resources and, if an unfavorable ruling or outcome were to occur in these legal proceedings, there could be a material adverse impact on our business, liquidity, results of operations, financial condition, cash flows and the trading price of our securities.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In addition, organizations such as the Organisation for Economic Co-operation and Development may, from time to time, propose guidelines regarding transfer pricing and other international tax matters relating to multinational companies like Amkor. Changes in U.S. or foreign tax laws arising out of such proposals or otherwise could have a material adverse impact on our liquidity, results of operations, financial condition and cash flows.</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expense will increase as income from those jurisdictions becomes subject to higher statutory income tax rates, thereby reducing our liquidity and cash flow.</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Enactment of Recent Tax Reform Could Materially Impact Our Financial Position and Results of Operations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Tax Act was signed into law. The Tax Act made significant changes to the U.S. tax code. Changes include a reduction of the U.S. federal corporate tax rate from 35% to 21%, a one-time transition tax on unremitted foreign earnings and profits applicable for our fiscal year ended December 31, 2017, limitations on tax deductions for interest expense for the period beginning January 1, 2018, and changes to other existing deductions and business-related exclusions in future periods. As a result, in the fourth quarter of 2017, we recognized a one-time net tax benefit of approximately $41.6 million, primarily due to the release of a valuation allowance against U.S. deferred tax assets that we expected to realize as a result of the change to the U.S. tax law limiting the deductibility of interest expense. We also incurred charges for the one-time transition tax on our unremitted foreign earnings and profits offset by the anticipated utilization of foreign tax credits. We were also required to re-measure our deferred tax assets based on the new U.S. federal corporate tax rate of 21%. In 2018, we updated our provisional estimate of the impact of the Tax Act, and recorded a $22.3 million income tax expense to complete the accounting for the impact of the Tax Act, reducing our estimated net tax benefit of $41.6 million from 2017. Our accounting for the impact of the Tax Act is now complete in accordance with SEC staff issued Staff Accounting Bulletin No. 118 ("SAB 118"). However, there is uncertainty in the application of many aspects of the Tax Act and additional guidance with respect to the Tax Act may affect our estimates and could have a material impact on our income tax expense.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breadth of semiconductor packaging and test services are rapidly increasing. As a result, we expect that we will need to develop, acquire and implement new manufacturing processes and packaging technologies and tools in order to respond to competitive industry conditions and customer requirements. Technological advances also typically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meaningful protection or other commercial advantage to us.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is characterized by frequent claims regarding the infringement of patent and other intellectual property rights. If any third party makes an enforceable infringement claim against us or our customers, we could be required to:</w:t>
      </w:r>
    </w:p>
    <w:p>
      <w:pPr>
        <w:spacing w:after="0" w:line="11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In the past, we have been involved in legal proceedings involving the acquisition and license of intellectual property rights, the enforcement of our existing intellectual property rights or the enforcement of the intellectual property rights of others, including settled legal proceedings described in more detail in Note 15 to our Consolidated Financial Statements in Part II, Item 8 of this Annual Report on Form 10-K.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Annual Report on Form 10-K on our results of operations, financial condition and cash flows could change in the future.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Defective packages primarily result from:</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Test is also complex and involves sophisticated equipment and software. Similar to many software programs, these software programs are complex and may contain programming errors or “bugs.” The test equipment is also subject to malfunction. In addition, the test process is subject to operator error.</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failure to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in line with industry practice, new customers usually require us to pass a lengthy and rigorous qualification process that may take several months. If we fail to qualify packages with potential customers or existing customers, such failure could have a material adverse effect on our business, results of operations, financial condition and cash flows.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semiconductor packaging process generates byproducts that are subject to extensive governmental regulations.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Environmental, health and safety laws and regulations in places we do business, impose various controls on the use, storage, handling, discharge and disposal of chemicals used in our production processes and on the factories we occupy and are increasingly imposing restrictions on the materials contained in semiconductor products. For example,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existence of hazardous materials on our properties or hazardous substances in the products we manufacture.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greenhouse gas emissions, reductions in waste and wastewater from operations, additional reporting on the materials and components used in the products we manufacture, and the use of renewable energy sources in our factory operations. To comply with these additional requirements, we may need to procure additional equipment or make factory or process changes and our manufacturing costs may increase.</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Political Instability, Hostilities, or Other Disruptions.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significant packaging and test and other operations in China, Japan, Korea, Malaysia, the Philippines, Portugal, Singapore, and Taiwan, which are or could be subject to natural disasters, such as earthquakes, tsunamis, typhoons, floods, droughts, volcanoes and other severe weather and geological events, and other calamities, such as fire; the outbreak of infectious diseases (such as Ebola, SARS or flu); industrial strikes; breakdowns of equipment; difficulties or delays in obtaining materials, equipment, utilities and services; political events or instability; acts of war, armed conflict, terrorist incidents and other hostilities, including any such events that may arise out of increased tensions involving North Korea or in other regions where we have facilities; industrial accidents and other events, that could disrupt or even shutdown our operations. In addition, our suppliers and customers also have significant operations in such locations. In the event of such a disruption or shutdown, we may be unable to reallocate production to other facilities in a timely or cost-effective manner (if at all) and we may not have sufficient capacity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We also incurred earthquake related costs for damaged inventory, buildings and equipment.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Although we maintain insurance policies for various types of property, casualty and other risks, we do not carry insurance for all the above referred risks, and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2018, Mr. James J. Kim, the Executive Chairman of our Board of Directors, Mr. John T. Kim, the Executive Vice Chairman of our Board of Directors, Ms. Susan Y. Kim, member of our Board of Directors, and members of the Kim family and affiliates owned approximately 141.6 million shares, or approximately 59%, of our outstanding common stock. The Kim family also has options to acquire approximately 0.4 million shares. If the options are exercised, the Kim family's total ownership would be an aggregate of approximately 142.0 million shares of our outstanding common stock or approximately 59% of our outstanding common stock.</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2013, the Kim family exchanged their convertible notes issued by Amkor for approximately 49.6 million shares of common stock (the "Convert Shares"). The Convert Shares are subject to a voting agreement. The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executive offices, which are leased, are located in Tempe, Arizona. The location and size of our manufacturing and research and development facilities are set forth in the table below. All facilities are owned unless otherwise specified. Generally, our facilities are collateral for indebtedness incurred by our subsidiary for the jurisdiction in which the facilities are located.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Approximate Facility Size</w:t>
            </w:r>
          </w:p>
        </w:tc>
        <w:tc>
          <w:tcPr>
            <w:tcW w:w="1480" w:type="dxa"/>
            <w:vAlign w:val="bottom"/>
          </w:tcPr>
          <w:p>
            <w:pPr>
              <w:spacing w:after="0"/>
              <w:rPr>
                <w:sz w:val="14"/>
                <w:szCs w:val="14"/>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(Square Feet)</w:t>
            </w:r>
          </w:p>
        </w:tc>
        <w:tc>
          <w:tcPr>
            <w:tcW w:w="1480" w:type="dxa"/>
            <w:vAlign w:val="bottom"/>
            <w:tcBorders>
              <w:bottom w:val="single" w:sz="8" w:color="auto"/>
            </w:tcBorders>
          </w:tcPr>
          <w:p>
            <w:pPr>
              <w:spacing w:after="0"/>
              <w:rPr>
                <w:sz w:val="16"/>
                <w:szCs w:val="16"/>
                <w:color w:val="auto"/>
              </w:rPr>
            </w:pPr>
          </w:p>
        </w:tc>
      </w:tr>
      <w:tr>
        <w:trPr>
          <w:trHeight w:val="270"/>
        </w:trPr>
        <w:tc>
          <w:tcPr>
            <w:tcW w:w="67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6"/>
                <w:szCs w:val="16"/>
                <w:b w:val="1"/>
                <w:bCs w:val="1"/>
                <w:color w:val="auto"/>
              </w:rPr>
              <w:t>Owned</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Leased</w:t>
            </w:r>
          </w:p>
        </w:tc>
        <w:tc>
          <w:tcPr>
            <w:tcW w:w="148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6"/>
                <w:szCs w:val="16"/>
                <w:b w:val="1"/>
                <w:bCs w:val="1"/>
                <w:color w:val="auto"/>
              </w:rPr>
              <w:t>Total</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China (1)</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1,325,000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1,325,000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1,683,000</w:t>
            </w:r>
          </w:p>
        </w:tc>
        <w:tc>
          <w:tcPr>
            <w:tcW w:w="16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329,000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Korea</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3,917,000</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3,917,000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Malaysia (1)</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Philippines (2)</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763,000</w:t>
            </w:r>
          </w:p>
        </w:tc>
        <w:tc>
          <w:tcPr>
            <w:tcW w:w="1600" w:type="dxa"/>
            <w:vAlign w:val="bottom"/>
            <w:gridSpan w:val="2"/>
          </w:tcPr>
          <w:p>
            <w:pPr>
              <w:jc w:val="right"/>
              <w:ind w:right="14"/>
              <w:spacing w:after="0"/>
              <w:rPr>
                <w:sz w:val="20"/>
                <w:szCs w:val="20"/>
                <w:color w:val="auto"/>
              </w:rPr>
            </w:pPr>
            <w:r>
              <w:rPr>
                <w:rFonts w:ascii="Arial" w:cs="Arial" w:eastAsia="Arial" w:hAnsi="Arial"/>
                <w:sz w:val="18"/>
                <w:szCs w:val="18"/>
                <w:color w:val="auto"/>
              </w:rPr>
              <w:t>557,000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1,320,000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Portugal</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Taiwan</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1,005,000</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1,005,000</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all facilities</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9,617,000</w:t>
            </w:r>
          </w:p>
        </w:tc>
        <w:tc>
          <w:tcPr>
            <w:tcW w:w="160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886,000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10,503,000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740" w:hanging="40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Land is leased.</w:t>
      </w:r>
    </w:p>
    <w:p>
      <w:pPr>
        <w:spacing w:after="0" w:line="171" w:lineRule="exact"/>
        <w:rPr>
          <w:rFonts w:ascii="Arial" w:cs="Arial" w:eastAsia="Arial" w:hAnsi="Arial"/>
          <w:sz w:val="18"/>
          <w:szCs w:val="18"/>
          <w:color w:val="auto"/>
        </w:rPr>
      </w:pPr>
    </w:p>
    <w:p>
      <w:pPr>
        <w:ind w:left="740" w:right="20" w:hanging="408"/>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result of foreign ownership restrictions in the Philippines, the land is leased. A portion of the land we lease is owned by realty companies in which we own a 40% interest.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existing properties are in good condition and suitable for the conduct of our business and that the productive capacity of such properties is substantially being utilized or we have plans to utilize it.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may become involved in various disputes and litigation matters that arise in the ordinary course of our business. These include disputes and lawsuits related to intellectual property, acquisitions, licensing, contracts, tax, regulatory, employee relations and other matters. For a discussion of “Legal Proceedings,” see Note 15 to our Consolidated Financial Statements in Part II, Item 8 of this Annual Report on Form 10-K.</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“AMKR”. There were approximately 122 holders of record of our common stock as of February 15,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our public offering in 1998, we have never paid a dividend to our stockholders, and we do not have any present plans for doing so. In addition, certain of our debt agreements limit our ability to pay dividends. Refer to the Liquidity and Capital Resources section in Item 7 of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regarding equity compensation plans is set forth in Part III, Item 12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9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 Shares</w:t>
            </w:r>
          </w:p>
        </w:tc>
        <w:tc>
          <w:tcPr>
            <w:tcW w:w="1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Average Price Paid Per Share</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80" w:type="dxa"/>
            <w:vAlign w:val="bottom"/>
          </w:tcPr>
          <w:p>
            <w:pPr>
              <w:spacing w:after="0"/>
              <w:rPr>
                <w:sz w:val="12"/>
                <w:szCs w:val="12"/>
                <w:color w:val="auto"/>
              </w:rPr>
            </w:pPr>
          </w:p>
        </w:tc>
        <w:tc>
          <w:tcPr>
            <w:tcW w:w="1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Period</w:t>
            </w:r>
          </w:p>
        </w:tc>
        <w:tc>
          <w:tcPr>
            <w:tcW w:w="19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Purchased (a)</w:t>
            </w:r>
          </w:p>
        </w:tc>
        <w:tc>
          <w:tcPr>
            <w:tcW w:w="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October 31</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November 1 - November 30</w:t>
            </w:r>
          </w:p>
        </w:tc>
        <w:tc>
          <w:tcPr>
            <w:tcW w:w="1920" w:type="dxa"/>
            <w:vAlign w:val="bottom"/>
          </w:tcPr>
          <w:p>
            <w:pPr>
              <w:jc w:val="right"/>
              <w:spacing w:after="0"/>
              <w:rPr>
                <w:sz w:val="20"/>
                <w:szCs w:val="20"/>
                <w:color w:val="auto"/>
              </w:rPr>
            </w:pPr>
            <w:r>
              <w:rPr>
                <w:rFonts w:ascii="Arial" w:cs="Arial" w:eastAsia="Arial" w:hAnsi="Arial"/>
                <w:sz w:val="18"/>
                <w:szCs w:val="18"/>
                <w:color w:val="auto"/>
              </w:rPr>
              <w:t>5,424</w:t>
            </w:r>
          </w:p>
        </w:tc>
        <w:tc>
          <w:tcPr>
            <w:tcW w:w="5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6.61</w:t>
            </w:r>
          </w:p>
        </w:tc>
        <w:tc>
          <w:tcPr>
            <w:tcW w:w="1920" w:type="dxa"/>
            <w:vAlign w:val="bottom"/>
          </w:tcPr>
          <w:p>
            <w:pPr>
              <w:ind w:left="1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December 31</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57"/>
        </w:trPr>
        <w:tc>
          <w:tcPr>
            <w:tcW w:w="3660" w:type="dxa"/>
            <w:vAlign w:val="bottom"/>
          </w:tcPr>
          <w:p>
            <w:pPr>
              <w:ind w:left="280"/>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5,424</w:t>
            </w:r>
          </w:p>
        </w:tc>
        <w:tc>
          <w:tcPr>
            <w:tcW w:w="5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6.61</w:t>
            </w:r>
          </w:p>
        </w:tc>
        <w:tc>
          <w:tcPr>
            <w:tcW w:w="1920" w:type="dxa"/>
            <w:vAlign w:val="bottom"/>
            <w:tcBorders>
              <w:top w:val="single" w:sz="8" w:color="auto"/>
              <w:bottom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vesting of restricted shares issued to employees.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Board of Directors previously authorized the repurchase of up to $300.0 million of our common stock, $150.0 million in August 2011 and $150.0 million in February 2012, exclusive of any fees, commissions or other expenses. During 2017 and 2018, we made no common stock purchases, and at December 31, 2018, approximately $91.6 million was available pursuant to the stock repurchase program.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556885" cy="4545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56885" cy="454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34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preceding Stock Performance Graph is not deemed filed with the SEC and shall not be incorporated by reference in any of our filings under the Securities Act of 1933, as amended, or the Exchange Act, whether made before or after the date hereof and irrespective of any general incorporation language in any such filing.</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sets forth the cumulative total returns included in the preceding Stock Performance Graph for the years ended December 31, 2013 through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Year Ended 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r>
      <w:tr>
        <w:trPr>
          <w:trHeight w:val="23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Amkor Technology, Inc.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99.18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163.95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107.01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S&amp;P 500</w:t>
            </w: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113.69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115.26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129.05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157.22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150.33</w:t>
            </w:r>
          </w:p>
        </w:tc>
      </w:tr>
      <w:tr>
        <w:trPr>
          <w:trHeight w:val="33"/>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PHLX Semiconductor</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129.03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120.80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159.29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223.53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203.91</w:t>
            </w:r>
          </w:p>
        </w:tc>
      </w:tr>
      <w:tr>
        <w:trPr>
          <w:trHeight w:val="33"/>
        </w:trPr>
        <w:tc>
          <w:tcPr>
            <w:tcW w:w="3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selected financial data should be read in conjunction with Management’s Discussion and Analysis of Financial Condition and Results of Operations and our Consolidated Financial Statements in Part II, Item 7 and Item 8, respectively, of this Annual Report on Form 10-K.</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selected financial data as of and for the years ended December 31, 2018 and 2017 and for the year ended December 31, 2016 reflects our adoption of Financial Accounting Standards Board issued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We have not adjusted the selected financial data for any other period or as of any other date presented. See Note 2 to our Consolidated Financial Statements in Part II, Item 8 of this Annual Report on Form 10-K.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3"/>
                <w:szCs w:val="13"/>
                <w:b w:val="1"/>
                <w:bCs w:val="1"/>
                <w:color w:val="auto"/>
              </w:rPr>
              <w:t>For the Year Ended December 31,</w:t>
            </w: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14"/>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408"/>
              <w:spacing w:after="0"/>
              <w:rPr>
                <w:sz w:val="20"/>
                <w:szCs w:val="20"/>
                <w:color w:val="auto"/>
              </w:rPr>
            </w:pPr>
            <w:r>
              <w:rPr>
                <w:rFonts w:ascii="Arial" w:cs="Arial" w:eastAsia="Arial" w:hAnsi="Arial"/>
                <w:sz w:val="13"/>
                <w:szCs w:val="13"/>
                <w:b w:val="1"/>
                <w:bCs w:val="1"/>
                <w:color w:val="auto"/>
              </w:rPr>
              <w:t>2018</w:t>
            </w:r>
          </w:p>
        </w:tc>
        <w:tc>
          <w:tcPr>
            <w:tcW w:w="340" w:type="dxa"/>
            <w:vAlign w:val="bottom"/>
          </w:tcPr>
          <w:p>
            <w:pPr>
              <w:spacing w:after="0"/>
              <w:rPr>
                <w:sz w:val="18"/>
                <w:szCs w:val="18"/>
                <w:color w:val="auto"/>
              </w:rPr>
            </w:pPr>
          </w:p>
        </w:tc>
        <w:tc>
          <w:tcPr>
            <w:tcW w:w="960" w:type="dxa"/>
            <w:vAlign w:val="bottom"/>
          </w:tcPr>
          <w:p>
            <w:pPr>
              <w:jc w:val="right"/>
              <w:ind w:right="329"/>
              <w:spacing w:after="0"/>
              <w:rPr>
                <w:sz w:val="20"/>
                <w:szCs w:val="20"/>
                <w:color w:val="auto"/>
              </w:rPr>
            </w:pPr>
            <w:r>
              <w:rPr>
                <w:rFonts w:ascii="Arial" w:cs="Arial" w:eastAsia="Arial" w:hAnsi="Arial"/>
                <w:sz w:val="13"/>
                <w:szCs w:val="13"/>
                <w:b w:val="1"/>
                <w:bCs w:val="1"/>
                <w:color w:val="auto"/>
              </w:rPr>
              <w:t>2017 (f)</w:t>
            </w:r>
          </w:p>
        </w:tc>
        <w:tc>
          <w:tcPr>
            <w:tcW w:w="320" w:type="dxa"/>
            <w:vAlign w:val="bottom"/>
          </w:tcPr>
          <w:p>
            <w:pPr>
              <w:spacing w:after="0"/>
              <w:rPr>
                <w:sz w:val="18"/>
                <w:szCs w:val="18"/>
                <w:color w:val="auto"/>
              </w:rPr>
            </w:pPr>
          </w:p>
        </w:tc>
        <w:tc>
          <w:tcPr>
            <w:tcW w:w="920" w:type="dxa"/>
            <w:vAlign w:val="bottom"/>
          </w:tcPr>
          <w:p>
            <w:pPr>
              <w:jc w:val="right"/>
              <w:ind w:right="308"/>
              <w:spacing w:after="0"/>
              <w:rPr>
                <w:sz w:val="20"/>
                <w:szCs w:val="20"/>
                <w:color w:val="auto"/>
              </w:rPr>
            </w:pPr>
            <w:r>
              <w:rPr>
                <w:rFonts w:ascii="Arial" w:cs="Arial" w:eastAsia="Arial" w:hAnsi="Arial"/>
                <w:sz w:val="13"/>
                <w:szCs w:val="13"/>
                <w:b w:val="1"/>
                <w:bCs w:val="1"/>
                <w:color w:val="auto"/>
              </w:rPr>
              <w:t>2016 (g)</w:t>
            </w:r>
          </w:p>
        </w:tc>
        <w:tc>
          <w:tcPr>
            <w:tcW w:w="420" w:type="dxa"/>
            <w:vAlign w:val="bottom"/>
          </w:tcPr>
          <w:p>
            <w:pPr>
              <w:spacing w:after="0"/>
              <w:rPr>
                <w:sz w:val="18"/>
                <w:szCs w:val="18"/>
                <w:color w:val="auto"/>
              </w:rPr>
            </w:pPr>
          </w:p>
        </w:tc>
        <w:tc>
          <w:tcPr>
            <w:tcW w:w="800" w:type="dxa"/>
            <w:vAlign w:val="bottom"/>
          </w:tcPr>
          <w:p>
            <w:pPr>
              <w:jc w:val="right"/>
              <w:ind w:right="288"/>
              <w:spacing w:after="0"/>
              <w:rPr>
                <w:sz w:val="20"/>
                <w:szCs w:val="20"/>
                <w:color w:val="auto"/>
              </w:rPr>
            </w:pPr>
            <w:r>
              <w:rPr>
                <w:rFonts w:ascii="Arial" w:cs="Arial" w:eastAsia="Arial" w:hAnsi="Arial"/>
                <w:sz w:val="13"/>
                <w:szCs w:val="13"/>
                <w:b w:val="1"/>
                <w:bCs w:val="1"/>
                <w:color w:val="auto"/>
                <w:w w:val="92"/>
              </w:rPr>
              <w:t>2015(g)</w:t>
            </w:r>
          </w:p>
        </w:tc>
        <w:tc>
          <w:tcPr>
            <w:tcW w:w="320" w:type="dxa"/>
            <w:vAlign w:val="bottom"/>
          </w:tcPr>
          <w:p>
            <w:pPr>
              <w:spacing w:after="0"/>
              <w:rPr>
                <w:sz w:val="18"/>
                <w:szCs w:val="18"/>
                <w:color w:val="auto"/>
              </w:rPr>
            </w:pPr>
          </w:p>
        </w:tc>
        <w:tc>
          <w:tcPr>
            <w:tcW w:w="900" w:type="dxa"/>
            <w:vAlign w:val="bottom"/>
          </w:tcPr>
          <w:p>
            <w:pPr>
              <w:jc w:val="right"/>
              <w:ind w:right="268"/>
              <w:spacing w:after="0"/>
              <w:rPr>
                <w:sz w:val="20"/>
                <w:szCs w:val="20"/>
                <w:color w:val="auto"/>
              </w:rPr>
            </w:pPr>
            <w:r>
              <w:rPr>
                <w:rFonts w:ascii="Arial" w:cs="Arial" w:eastAsia="Arial" w:hAnsi="Arial"/>
                <w:sz w:val="13"/>
                <w:szCs w:val="13"/>
                <w:b w:val="1"/>
                <w:bCs w:val="1"/>
                <w:color w:val="auto"/>
              </w:rPr>
              <w:t>2014 (e)</w:t>
            </w:r>
          </w:p>
        </w:tc>
      </w:tr>
      <w:tr>
        <w:trPr>
          <w:trHeight w:val="57"/>
        </w:trPr>
        <w:tc>
          <w:tcPr>
            <w:tcW w:w="5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gridSpan w:val="4"/>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2"/>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20" w:type="dxa"/>
            <w:vAlign w:val="bottom"/>
            <w:gridSpan w:val="4"/>
          </w:tcPr>
          <w:p>
            <w:pPr>
              <w:jc w:val="right"/>
              <w:spacing w:after="0"/>
              <w:rPr>
                <w:sz w:val="20"/>
                <w:szCs w:val="20"/>
                <w:color w:val="auto"/>
              </w:rPr>
            </w:pPr>
            <w:r>
              <w:rPr>
                <w:rFonts w:ascii="Arial" w:cs="Arial" w:eastAsia="Arial" w:hAnsi="Arial"/>
                <w:sz w:val="13"/>
                <w:szCs w:val="13"/>
                <w:b w:val="1"/>
                <w:bCs w:val="1"/>
                <w:color w:val="auto"/>
              </w:rPr>
              <w:t>(In thousands, except per share data)</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Statement Data:</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Net sales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4,316,466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4,207,031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3,927,849</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2,884,603</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3,129,440</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 (a)</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710,565</w:t>
            </w: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761,079</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709,891</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479,265</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552,822</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Gain on sale of real estate (b)</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(108,109)</w:t>
            </w:r>
          </w:p>
        </w:tc>
        <w:tc>
          <w:tcPr>
            <w:tcW w:w="3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258,144</w:t>
            </w: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405,540</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308,587</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164,839</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221,460</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Loss on debt retirement (c)</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1,512</w:t>
            </w:r>
          </w:p>
        </w:tc>
        <w:tc>
          <w:tcPr>
            <w:tcW w:w="34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4,835</w:t>
            </w:r>
          </w:p>
        </w:tc>
        <w:tc>
          <w:tcPr>
            <w:tcW w:w="3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9,560</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757</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(d)</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56,250</w:t>
            </w: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39,791</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51,042</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28,035</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33,845</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Equity in earnings of J-Devices (e)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14,016</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31,007</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 (e)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129,565</w:t>
            </w: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267,705</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178,653</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53,893</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133,240</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Net income attributable to Amkor</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127,092</w:t>
            </w:r>
          </w:p>
        </w:tc>
        <w:tc>
          <w:tcPr>
            <w:tcW w:w="34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263,550</w:t>
            </w:r>
          </w:p>
        </w:tc>
        <w:tc>
          <w:tcPr>
            <w:tcW w:w="3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175,530</w:t>
            </w:r>
          </w:p>
        </w:tc>
        <w:tc>
          <w:tcPr>
            <w:tcW w:w="4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51,098</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129,739</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Amkor per common share: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0.53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1.10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0.74</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0.22</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0.56</w:t>
            </w: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0.53</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1.10</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0.74</w:t>
            </w:r>
          </w:p>
        </w:tc>
        <w:tc>
          <w:tcPr>
            <w:tcW w:w="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0.55</w:t>
            </w:r>
          </w:p>
        </w:tc>
      </w:tr>
      <w:tr>
        <w:trPr>
          <w:trHeight w:val="284"/>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Financial Data:</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571,961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581,940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555,186</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494,200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464,706</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property, plant and equipment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547,122</w:t>
            </w: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550,943</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650,038</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537,975</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681,120</w:t>
            </w:r>
          </w:p>
        </w:tc>
      </w:tr>
      <w:tr>
        <w:trPr>
          <w:trHeight w:val="284"/>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681,569</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596,364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549,518</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523,172</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449,946</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512,785</w:t>
            </w: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325,945</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404,035</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299,296</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497,358</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4,495,447</w:t>
            </w:r>
          </w:p>
        </w:tc>
        <w:tc>
          <w:tcPr>
            <w:tcW w:w="34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4,508,388</w:t>
            </w:r>
          </w:p>
        </w:tc>
        <w:tc>
          <w:tcPr>
            <w:tcW w:w="3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4,092,086</w:t>
            </w:r>
          </w:p>
        </w:tc>
        <w:tc>
          <w:tcPr>
            <w:tcW w:w="4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4,026,428</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3,633,918</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liabilities, including debt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1,481,124</w:t>
            </w: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1,470,620</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1,683,021</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1,790,708</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1,803,879</w:t>
            </w: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color w:val="auto"/>
              </w:rPr>
              <w:t>Total Amkor stockholders’ equity</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1,830,540</w:t>
            </w:r>
          </w:p>
        </w:tc>
        <w:tc>
          <w:tcPr>
            <w:tcW w:w="34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1,696,276</w:t>
            </w:r>
          </w:p>
        </w:tc>
        <w:tc>
          <w:tcPr>
            <w:tcW w:w="3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1,383,588</w:t>
            </w:r>
          </w:p>
        </w:tc>
        <w:tc>
          <w:tcPr>
            <w:tcW w:w="4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1,200,286</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1,114,748</w:t>
            </w:r>
          </w:p>
        </w:tc>
      </w:tr>
    </w:tbl>
    <w:p>
      <w:pPr>
        <w:spacing w:after="0" w:line="160" w:lineRule="exact"/>
        <w:rPr>
          <w:sz w:val="20"/>
          <w:szCs w:val="20"/>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January 2015, we reached a resolution to a patent license dispute and entered into a settlement agreement. During 2014 we recorded charges of $75.3 million to cost of sales and $13.7 million to interest expense relating to this patent license dispute.</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May 2017, we sold the land and buildings comprising our K1 factory for $142.4 million which resulted in a pre-tax gain of $108.1 million.</w:t>
      </w:r>
    </w:p>
    <w:p>
      <w:pPr>
        <w:spacing w:after="0" w:line="17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July 2017, we recorded a loss on debt retirement of $4.4 million relating to the partial early repayment of our 6.625% Senior Notes due 2021. During 2015, we recorded a loss on debt retirement of $8.9 million relating to the early repayment of our 7.375% Senior Notes due May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2017, income tax expense includes an estimated net tax benefit of $41.6 million primarily due to the reversal of a valuation allowance on certain U.S. deferred tax assets as a result of the enactment of the Tax Act. In 2018, we recorded a $22.3 million income tax expense to complete the accounting for the impact of the Tax Act, reducing our estimated net tax benefit of $41.6 million from 2017.</w:t>
      </w:r>
    </w:p>
    <w:p>
      <w:pPr>
        <w:spacing w:after="0" w:line="127" w:lineRule="exact"/>
        <w:rPr>
          <w:rFonts w:ascii="Arial" w:cs="Arial" w:eastAsia="Arial" w:hAnsi="Arial"/>
          <w:sz w:val="18"/>
          <w:szCs w:val="18"/>
          <w:color w:val="auto"/>
        </w:rPr>
      </w:pPr>
    </w:p>
    <w:p>
      <w:pPr>
        <w:jc w:val="both"/>
        <w:ind w:left="340" w:hanging="332"/>
        <w:spacing w:after="0" w:line="30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June 30, 2014, we sold 100% of the shares of our then wholly-owned subsidiary in Japan to J-Devices, our then unconsolidated equity-method joint venture in Japan. Subsequent to June 30, 2014, the results of the divested entity are included in J-Devices' financial results and in our corresponding equity in earnings of J-Devices. We recognized a net gain on the sale of $9.2 million in other (income) expense, net. In addition, J-Devices recognized a gain on the transaction, which increased our equity in earnings of J-Devices by $8.8 million. The combined net gain we recognized was $18.0 million.</w:t>
      </w:r>
    </w:p>
    <w:p>
      <w:pPr>
        <w:spacing w:after="0" w:line="10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May 22, 2017, we completed the purchase of Nanium. Their financial results have been included in our Consolidated Financial Statements from the date of acquisition.</w:t>
      </w:r>
    </w:p>
    <w:p>
      <w:pPr>
        <w:spacing w:after="0" w:line="116"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increased our investment in J-Devices from 60% to 100% on December 30, 2015 through the exercise of additional options. As a result, our accounting for J-Devices changed from the equity method to the consolidation method effective December 30, 2015. Our balance sheet data as of December 31, 2015 reflects the consolidation of J-Devices. We began consolidating the operating results of J-Devices in 2016. We recognized a net loss of $13.5 million in other (income) expense, net in connection with the acquisition in 2015. The net loss resulted from a loss of $29.6 million related to the release of certain accumulated foreign currency translation adjustments related to J-Devices, offset by a gain of $16.1 million related to the step-up to fair value of our previous investments in J-Devices.</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growing in a balanced way and selectively growing our scale and scope through strategic investments.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an industry leader in developing and commercializing cost-effective advanced packaging and test technologies. These advanced technology solutions provide increased value to our customers. This is particularly true in the mobile communications market, where growth has outpaced the semiconductor industry rate.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Our sales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advanced packages into the automotive market are growing as well, largely due to new, data-intensive applications. The high pin count and performance requirements of these products are driving the use of advanced packages. We believe that our technology leadership and this technology transition create significant growth opportunities for us.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For example, we are continuing our efforts to expand our sales to Chinese and Taiwanese fabless chip companies that make up a significant portion of the growing mid-tier and entry-level segments of the mobile device market. In addition, we are seeking new customers and deepening our engagement with existing customers. This includes an expanded emphasis on the automotive market where semiconductor content continues to grow and in the analog area for our mainstream wirebond technologies.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From time to time, we identify attractive opportunities to grow our customer base and expand the markets we serve. For example, in May 2017, we acquired Nanium, which we believe has strengthened our position in the market for wafer-level fan-out packaging. In December 2015, we completed the acquisition of J-Devices, the largest provider of outsourced semiconductor assembly and test services in Japan. J-Devices is primarily focused in the automotive, industrial and consumer end markets. We believe that selective growth through joint ventures, acquisitions and other strategic investments can help</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diversify our revenue streams, improve our profits, broaden our portfolio of services and continue our technological leadership.</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IDM customers include: Intel Corporation; Renesas Electronics Corporation; STMicroelectronics N.V.; Texas Instruments Incorporated and Toshiba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Corporation. Our fabless customers include: Broadcom Limited; Qualcomm Incorporated and Toshiba Memory Corporation. Our contract foundry customers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 Samsung Electronics Company Limited and Taiwan Semiconductor Manufacturing Company Limited.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supplier in the semiconductor industry, our business is cyclical and impacted by broad economic factors. Historically, there has been a strong correlation between world-wide gross domestic product levels, consumer spending and semiconductor industry cycles. The semiconductor industry has experienced significant and sometimes prolonged cyclical upturns and downturns in the past. We believe that there is an inventory correction in the smartphone market currently underway in the first quarter of 2019 and that the general semiconductor market is going through a normal cyclical correction. We cannot predict the timing, strength or duration of any correction, economic slowdown or subsequent economic recovery.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1, Item 1A of this Annual Report on Form 10-K.</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capital intensive industry and have a significant level of debt.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borrowings under available credit facilities and proceeds from any additional financing. Maintaining an appropriate level of liquidity is important to our business and depends on, among other things, the performance of our business, our capital expenditure levels and our ability to repay debt out of our operating cash flows or proceeds from debt or equity financings.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Financial Summary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net sales increased $109.4 million or 2.6% to $4,316.5 million in 2018 from $4,207.0 million in 2017. The increase was due to higher sales in the communications, computing and automotive end 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decreased $50.5 million in 2018 compared to 2017, primarily due to changes in the mix of products sold with higher material content during the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we recorded a $22.3 million discrete income tax expense to complete the accounting for the impact of the Tax Act, reducing our estimated net tax benefit of $41.6 million from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our capital expenditures totaled $547.1 million, or 12.7% of net sales compared to $550.9 million, or 13.1% of net sales in 2017. This spending is due to continued investment in our business and expansion of our production facilities.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operating activities was $663.4 million for the year ended December 31, 2018, compared to $618.3 million for the year ended December 31, 2017. This increase was primarily due to changes in working capital.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2018, we entered into a ¥26.0 billion term loan agreement and borrowed ¥26.0 billion (US$233.2 million). We used the proceeds from the term loan to repay all of our $200 million of our 6.625% Senior Notes due 2021 in August 2018. This refinancing is expected to generate net annualized interest savings of approximately $11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66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r>
      <w:tr>
        <w:trPr>
          <w:trHeight w:val="236"/>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7600" w:type="dxa"/>
            <w:vAlign w:val="bottom"/>
            <w:gridSpan w:val="2"/>
          </w:tcPr>
          <w:p>
            <w:pPr>
              <w:ind w:left="40"/>
              <w:spacing w:after="0"/>
              <w:rPr>
                <w:sz w:val="20"/>
                <w:szCs w:val="20"/>
                <w:color w:val="auto"/>
              </w:rPr>
            </w:pPr>
            <w:r>
              <w:rPr>
                <w:rFonts w:ascii="Arial" w:cs="Arial" w:eastAsia="Arial" w:hAnsi="Arial"/>
                <w:sz w:val="16"/>
                <w:szCs w:val="16"/>
                <w:color w:val="auto"/>
              </w:rPr>
              <w:t>Materials</w:t>
            </w:r>
          </w:p>
        </w:tc>
        <w:tc>
          <w:tcPr>
            <w:tcW w:w="56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33"/>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Labor</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37"/>
        </w:trPr>
        <w:tc>
          <w:tcPr>
            <w:tcW w:w="7600" w:type="dxa"/>
            <w:vAlign w:val="bottom"/>
            <w:gridSpan w:val="2"/>
          </w:tcPr>
          <w:p>
            <w:pPr>
              <w:ind w:left="40"/>
              <w:spacing w:after="0"/>
              <w:rPr>
                <w:sz w:val="20"/>
                <w:szCs w:val="20"/>
                <w:color w:val="auto"/>
              </w:rPr>
            </w:pPr>
            <w:r>
              <w:rPr>
                <w:rFonts w:ascii="Arial" w:cs="Arial" w:eastAsia="Arial" w:hAnsi="Arial"/>
                <w:sz w:val="16"/>
                <w:szCs w:val="16"/>
                <w:color w:val="auto"/>
              </w:rPr>
              <w:t>Other manufacturing costs</w:t>
            </w:r>
          </w:p>
        </w:tc>
        <w:tc>
          <w:tcPr>
            <w:tcW w:w="56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33"/>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37"/>
        </w:trPr>
        <w:tc>
          <w:tcPr>
            <w:tcW w:w="76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56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attributable to Amkor</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6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Change</w:t>
            </w:r>
          </w:p>
        </w:tc>
        <w:tc>
          <w:tcPr>
            <w:tcW w:w="1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2018 over 2017</w:t>
            </w:r>
          </w:p>
        </w:tc>
        <w:tc>
          <w:tcPr>
            <w:tcW w:w="10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2017 over 2016</w:t>
            </w:r>
          </w:p>
        </w:tc>
        <w:tc>
          <w:tcPr>
            <w:tcW w:w="520" w:type="dxa"/>
            <w:vAlign w:val="bottom"/>
            <w:tcBorders>
              <w:bottom w:val="single" w:sz="8" w:color="auto"/>
            </w:tcBorders>
          </w:tcPr>
          <w:p>
            <w:pPr>
              <w:spacing w:after="0"/>
              <w:rPr>
                <w:sz w:val="22"/>
                <w:szCs w:val="22"/>
                <w:color w:val="auto"/>
              </w:rPr>
            </w:pPr>
          </w:p>
        </w:tc>
      </w:tr>
      <w:tr>
        <w:trPr>
          <w:trHeight w:val="250"/>
        </w:trPr>
        <w:tc>
          <w:tcPr>
            <w:tcW w:w="2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40" w:type="dxa"/>
            <w:vAlign w:val="bottom"/>
            <w:gridSpan w:val="3"/>
          </w:tcPr>
          <w:p>
            <w:pPr>
              <w:ind w:left="340"/>
              <w:spacing w:after="0"/>
              <w:rPr>
                <w:sz w:val="20"/>
                <w:szCs w:val="20"/>
                <w:color w:val="auto"/>
              </w:rPr>
            </w:pPr>
            <w:r>
              <w:rPr>
                <w:rFonts w:ascii="Arial" w:cs="Arial" w:eastAsia="Arial" w:hAnsi="Arial"/>
                <w:sz w:val="14"/>
                <w:szCs w:val="14"/>
                <w:b w:val="1"/>
                <w:bCs w:val="1"/>
                <w:color w:val="auto"/>
              </w:rPr>
              <w:t>(In thousands, except percentages)</w:t>
            </w:r>
          </w:p>
        </w:tc>
        <w:tc>
          <w:tcPr>
            <w:tcW w:w="1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4,316,466</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4,207,031</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3,927,849</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rPr>
              <w:t>109,435</w:t>
            </w:r>
          </w:p>
        </w:tc>
        <w:tc>
          <w:tcPr>
            <w:tcW w:w="104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2.6%  $</w:t>
            </w:r>
          </w:p>
        </w:tc>
        <w:tc>
          <w:tcPr>
            <w:tcW w:w="138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rPr>
              <w:t>279,182</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2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in 2018 compared to 2017 was due to higher sales in the communications, computing and automotive end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net sales in 2017 compared to 2016 was due to strong demand across all end markets. The mobile communications market was particularly strong due to an increase in our content in flagship smartphones and improved sales with Greater China fabless customers. We also experienced growth in the automotive and computing end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spacing w:after="0"/>
              <w:rPr>
                <w:sz w:val="16"/>
                <w:szCs w:val="16"/>
                <w:color w:val="auto"/>
              </w:rPr>
            </w:pPr>
          </w:p>
        </w:tc>
      </w:tr>
      <w:tr>
        <w:trPr>
          <w:trHeight w:val="264"/>
        </w:trPr>
        <w:tc>
          <w:tcPr>
            <w:tcW w:w="4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w w:val="98"/>
              </w:rPr>
              <w:t>2018 over 2017</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2"/>
              </w:rPr>
              <w:t>2017 over 2016</w:t>
            </w:r>
          </w:p>
        </w:tc>
      </w:tr>
      <w:tr>
        <w:trPr>
          <w:trHeight w:val="250"/>
        </w:trPr>
        <w:tc>
          <w:tcPr>
            <w:tcW w:w="4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160" w:type="dxa"/>
            <w:vAlign w:val="bottom"/>
            <w:gridSpan w:val="4"/>
          </w:tcPr>
          <w:p>
            <w:pPr>
              <w:jc w:val="right"/>
              <w:ind w:right="963"/>
              <w:spacing w:after="0"/>
              <w:rPr>
                <w:sz w:val="20"/>
                <w:szCs w:val="20"/>
                <w:color w:val="auto"/>
              </w:rPr>
            </w:pPr>
            <w:r>
              <w:rPr>
                <w:rFonts w:ascii="Arial" w:cs="Arial" w:eastAsia="Arial" w:hAnsi="Arial"/>
                <w:sz w:val="14"/>
                <w:szCs w:val="14"/>
                <w:b w:val="1"/>
                <w:bCs w:val="1"/>
                <w:color w:val="auto"/>
                <w:w w:val="89"/>
              </w:rPr>
              <w:t>(In thousands, except percentages)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710,565</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761,079</w:t>
            </w:r>
          </w:p>
        </w:tc>
        <w:tc>
          <w:tcPr>
            <w:tcW w:w="5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709,891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(50,514)</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51,188</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30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16.5%</w:t>
            </w:r>
          </w:p>
        </w:tc>
        <w:tc>
          <w:tcPr>
            <w:tcW w:w="360" w:type="dxa"/>
            <w:vAlign w:val="bottom"/>
          </w:tcPr>
          <w:p>
            <w:pPr>
              <w:spacing w:after="0"/>
              <w:rPr>
                <w:sz w:val="20"/>
                <w:szCs w:val="20"/>
                <w:color w:val="auto"/>
              </w:rPr>
            </w:pPr>
          </w:p>
        </w:tc>
        <w:tc>
          <w:tcPr>
            <w:tcW w:w="1380" w:type="dxa"/>
            <w:vAlign w:val="bottom"/>
            <w:gridSpan w:val="2"/>
          </w:tcPr>
          <w:p>
            <w:pPr>
              <w:jc w:val="right"/>
              <w:ind w:right="363"/>
              <w:spacing w:after="0"/>
              <w:rPr>
                <w:sz w:val="20"/>
                <w:szCs w:val="20"/>
                <w:color w:val="auto"/>
              </w:rPr>
            </w:pPr>
            <w:r>
              <w:rPr>
                <w:rFonts w:ascii="Arial" w:cs="Arial" w:eastAsia="Arial" w:hAnsi="Arial"/>
                <w:sz w:val="16"/>
                <w:szCs w:val="16"/>
                <w:color w:val="auto"/>
              </w:rPr>
              <w:t>18.1%</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18.1%</w:t>
            </w:r>
          </w:p>
        </w:tc>
        <w:tc>
          <w:tcPr>
            <w:tcW w:w="18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depending upon product mix, utilization and seasonality.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and gross margin for 2018 decreased compared to 2017 primarily due to changes in the mix of products sold with higher material content during the period. The decrease was partially offset by the reduction in fixed costs from our 2017 factory consolidation efforts in Japan.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and gross margin for 2017 increased compared to 2016, primarily due to the increase in net sales. Manufacturing costs increased due to higher unit volumes, increased employee compensation costs, and our factory consolidation efforts in Japan.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264"/>
        </w:trPr>
        <w:tc>
          <w:tcPr>
            <w:tcW w:w="2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2018 over 2017</w:t>
            </w:r>
          </w:p>
        </w:tc>
        <w:tc>
          <w:tcPr>
            <w:tcW w:w="1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2017 over 2016</w:t>
            </w:r>
          </w:p>
        </w:tc>
        <w:tc>
          <w:tcPr>
            <w:tcW w:w="520" w:type="dxa"/>
            <w:vAlign w:val="bottom"/>
            <w:tcBorders>
              <w:bottom w:val="single" w:sz="8" w:color="auto"/>
            </w:tcBorders>
          </w:tcPr>
          <w:p>
            <w:pPr>
              <w:spacing w:after="0"/>
              <w:rPr>
                <w:sz w:val="22"/>
                <w:szCs w:val="22"/>
                <w:color w:val="auto"/>
              </w:rPr>
            </w:pPr>
          </w:p>
        </w:tc>
      </w:tr>
      <w:tr>
        <w:trPr>
          <w:trHeight w:val="250"/>
        </w:trPr>
        <w:tc>
          <w:tcPr>
            <w:tcW w:w="2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4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295,239</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297,021</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284,094</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523"/>
              <w:spacing w:after="0"/>
              <w:rPr>
                <w:sz w:val="20"/>
                <w:szCs w:val="20"/>
                <w:color w:val="auto"/>
              </w:rPr>
            </w:pPr>
            <w:r>
              <w:rPr>
                <w:rFonts w:ascii="Arial" w:cs="Arial" w:eastAsia="Arial" w:hAnsi="Arial"/>
                <w:sz w:val="16"/>
                <w:szCs w:val="16"/>
                <w:color w:val="auto"/>
              </w:rPr>
              <w:t>(1,782)</w:t>
            </w:r>
          </w:p>
        </w:tc>
        <w:tc>
          <w:tcPr>
            <w:tcW w:w="112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rPr>
              <w:t>(0.6)%  $</w:t>
            </w:r>
          </w:p>
        </w:tc>
        <w:tc>
          <w:tcPr>
            <w:tcW w:w="136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rPr>
              <w:t>12,927</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2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decreased in 2018 compared to 2017 primarily due to lower employee compensation costs. Expenses in 2017 included net legal proceeds received from a one-time legal settlement in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increased in 2017 compared to 2016 primarily due to higher employee compensation costs, partially offset by net legal proceeds received.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264"/>
        </w:trPr>
        <w:tc>
          <w:tcPr>
            <w:tcW w:w="2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2018 over 2017</w:t>
            </w:r>
          </w:p>
        </w:tc>
        <w:tc>
          <w:tcPr>
            <w:tcW w:w="1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2017 over 2016</w:t>
            </w:r>
          </w:p>
        </w:tc>
        <w:tc>
          <w:tcPr>
            <w:tcW w:w="560" w:type="dxa"/>
            <w:vAlign w:val="bottom"/>
            <w:tcBorders>
              <w:bottom w:val="single" w:sz="8" w:color="auto"/>
            </w:tcBorders>
          </w:tcPr>
          <w:p>
            <w:pPr>
              <w:spacing w:after="0"/>
              <w:rPr>
                <w:sz w:val="22"/>
                <w:szCs w:val="22"/>
                <w:color w:val="auto"/>
              </w:rPr>
            </w:pPr>
          </w:p>
        </w:tc>
      </w:tr>
      <w:tr>
        <w:trPr>
          <w:trHeight w:val="250"/>
        </w:trPr>
        <w:tc>
          <w:tcPr>
            <w:tcW w:w="2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4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157,182</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166,627</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117,210</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523"/>
              <w:spacing w:after="0"/>
              <w:rPr>
                <w:sz w:val="20"/>
                <w:szCs w:val="20"/>
                <w:color w:val="auto"/>
              </w:rPr>
            </w:pPr>
            <w:r>
              <w:rPr>
                <w:rFonts w:ascii="Arial" w:cs="Arial" w:eastAsia="Arial" w:hAnsi="Arial"/>
                <w:sz w:val="16"/>
                <w:szCs w:val="16"/>
                <w:color w:val="auto"/>
              </w:rPr>
              <w:t>(9,445)</w:t>
            </w:r>
          </w:p>
        </w:tc>
        <w:tc>
          <w:tcPr>
            <w:tcW w:w="112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rPr>
              <w:t>(5.7)%  $</w:t>
            </w:r>
          </w:p>
        </w:tc>
        <w:tc>
          <w:tcPr>
            <w:tcW w:w="1320" w:type="dxa"/>
            <w:vAlign w:val="bottom"/>
            <w:shd w:val="clear" w:color="auto" w:fill="CCEEFF"/>
          </w:tcPr>
          <w:p>
            <w:pPr>
              <w:jc w:val="right"/>
              <w:ind w:right="543"/>
              <w:spacing w:after="0"/>
              <w:rPr>
                <w:sz w:val="20"/>
                <w:szCs w:val="20"/>
                <w:color w:val="auto"/>
              </w:rPr>
            </w:pPr>
            <w:r>
              <w:rPr>
                <w:rFonts w:ascii="Arial" w:cs="Arial" w:eastAsia="Arial" w:hAnsi="Arial"/>
                <w:sz w:val="16"/>
                <w:szCs w:val="16"/>
                <w:color w:val="auto"/>
              </w:rPr>
              <w:t>49,417</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r>
      <w:tr>
        <w:trPr>
          <w:trHeight w:val="33"/>
        </w:trPr>
        <w:tc>
          <w:tcPr>
            <w:tcW w:w="2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Research and development activities are focused on developing new packaging solutions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goods sold, including ongoing depreciation for the equipment previously held for research and development activities. Research and development expenses decreased in 2018 over 2017 due to projects that moved into production, partially offset by new and ongoing development projects.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increased in 2017 over 2016, due to increases in development activities and the related employee compensation costs and depreciation resulting from continued investments in equipment, primarily associated with our new K5 factory and research and development facility in Korea. The increase was partially offset by projects that moved into production.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2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0"/>
              </w:rPr>
              <w:t>2018 over 2017</w:t>
            </w: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4"/>
                <w:szCs w:val="14"/>
                <w:b w:val="1"/>
                <w:bCs w:val="1"/>
                <w:color w:val="auto"/>
              </w:rPr>
              <w:t>2017 over 2016</w:t>
            </w:r>
          </w:p>
        </w:tc>
      </w:tr>
      <w:tr>
        <w:trPr>
          <w:trHeight w:val="250"/>
        </w:trPr>
        <w:tc>
          <w:tcPr>
            <w:tcW w:w="2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20" w:type="dxa"/>
            <w:vAlign w:val="bottom"/>
            <w:gridSpan w:val="5"/>
          </w:tcPr>
          <w:p>
            <w:pPr>
              <w:ind w:left="380"/>
              <w:spacing w:after="0"/>
              <w:rPr>
                <w:sz w:val="20"/>
                <w:szCs w:val="20"/>
                <w:color w:val="auto"/>
              </w:rPr>
            </w:pPr>
            <w:r>
              <w:rPr>
                <w:rFonts w:ascii="Arial" w:cs="Arial" w:eastAsia="Arial" w:hAnsi="Arial"/>
                <w:sz w:val="14"/>
                <w:szCs w:val="14"/>
                <w:b w:val="1"/>
                <w:bCs w:val="1"/>
                <w:color w:val="auto"/>
                <w:w w:val="98"/>
              </w:rPr>
              <w:t>(In thousands, except percentages)</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6"/>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 including related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2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party</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78,946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85,554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84,637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(6,608)</w:t>
            </w: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(7.7)%</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Foreign currency (gain) loss, net</w:t>
            </w: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11,823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(10,372)</w:t>
            </w:r>
          </w:p>
        </w:tc>
        <w:tc>
          <w:tcPr>
            <w:tcW w:w="420" w:type="dxa"/>
            <w:vAlign w:val="bottom"/>
          </w:tcPr>
          <w:p>
            <w:pPr>
              <w:spacing w:after="0"/>
              <w:rPr>
                <w:sz w:val="20"/>
                <w:szCs w:val="20"/>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(87.7)%</w:t>
            </w:r>
          </w:p>
        </w:tc>
        <w:tc>
          <w:tcPr>
            <w:tcW w:w="4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15,415</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&gt;(100)%</w:t>
            </w:r>
          </w:p>
        </w:tc>
      </w:tr>
      <w:tr>
        <w:trPr>
          <w:trHeight w:val="33"/>
        </w:trPr>
        <w:tc>
          <w:tcPr>
            <w:tcW w:w="2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2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(8,735)</w:t>
            </w: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91"/>
              </w:rPr>
              <w:t>&gt;100%</w:t>
            </w: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2,820</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&gt;(100)%</w:t>
            </w:r>
          </w:p>
        </w:tc>
      </w:tr>
      <w:tr>
        <w:trPr>
          <w:trHeight w:val="250"/>
        </w:trPr>
        <w:tc>
          <w:tcPr>
            <w:tcW w:w="2580" w:type="dxa"/>
            <w:vAlign w:val="bottom"/>
          </w:tcPr>
          <w:p>
            <w:pPr>
              <w:ind w:left="280"/>
              <w:spacing w:after="0"/>
              <w:rPr>
                <w:sz w:val="20"/>
                <w:szCs w:val="20"/>
                <w:color w:val="auto"/>
              </w:rPr>
            </w:pPr>
            <w:r>
              <w:rPr>
                <w:rFonts w:ascii="Arial" w:cs="Arial" w:eastAsia="Arial" w:hAnsi="Arial"/>
                <w:sz w:val="16"/>
                <w:szCs w:val="16"/>
                <w:color w:val="auto"/>
              </w:rPr>
              <w:t>Total other expense, net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72,329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98,044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78,892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(25,715)</w:t>
            </w:r>
          </w:p>
        </w:tc>
        <w:tc>
          <w:tcPr>
            <w:tcW w:w="420" w:type="dxa"/>
            <w:vAlign w:val="bottom"/>
          </w:tcPr>
          <w:p>
            <w:pPr>
              <w:spacing w:after="0"/>
              <w:rPr>
                <w:sz w:val="21"/>
                <w:szCs w:val="21"/>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(26.2)%</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19,152</w:t>
            </w:r>
          </w:p>
        </w:tc>
        <w:tc>
          <w:tcPr>
            <w:tcW w:w="106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0"/>
        </w:trPr>
        <w:tc>
          <w:tcPr>
            <w:tcW w:w="2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decreased in 2018 compared to 2017, primarily due to the redemption of $200 million of our 6.625% Senior Notes due 2021 in July 2017 and the remaining $200 million of these same notes in August 2018. The 2018 redemption was funded with proceeds from a term loan with a significantly lower interest rate. We ceased capitalizing interest in connection with the construction of our K5 factory and research and development facility in Korea in the first quarter of 2016, which resulted in an increase in interest expense in 2017. This increase was partially offset by the early redemption of $200 million of our 6.625% Senior Notes due 2021 in July 2017.</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foreign currency loss, net in 2018 and 2017. The loss in 2017 was primarily due to the unfavorable exchange rate movements, mainly the Korean Won, and the associated impact on our net monetary exposure at our foreign subsidiaries.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2016, we recognized net foreign currency gains as a result of favorable exchange rate movements and the associated impact on our net monetary exposure at our foreign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changed between 2018 and 2017, primarily related to gains in our pension plan and lower debt retirement costs incurred in 2018.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early repayment of the 6.625% Senior Notes due 2021 resulted in losses on debt retirement of $0.8 million in 2018 and $4.4 million in 2017.</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spacing w:after="0"/>
              <w:rPr>
                <w:sz w:val="16"/>
                <w:szCs w:val="16"/>
                <w:color w:val="auto"/>
              </w:rPr>
            </w:pPr>
          </w:p>
        </w:tc>
      </w:tr>
      <w:tr>
        <w:trPr>
          <w:trHeight w:val="264"/>
        </w:trPr>
        <w:tc>
          <w:tcPr>
            <w:tcW w:w="4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w w:val="94"/>
              </w:rPr>
              <w:t>2018 over 2017</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0"/>
              </w:rPr>
              <w:t>2017 over 2016</w:t>
            </w:r>
          </w:p>
        </w:tc>
      </w:tr>
      <w:tr>
        <w:trPr>
          <w:trHeight w:val="250"/>
        </w:trPr>
        <w:tc>
          <w:tcPr>
            <w:tcW w:w="4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80" w:type="dxa"/>
            <w:vAlign w:val="bottom"/>
            <w:gridSpan w:val="5"/>
          </w:tcPr>
          <w:p>
            <w:pPr>
              <w:jc w:val="right"/>
              <w:ind w:right="925"/>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56,250</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39,791</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51,042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16,459</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(11,251)</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30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30.3%</w:t>
            </w:r>
          </w:p>
        </w:tc>
        <w:tc>
          <w:tcPr>
            <w:tcW w:w="360" w:type="dxa"/>
            <w:vAlign w:val="bottom"/>
          </w:tcPr>
          <w:p>
            <w:pPr>
              <w:spacing w:after="0"/>
              <w:rPr>
                <w:sz w:val="20"/>
                <w:szCs w:val="20"/>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12.9%</w:t>
            </w:r>
          </w:p>
        </w:tc>
        <w:tc>
          <w:tcPr>
            <w:tcW w:w="360" w:type="dxa"/>
            <w:vAlign w:val="bottom"/>
          </w:tcPr>
          <w:p>
            <w:pPr>
              <w:spacing w:after="0"/>
              <w:rPr>
                <w:sz w:val="20"/>
                <w:szCs w:val="20"/>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22.2%</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majority of our income is earned and taxed in foreign jurisdictions in the Asia Pacific region with applicable tax rates similar to the U.S. federal and state combined tax rate of approximately 25%. Income tax expense, which includes foreign withholding taxes and minimum taxes, reflects the applicable tax rates in effect in the various countries where our income is earned and is subject to volatility depending on the relative mix of earnings in each location.</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effective tax rate in 2017 includes a net tax benefit of $41.6 million for the provisional estimate of the impact of the Tax Act. The effective tax rate in 2018 includes a $22.3 million income tax expense to complete the accounting for the impact of the Tax Act, reducing our estimated net tax benefit of $41.6 million from 2017. The components of the one-time benefit include the release of a valuation allowance against U.S. deferred tax assets that we now expect to realize as a result of changes to the U.S. tax law. We also incurred charges for the one-time transition tax on our unremitted foreign earnings and profits offset by the utilization of net operating loss carryforwards and tax credits. We were also required to remeasure our deferred tax assets based on the new U.S. federal tax rate of 21%.</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2018, 2017 and 2016, our subsidiaries in Korea, Malaysia, the Philippines, Singapore and Taiwan operated under various tax holidays. The tax holiday granted to certain operations in Taiwan expired as of December 31, 2017. The tax holidays granted to our Malaysia operations and certain operations in the Philippines expired during 2018. As these tax holidays expire, income earned in those jurisdictions will be subject to higher statutory income tax rates, which may cause our effective tax rate to increase.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6 to our Consolidated Financial Statements included in Part II, Item 8 of this Annual Report on Form 10-K for additional information about our income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debt service requirements and other funding needs. Based on this assessment, we believe that our cash flow from operating activities, together with existing cash and cash equivalents and availability under our credit facilities, will be sufficient to fund our working capital, capital expenditure, debt service and other financial requirements for at least the next twelve months. Our liquidity is affected by, among other things, volatility in the global economy and credit markets, the performance of our business, our capital expenditure levels, other uses of our cash including any purchases of stock under our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 Item 1A of this Annual Report on Form 10-K.</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 of cash and the source of funds for our operations are cash flows from operations, current cash and cash equivalents, borrowings under available credit facilities and proceeds from any additional debt or equity financings. As of December 31, 2018, we had cash and cash equivalents of $681.6 million. Included in our cash balance as of December 31, 2018, is $603.0 million held offshore by our foreign subsidiaries. We have the ability to access cash held offshore by our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foreign subsidiaries primarily through the repayment of intercompany debt obligations. Due to the changes in the U.S. tax law under the Tax Act, distributions of cash to the U.S. generally will not be subject to U.S. federal income tax. If we were to distribute this offshore cash to the U.S. as dividends from our foreign subsidiaries, we may be subject to foreign withholding and state income taxes of approximately $25.8 million.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2018, the senior secured revolving credit facility of Amkor Technology, Inc. was terminated and replaced by a new facility entered into by our subsidiary, Amkor Technology Singapore Holding Pte, Ltd. ("the Singapore Revolver"), and guaranteed by Amkor Technology, Inc. The availability for the Singapore Revolver is based on the amount of eligible accounts receivable. As of December 31, 2018, we had availability of $250.0 million under the Singapore Revolver, with no outstanding standby letters of credit. We refer you to Note 11 to our Consolidated Financial Statements in Part II, Item 8 of this Annual Report on Form 10-K for additional information. As of December 31, 2018, our foreign subsidiaries had $299.0 million available to be drawn under secured revolving credit facilities, including the Singapore Revolver, and $70.6 million available to be borrowed under secured term loan credit facilities for working capital purposes and capital expenditures.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2018, we had $1,332.3 million of debt. Our scheduled principal repayments on debt include $114.6 million due in 2019, $323.3 million due in 2020, $58.3 million due in 2021, $581.7 million due in 2022, $239.0 million due in 2023 and $17.2 million due thereafter. We were in compliance with all debt covenants at December 31, 2018, and we expect to remain in compliance with these covenants for at least the next twelve months.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we redeemed all $200 million of our 6.625% Senior Notes due 2021. The redemption of the Notes was funded with proceeds from our ¥26.0 billion (US$233.2 million) term loan agreement entered into in July 2018 by J-Devices Corporation and guaranteed by Amkor Technology, Inc. This refinancing is expected to generate net annualized interest savings of approximately $11 million. We refer you to Note 11 to our Consolidated Financial Statements in Part II, Item 8 of this Annual Report on Form 10-K for additional information.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certain accounts receivable, we use non-recourse factoring arrangements with third 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year ended December 31, 2018 and 2017, we sold accounts receivable totaling $873.9 million and $611.2 million, net of discounts and fees of $7.0 million and $4.6 million,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is subject to the terms of our debt agreements, market conditions and other factors.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debt agreements have restrictions on dividend payments and the repurchase of stock and subordinated securities. These restrictions are determined in part by calculations based upon cumulative net income or borrowing availability. We have never paid a dividend to our stockholders, and we do not have any present plans for doing so. From time to time, Amkor Technology, Inc. also guarantees certain debt of our subsidiaries.</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the repurchase of up to $300.0 million of our common stock, exclusive of any fees, commissions or other expenses. At December 31, 2018,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plan since 2012.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make significant capital expenditures in order to service the demand of our customers, which is primarily focused on investments in advanced packaging and test equipment. In 2018, our capital expenditures totaled $547.1 million or approximately 12.7% of net sales.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our 2019 capital expenditures will be approximately $475 million. Ultimately, the amount of our 2019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Part I, Item 1A of this Annual Report on Form 10-K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each of the three years ended December 31, 2018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left="657"/>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2017</w:t>
            </w: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663,410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618,267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729,402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(537,383)</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(454,832)</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(589,427)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(40,623)</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(124,886)</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(112,179)</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 provided by operating activities for the year ended December 31, 2018, increased by $45.1 million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primarily due to changes in working capital. Our cash flow provided by operating activities for the year ended December 31, 2017, decreased by $111.1 million compared to the year ended December 31, 2016, primarily due to changes in working capital, partially offset by higher sales and gross profit.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cash flow used in investing activities are principally for payments for property, plant and equipment, which was comparable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The net cash used in investing activities for the year ended December 31, 2017, also included a payment for the acquisition of Nanium and receipt of the remaining proceeds for the sale of the K1 factory in Korea.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net cash used in financing activities for the year ended December 31, 2018 was primarily driven by the full redemption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6.625% Senior Notes due 2021 and net repayments in China and Korea, partially offset by the net borrowings in Japan. The net cash used in financing activities during 2017 was primarily driven by the partial redemption of our 6.625% Senior Notes due 2021, partially offset by the net borrowings in China and Japan.</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663,410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618,267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729,402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Payments for property, plant and equipment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(547,122)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(550,943)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(650,038)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and insurance recovery for property, plant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141,530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60,801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Free cash flow</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120,500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208,854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140,165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2018, and the effect such obligations are expected to have on our liquidity and cash flow in future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w w:val="86"/>
              </w:rPr>
              <w:t>Payments Due for Year Ending December 31,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64"/>
        </w:trPr>
        <w:tc>
          <w:tcPr>
            <w:tcW w:w="3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Thereafter</w:t>
            </w:r>
          </w:p>
        </w:tc>
      </w:tr>
      <w:tr>
        <w:trPr>
          <w:trHeight w:val="248"/>
        </w:trPr>
        <w:tc>
          <w:tcPr>
            <w:tcW w:w="3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1,334,129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323,346</w:t>
            </w:r>
          </w:p>
        </w:tc>
        <w:tc>
          <w:tcPr>
            <w:tcW w:w="44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58,346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581,723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238,985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17,150</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Scheduled interest payment obligations (1)</w:t>
            </w:r>
          </w:p>
        </w:tc>
        <w:tc>
          <w:tcPr>
            <w:tcW w:w="24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219,898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60,951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52,398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46,786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46,027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11,650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2,086</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obligations (2)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75,061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Operating lease obligations</w:t>
            </w:r>
          </w:p>
        </w:tc>
        <w:tc>
          <w:tcPr>
            <w:tcW w:w="24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120,787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32,461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24,630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17,676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10,942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26,070</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 (3)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21,412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3,807</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Severance obligations (4)</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142,126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13,179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11,939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10,855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9,837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8,945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87,371</w:t>
            </w:r>
          </w:p>
        </w:tc>
      </w:tr>
      <w:tr>
        <w:trPr>
          <w:trHeight w:val="243"/>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contractual obligations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1,913,413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297,413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418,201</w:t>
            </w:r>
          </w:p>
        </w:tc>
        <w:tc>
          <w:tcPr>
            <w:tcW w:w="44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139,486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650,509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270,300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137,504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December 31, 2018, for variable rate debt.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off-balance sheet purchase obligations for capital expenditures and long-term supply contracts outstanding at December 31, 2018.</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future minimum lease payments including interest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December 31, 2018, include:</w:t>
      </w:r>
    </w:p>
    <w:p>
      <w:pPr>
        <w:spacing w:after="0" w:line="11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$55.1 million of foreign pension plan obligations, for which the timing and actual amount of impact on our future cash flow is uncertain.</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$30.6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2018, we had no off-balance sheet guarantees or other off-balance sheet arrangements as defined in Item 303(a)(4)(ii) of SEC Regulation S-K.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refer you to Note 15 to our Consolidated Financial Statements in Part II, Item 8 of this Annual Report on Form 10-K for a discussion of our contingencies related to litigation and other legal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identified the policies below as critical to our business operations and the understanding of our results of operations. A summary of our significant accounting policies used in the preparation of our Consolidated Financial Statements appears in Note 1 to our Consolidated Financial Statements included in Part II, Item 8 of this Annual Report on Form 10-K. Our preparation of this Annual Report on Form 10-K requires us to make estimates and assumptions that affect the reported amount of assets and liabilities, disclosure of contingent assets and liabilities at the date of our financial statements and the reported amounts of revenue and expenses during the reporting period. There can be no assurance that actual results will not differ from those estimates.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following critical accounting estimates and policies, which have been reviewed with the Audit Committee of our Board of Directors, affect our more significant judgments and estimates used in the preparation of our Consolidated Financial Statements.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We account for businesses we acquire using the acquisition method of accounting and record the underlying net assets at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acquisition-date fair values. The accounting for acquisitions requires us to make significant estimates and assumptions, including those with respect to future cash flows, discount rates and asset lives, and therefore requires considerable judgment. These determinations affect the amount of depreciation and amortization expense recognized in future periods. Our estimates of fair value are based upon assumptions believed to be reasonable; however, they are inherently uncertain and unpredictable.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recognize revenue, net of sales, use, value-added and other similar taxes, as a performance obligation is satisfied in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our revenue is recognized as services are rendered.</w:t>
      </w:r>
    </w:p>
    <w:p>
      <w:pPr>
        <w:spacing w:after="0" w:line="18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9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operate in and file income tax returns in various U.S. and non-U.S. jurisdictions which are subject to examination by tax authorities.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tax returns for years where the statute of limitations remains open in all jurisdictions in which we do business are subject to change upon examination. We believe that we have estimated and provided adequate accruals for potential additional taxes and related interest expense that may ultimately result from such examinations. We believe that any additional taxes or related interest over the amounts accrued will not have a material effect on our financial condition, results of operations or cash flows. However, resolution of these matters involves uncertainties and there can be no assurance that the outcomes will be favorable. In addition, changes in the mix of income from our foreign subsidiaries, expiration of tax holidays or changes in tax laws or regulations could result in increased effective tax rates in the future.</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 planning strategies and results of recent operations. For most of our foreign deferred tax assets,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 We have valuation allowances on select deferred tax assets in certain foreign jurisdictions. In prior years, we maintained a valuation allowance on all of our U.S. net deferred tax assets, including our U.S. net operating loss carryforwards. During the fourth quarter of 2017, we determined it was more likely than not that we will have sufficient taxable income to allow us to realize a substantial portion of our U.S. deferred tax assets. Our evaluation considered, among other factors, the one-time transition tax, the new Global Intangible Low-Taxed Income (“GILTI”) provision, and limitations on the deductibility of interest expense in connection with the Tax Act.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ASC 740, Accounting for Income Taxes, requires companies to recognize the effect of tax law changes in the period of enactment even though the effective date for most provisions is for tax years beginning after December 31, 2017. Given the significance of the Tax Act, the SEC staff issued Staff Accounting Bulletin No. 118 ("SAB 118"), which allows registrants to record provisional amounts during a one year “measurement period” similar to that used when accounting for business combinations. However, the measurement period is deemed to have ended earlier when the registrant has obtained, prepared and analyzed the information necessary to finalize its accounting. During the measurement period, which ended during the fourth quarter of 2018, impacts of the law are expected to be recorded at the time a reasonable estimate for all or a portion of the effects can be made, and provisional amounts can be recognized and adjusted as information becomes available, prepared or analyzed.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2017, we reported provisional amounts for the income tax effects of the Tax Act for which the accounting was incomplete, but a reasonable estimate could be determined. During the quarter ended December 31, 2018 we updated our provisional estimate of the impact of the Tax Act. Our accounting for the impact of the Tax Act is now complete in accordance with SAB 118.</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Valuation of Inventory. </w:t>
      </w:r>
      <w:r>
        <w:rPr>
          <w:rFonts w:ascii="Arial" w:cs="Arial" w:eastAsia="Arial" w:hAnsi="Arial"/>
          <w:sz w:val="17"/>
          <w:szCs w:val="17"/>
          <w:color w:val="auto"/>
        </w:rPr>
        <w:t>We order raw materials based on customers’ forecasted demand. If our customers change their forecasted requirements and we are</w:t>
      </w:r>
      <w:r>
        <w:rPr>
          <w:rFonts w:ascii="Arial" w:cs="Arial" w:eastAsia="Arial" w:hAnsi="Arial"/>
          <w:sz w:val="17"/>
          <w:szCs w:val="17"/>
          <w:i w:val="1"/>
          <w:iCs w:val="1"/>
          <w:color w:val="auto"/>
        </w:rPr>
        <w:t xml:space="preserve"> </w:t>
      </w:r>
      <w:r>
        <w:rPr>
          <w:rFonts w:ascii="Arial" w:cs="Arial" w:eastAsia="Arial" w:hAnsi="Arial"/>
          <w:sz w:val="17"/>
          <w:szCs w:val="17"/>
          <w:color w:val="auto"/>
        </w:rPr>
        <w:t>unable to cancel our raw materials order or if our vendors require that we order a minimum quantity that exceeds the current forecasted demand, we will experience a build-up in raw material inventory. We will either seek to recover the cost of the materials from our customers or utilize the inventory in production. However, we may not be successful in recovering the cost from our customers or be able to use the inventory in production and, accordingly, if we believe that it is probable that we will not be able to recover such costs, we reduce the carrying value of our inventory. Additionally,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consist of raw materials and purchased components, and are stated at the lower of cost and net realizable value. Cost is principally determined by standard cost or the weighted moving average method, both of which approximate actual cost. For inventory valued using the standard cost method, we review and set our standard costs as needed, but at a minimum on an annual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Valuation of Long-lived Assets. </w:t>
      </w:r>
      <w:r>
        <w:rPr>
          <w:rFonts w:ascii="Arial" w:cs="Arial" w:eastAsia="Arial" w:hAnsi="Arial"/>
          <w:sz w:val="18"/>
          <w:szCs w:val="18"/>
          <w:color w:val="auto"/>
        </w:rPr>
        <w:t>We review long-lived assets, which include property, plant and equipment and goodwill,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amount may not be recoverable. Factors we consider important which could trigger an impairment review include the following:</w:t>
      </w:r>
    </w:p>
    <w:p>
      <w:pPr>
        <w:spacing w:after="0" w:line="18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asset;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negative industry or economic 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review goodwill for impairment annually during the fourth quarter of each year and whenever events or changes in circumstances indicate that an impairment may exist. Impairment losses are recorded when the carrying amount of the reporting unit exceeds its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and Recently Issued Standards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recently adopted and recently issued accounting standards, see Note 2 to our Consolidated Financial Statements included in Part II, Item 8 of this Annual Report on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U.S. dollar is our reporting and functional currency for our subsidiaries, except for J-Devices, where the Japanese Yen is the functional currency. In order to reduce our exposure to foreign currency gains and losses, we generally use natural hedging techniques to reduce foreign currency rate risk. On a limited basis, we use forward contracts to mitigate foreign currency risk of certain monetary liabilities denominated in foreign currencies.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December 31, 2018, to assess the potential impact of fluctuations in exchange rates for all foreign denominated assets and liabilities. Assuming that all foreign currencies appreciated 10% against the U.S. dollar, taking into account our foreign currency forward contracts, our income before taxes as of December 31, 2018 would have been approximately $17 million lower, due to the remeasurement of monetary assets and liabilities. We have a significant net monetary liability at our subsidiary in Korea, principally related to our Korean severance plan.</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we have foreign currency exchange rate exposure on our results of operations. For the year ended December 31, 2018, approximately 78% of our net sales were denominated in U.S. dollars. Our remaining net sales were principally denominated in Japanese Yen for local country sales. For the year ended December 31, 2018, approximately 51%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December 31, 2018, to assess the potential impact of fluctuations in exchange rates for all foreign denominated sales and operating expenses. Assuming that all foreign currencies appreciated 10% against the U.S. dollar, our operating income for the year ended December 31, 2018 would have been approximately $117 million lower.</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Financial Statements are impacted by changes in exchange rates at the entity where the local currency is the functional currency. The effect of foreign exchange rate translation for these entities was a gain of $4.9 million and $11.1 million for the years ended December 31, 2018 and 2017, respectively, and was recognized as an adjustment to equity through other comprehensive income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interest rate risk with respect to our debt. Our fixed and variable rate debt includes foreign borrowings and revolving credit facilities. Our fixed rate debt also consists of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5"/>
          </w:tcPr>
          <w:p>
            <w:pPr>
              <w:ind w:left="40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rate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58,347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178,346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58,346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578,303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35,555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908,897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905,495</w:t>
            </w:r>
          </w:p>
        </w:tc>
      </w:tr>
      <w:tr>
        <w:trPr>
          <w:trHeight w:val="264"/>
        </w:trPr>
        <w:tc>
          <w:tcPr>
            <w:tcW w:w="2320" w:type="dxa"/>
            <w:vAlign w:val="bottom"/>
          </w:tcPr>
          <w:p>
            <w:pPr>
              <w:ind w:left="18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Variable rate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56,232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203,430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17,150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425,232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424,503</w:t>
            </w:r>
          </w:p>
        </w:tc>
      </w:tr>
      <w:tr>
        <w:trPr>
          <w:trHeight w:val="264"/>
        </w:trPr>
        <w:tc>
          <w:tcPr>
            <w:tcW w:w="2320" w:type="dxa"/>
            <w:vAlign w:val="bottom"/>
          </w:tcPr>
          <w:p>
            <w:pPr>
              <w:ind w:left="18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3"/>
        </w:trPr>
        <w:tc>
          <w:tcPr>
            <w:tcW w:w="2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debt maturities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114,579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323,346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58,346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581,723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238,985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1,334,129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1,329,998</w:t>
            </w:r>
          </w:p>
        </w:tc>
      </w:tr>
      <w:tr>
        <w:trPr>
          <w:trHeight w:val="20"/>
        </w:trPr>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the fair value of our long-term debt, see Note 14 to our Consolidated Financial Statements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80" w:type="dxa"/>
            <w:vAlign w:val="bottom"/>
            <w:gridSpan w:val="9"/>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740" w:type="dxa"/>
            <w:vAlign w:val="bottom"/>
            <w:gridSpan w:val="11"/>
          </w:tcPr>
          <w:p>
            <w:pPr>
              <w:spacing w:after="0"/>
              <w:rPr>
                <w:sz w:val="20"/>
                <w:szCs w:val="20"/>
                <w:color w:val="auto"/>
              </w:rPr>
            </w:pPr>
            <w:r>
              <w:rPr>
                <w:rFonts w:ascii="Arial" w:cs="Arial" w:eastAsia="Arial" w:hAnsi="Arial"/>
                <w:sz w:val="18"/>
                <w:szCs w:val="18"/>
                <w:color w:val="auto"/>
              </w:rPr>
              <w:t>We present the information required by Item 8 of Form 10-K here in the following order:</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202"/>
        </w:trPr>
        <w:tc>
          <w:tcPr>
            <w:tcW w:w="40" w:type="dxa"/>
            <w:vAlign w:val="bottom"/>
          </w:tcPr>
          <w:p>
            <w:pPr>
              <w:spacing w:after="0"/>
              <w:rPr>
                <w:sz w:val="17"/>
                <w:szCs w:val="17"/>
                <w:color w:val="auto"/>
              </w:rPr>
            </w:pPr>
          </w:p>
        </w:tc>
        <w:tc>
          <w:tcPr>
            <w:tcW w:w="4220" w:type="dxa"/>
            <w:vAlign w:val="bottom"/>
            <w:gridSpan w:val="4"/>
          </w:tcPr>
          <w:p>
            <w:pPr>
              <w:spacing w:after="0" w:line="202" w:lineRule="exact"/>
              <w:rPr>
                <w:rFonts w:ascii="Arial" w:cs="Arial" w:eastAsia="Arial" w:hAnsi="Arial"/>
                <w:sz w:val="18"/>
                <w:szCs w:val="18"/>
                <w:color w:val="0000FF"/>
                <w:w w:val="91"/>
              </w:rPr>
            </w:pPr>
            <w:hyperlink w:anchor="page51">
              <w:r>
                <w:rPr>
                  <w:rFonts w:ascii="Arial" w:cs="Arial" w:eastAsia="Arial" w:hAnsi="Arial"/>
                  <w:sz w:val="18"/>
                  <w:szCs w:val="18"/>
                  <w:color w:val="0000FF"/>
                  <w:w w:val="91"/>
                </w:rPr>
                <w:t>Report of Independent Registered Public Accounting Firm</w:t>
              </w:r>
            </w:hyperlink>
          </w:p>
        </w:tc>
        <w:tc>
          <w:tcPr>
            <w:tcW w:w="6480" w:type="dxa"/>
            <w:vAlign w:val="bottom"/>
            <w:gridSpan w:val="6"/>
          </w:tcPr>
          <w:p>
            <w:pPr>
              <w:spacing w:after="0"/>
              <w:rPr>
                <w:sz w:val="17"/>
                <w:szCs w:val="17"/>
                <w:color w:val="auto"/>
              </w:rPr>
            </w:pPr>
          </w:p>
        </w:tc>
        <w:tc>
          <w:tcPr>
            <w:tcW w:w="680" w:type="dxa"/>
            <w:vAlign w:val="bottom"/>
            <w:gridSpan w:val="3"/>
          </w:tcPr>
          <w:p>
            <w:pPr>
              <w:jc w:val="right"/>
              <w:ind w:right="2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1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Income — Years ended December 31, 2018, 2017 and 2016</w:t>
              </w:r>
            </w:hyperlink>
          </w:p>
        </w:tc>
        <w:tc>
          <w:tcPr>
            <w:tcW w:w="680" w:type="dxa"/>
            <w:vAlign w:val="bottom"/>
            <w:gridSpan w:val="3"/>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Comprehensive Income — Years ended December 31, 2018, 2017 and 2016</w:t>
              </w:r>
            </w:hyperlink>
          </w:p>
        </w:tc>
        <w:tc>
          <w:tcPr>
            <w:tcW w:w="680" w:type="dxa"/>
            <w:vAlign w:val="bottom"/>
            <w:gridSpan w:val="3"/>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80" w:type="dxa"/>
            <w:vAlign w:val="bottom"/>
            <w:gridSpan w:val="5"/>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Consolidated Balance Sheets — December 31, 2018 and 2017</w:t>
              </w:r>
            </w:hyperlink>
          </w:p>
        </w:tc>
        <w:tc>
          <w:tcPr>
            <w:tcW w:w="3020" w:type="dxa"/>
            <w:vAlign w:val="bottom"/>
            <w:gridSpan w:val="4"/>
          </w:tcPr>
          <w:p>
            <w:pPr>
              <w:spacing w:after="0"/>
              <w:rPr>
                <w:sz w:val="21"/>
                <w:szCs w:val="21"/>
                <w:color w:val="auto"/>
              </w:rPr>
            </w:pPr>
          </w:p>
        </w:tc>
        <w:tc>
          <w:tcPr>
            <w:tcW w:w="320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20" w:type="dxa"/>
            <w:vAlign w:val="bottom"/>
            <w:gridSpan w:val="8"/>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Stockholders’ Equity — Years ended December 31, 2018, 2017 and 2016</w:t>
              </w:r>
            </w:hyperlink>
          </w:p>
        </w:tc>
        <w:tc>
          <w:tcPr>
            <w:tcW w:w="338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40" w:type="dxa"/>
            <w:vAlign w:val="bottom"/>
            <w:gridSpan w:val="7"/>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Cash Flows — Years ended December 31, 2018, 2017 and 2016</w:t>
              </w:r>
            </w:hyperlink>
          </w:p>
        </w:tc>
        <w:tc>
          <w:tcPr>
            <w:tcW w:w="680" w:type="dxa"/>
            <w:vAlign w:val="bottom"/>
          </w:tcPr>
          <w:p>
            <w:pPr>
              <w:spacing w:after="0"/>
              <w:rPr>
                <w:sz w:val="21"/>
                <w:szCs w:val="21"/>
                <w:color w:val="auto"/>
              </w:rPr>
            </w:pPr>
          </w:p>
        </w:tc>
        <w:tc>
          <w:tcPr>
            <w:tcW w:w="338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40" w:type="dxa"/>
            <w:vAlign w:val="bottom"/>
            <w:gridSpan w:val="7"/>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Notes to Consolidated Financial Statements</w:t>
              </w:r>
            </w:hyperlink>
          </w:p>
        </w:tc>
        <w:tc>
          <w:tcPr>
            <w:tcW w:w="4060" w:type="dxa"/>
            <w:vAlign w:val="bottom"/>
            <w:gridSpan w:val="3"/>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57</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640" w:type="dxa"/>
            <w:vAlign w:val="bottom"/>
            <w:gridSpan w:val="3"/>
          </w:tcPr>
          <w:p>
            <w:pPr>
              <w:spacing w:after="0"/>
              <w:rPr>
                <w:rFonts w:ascii="Arial" w:cs="Arial" w:eastAsia="Arial" w:hAnsi="Arial"/>
                <w:sz w:val="18"/>
                <w:szCs w:val="18"/>
                <w:color w:val="0000FF"/>
                <w:w w:val="92"/>
              </w:rPr>
            </w:pPr>
            <w:hyperlink w:anchor="page88">
              <w:r>
                <w:rPr>
                  <w:rFonts w:ascii="Arial" w:cs="Arial" w:eastAsia="Arial" w:hAnsi="Arial"/>
                  <w:sz w:val="18"/>
                  <w:szCs w:val="18"/>
                  <w:color w:val="0000FF"/>
                  <w:w w:val="92"/>
                </w:rPr>
                <w:t>Schedule II — Valuation and Qualifying Accounts</w:t>
              </w:r>
            </w:hyperlink>
          </w:p>
        </w:tc>
        <w:tc>
          <w:tcPr>
            <w:tcW w:w="7060" w:type="dxa"/>
            <w:vAlign w:val="bottom"/>
            <w:gridSpan w:val="7"/>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88">
              <w:r>
                <w:rPr>
                  <w:rFonts w:ascii="Arial" w:cs="Arial" w:eastAsia="Arial" w:hAnsi="Arial"/>
                  <w:sz w:val="18"/>
                  <w:szCs w:val="18"/>
                  <w:color w:val="0000FF"/>
                </w:rPr>
                <w:t>86</w:t>
              </w:r>
            </w:hyperlink>
          </w:p>
        </w:tc>
      </w:tr>
      <w:tr>
        <w:trPr>
          <w:trHeight w:val="939"/>
        </w:trPr>
        <w:tc>
          <w:tcPr>
            <w:tcW w:w="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920" w:type="dxa"/>
            <w:vAlign w:val="bottom"/>
            <w:tcBorders>
              <w:top w:val="single" w:sz="8" w:color="0000FF"/>
            </w:tcBorders>
            <w:gridSpan w:val="2"/>
          </w:tcPr>
          <w:p>
            <w:pPr>
              <w:spacing w:after="0"/>
              <w:rPr>
                <w:sz w:val="24"/>
                <w:szCs w:val="24"/>
                <w:color w:val="auto"/>
              </w:rPr>
            </w:pPr>
          </w:p>
        </w:tc>
        <w:tc>
          <w:tcPr>
            <w:tcW w:w="2680" w:type="dxa"/>
            <w:vAlign w:val="bottom"/>
            <w:gridSpan w:val="3"/>
          </w:tcPr>
          <w:p>
            <w:pPr>
              <w:jc w:val="right"/>
              <w:ind w:right="56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Amkor Technology,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Amkor Technology, Inc. and its subsidiaries (the "Company") as of December 31, 2018 and 2017, and the related consolidated statements of income, comprehensive income, stockholders’ equity and cash flows for each of the three years in the period ended December 31, 2018, including the related notes and schedule of valuation and qualifying accounts for each of the three years in the period ended December 31, 2018 appearing under Item 8 (collectively referred to as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revenues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4"/>
                <w:szCs w:val="14"/>
                <w:b w:val="1"/>
                <w:bCs w:val="1"/>
                <w:color w:val="auto"/>
                <w:w w:val="93"/>
              </w:rPr>
              <w:t>For the Year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60" w:type="dxa"/>
            <w:vAlign w:val="bottom"/>
            <w:gridSpan w:val="6"/>
          </w:tcPr>
          <w:p>
            <w:pPr>
              <w:jc w:val="center"/>
              <w:ind w:left="612"/>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4,316,466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4,207,031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3,927,849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3,605,901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3,445,952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3,217,958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710,565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761,079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709,891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295,239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297,021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284,094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117,210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(108,109)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452,421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401,304</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258,144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405,540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308,587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79,668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 related party</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72,329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98,044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78,892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307,496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229,695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56,250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39,791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51,042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178,653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127,092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263,550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175,530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Net income attributable to Amkor per common share:</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per common share amounts: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239,329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238,937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237,416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239,741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239,651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238,034</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129,565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267,705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178,653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unrealized components of defined benefit pension plans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5,783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130,858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283,962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186,999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attributable to Amkor</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128,385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279,807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183,876</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52"/>
        </w:trPr>
        <w:tc>
          <w:tcPr>
            <w:tcW w:w="8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3"/>
          </w:tcPr>
          <w:p>
            <w:pPr>
              <w:jc w:val="center"/>
              <w:ind w:left="572"/>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3"/>
                <w:szCs w:val="13"/>
                <w:color w:val="auto"/>
              </w:rPr>
            </w:pPr>
          </w:p>
        </w:tc>
      </w:t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1"/>
              </w:rPr>
              <w:t>except per share data)</w:t>
            </w:r>
          </w:p>
        </w:tc>
      </w:tr>
      <w:tr>
        <w:trPr>
          <w:trHeight w:val="256"/>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681,569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596,364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allowances of $677 and $803,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724,456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798,264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230,589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213,649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32,005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33,727</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1,671,208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1,644,004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2,650,448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2,695,065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25,720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25,036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144,178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139,796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4,495,447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4,508,388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114,579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123,848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Trade accounts payable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530,398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569,085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255,237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294,258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258,209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330,868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1,158,423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1,318,059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1,217,732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1,240,581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severance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184,321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182,216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79,071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47,823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2,639,547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2,788,679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15)</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Preferred stock, $0.001 par value, 10,000 shares authorized, designated Series A, none issued</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Common stock, $0.001 par value, 500,000 shares authorized, 285,352 and 285,129 shares issued, and 239,385</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and 239,184 shares outstanding,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1,909,425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1,903,357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 (accumulated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23,812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22,519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45,967 and 45,945 shares, respectively</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(216,171)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(215,982)</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Amkor stockholders’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1,830,540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1,696,276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25,360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23,433</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1,855,900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1,719,709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4,495,447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4,508,388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1760" w:type="dxa"/>
            <w:vAlign w:val="bottom"/>
            <w:gridSpan w:val="5"/>
            <w:vMerge w:val="restart"/>
          </w:tcPr>
          <w:p>
            <w:pPr>
              <w:ind w:left="48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9"/>
              </w:rPr>
              <w:t>Accumulated</w:t>
            </w:r>
          </w:p>
        </w:tc>
        <w:tc>
          <w:tcPr>
            <w:tcW w:w="1520" w:type="dxa"/>
            <w:vAlign w:val="bottom"/>
            <w:gridSpan w:val="5"/>
            <w:vMerge w:val="restart"/>
          </w:tcPr>
          <w:p>
            <w:pPr>
              <w:ind w:left="280"/>
              <w:spacing w:after="0"/>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Retained Earnings</w:t>
            </w:r>
          </w:p>
        </w:tc>
        <w:tc>
          <w:tcPr>
            <w:tcW w:w="120" w:type="dxa"/>
            <w:vAlign w:val="bottom"/>
          </w:tcPr>
          <w:p>
            <w:pPr>
              <w:spacing w:after="0"/>
              <w:rPr>
                <w:sz w:val="10"/>
                <w:szCs w:val="10"/>
                <w:color w:val="auto"/>
              </w:rPr>
            </w:pPr>
          </w:p>
        </w:tc>
        <w:tc>
          <w:tcPr>
            <w:tcW w:w="1160" w:type="dxa"/>
            <w:vAlign w:val="bottom"/>
            <w:gridSpan w:val="3"/>
          </w:tcPr>
          <w:p>
            <w:pPr>
              <w:jc w:val="center"/>
              <w:ind w:right="400"/>
              <w:spacing w:after="0" w:line="122" w:lineRule="exact"/>
              <w:rPr>
                <w:sz w:val="20"/>
                <w:szCs w:val="20"/>
                <w:color w:val="auto"/>
              </w:rPr>
            </w:pPr>
            <w:r>
              <w:rPr>
                <w:rFonts w:ascii="Arial" w:cs="Arial" w:eastAsia="Arial" w:hAnsi="Arial"/>
                <w:sz w:val="11"/>
                <w:szCs w:val="11"/>
                <w:b w:val="1"/>
                <w:bCs w:val="1"/>
                <w:color w:val="auto"/>
                <w:w w:val="95"/>
              </w:rPr>
              <w:t>Other</w:t>
            </w:r>
          </w:p>
        </w:tc>
        <w:tc>
          <w:tcPr>
            <w:tcW w:w="15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Noncontrolling</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6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3"/>
          </w:tcPr>
          <w:p>
            <w:pPr>
              <w:jc w:val="center"/>
              <w:ind w:right="120"/>
              <w:spacing w:after="0" w:line="102" w:lineRule="exact"/>
              <w:rPr>
                <w:sz w:val="20"/>
                <w:szCs w:val="20"/>
                <w:color w:val="auto"/>
              </w:rPr>
            </w:pPr>
            <w:r>
              <w:rPr>
                <w:rFonts w:ascii="Arial" w:cs="Arial" w:eastAsia="Arial" w:hAnsi="Arial"/>
                <w:sz w:val="11"/>
                <w:szCs w:val="11"/>
                <w:b w:val="1"/>
                <w:bCs w:val="1"/>
                <w:color w:val="auto"/>
                <w:w w:val="93"/>
              </w:rPr>
              <w:t>Additional Paid-</w:t>
            </w:r>
          </w:p>
        </w:tc>
        <w:tc>
          <w:tcPr>
            <w:tcW w:w="100" w:type="dxa"/>
            <w:vAlign w:val="bottom"/>
          </w:tcPr>
          <w:p>
            <w:pPr>
              <w:spacing w:after="0"/>
              <w:rPr>
                <w:sz w:val="8"/>
                <w:szCs w:val="8"/>
                <w:color w:val="auto"/>
              </w:rPr>
            </w:pPr>
          </w:p>
        </w:tc>
        <w:tc>
          <w:tcPr>
            <w:tcW w:w="106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87"/>
              </w:rPr>
              <w:t>(Accumulated</w:t>
            </w:r>
          </w:p>
        </w:tc>
        <w:tc>
          <w:tcPr>
            <w:tcW w:w="120" w:type="dxa"/>
            <w:vAlign w:val="bottom"/>
          </w:tcPr>
          <w:p>
            <w:pPr>
              <w:spacing w:after="0"/>
              <w:rPr>
                <w:sz w:val="8"/>
                <w:szCs w:val="8"/>
                <w:color w:val="auto"/>
              </w:rPr>
            </w:pPr>
          </w:p>
        </w:tc>
        <w:tc>
          <w:tcPr>
            <w:tcW w:w="10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87"/>
              </w:rPr>
              <w:t>Comprehensive</w:t>
            </w: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88"/>
              </w:rPr>
              <w:t>Stockholders'</w:t>
            </w:r>
          </w:p>
        </w:tc>
        <w:tc>
          <w:tcPr>
            <w:tcW w:w="120" w:type="dxa"/>
            <w:vAlign w:val="bottom"/>
          </w:tcPr>
          <w:p>
            <w:pPr>
              <w:spacing w:after="0"/>
              <w:rPr>
                <w:sz w:val="8"/>
                <w:szCs w:val="8"/>
                <w:color w:val="auto"/>
              </w:rPr>
            </w:pPr>
          </w:p>
        </w:tc>
        <w:tc>
          <w:tcPr>
            <w:tcW w:w="10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1"/>
              </w:rPr>
              <w:t>Interest in</w:t>
            </w:r>
          </w:p>
        </w:tc>
        <w:tc>
          <w:tcPr>
            <w:tcW w:w="120" w:type="dxa"/>
            <w:vAlign w:val="bottom"/>
          </w:tcPr>
          <w:p>
            <w:pPr>
              <w:spacing w:after="0"/>
              <w:rPr>
                <w:sz w:val="8"/>
                <w:szCs w:val="8"/>
                <w:color w:val="auto"/>
              </w:rPr>
            </w:pPr>
          </w:p>
        </w:tc>
        <w:tc>
          <w:tcPr>
            <w:tcW w:w="660" w:type="dxa"/>
            <w:vAlign w:val="bottom"/>
          </w:tcPr>
          <w:p>
            <w:pPr>
              <w:jc w:val="right"/>
              <w:ind w:right="218"/>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Par Value</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In Capital</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Deficit)</w:t>
            </w:r>
          </w:p>
        </w:tc>
        <w:tc>
          <w:tcPr>
            <w:tcW w:w="120" w:type="dxa"/>
            <w:vAlign w:val="bottom"/>
          </w:tcPr>
          <w:p>
            <w:pPr>
              <w:spacing w:after="0"/>
              <w:rPr>
                <w:sz w:val="12"/>
                <w:szCs w:val="12"/>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8"/>
              </w:rPr>
              <w:t>Income (Loss)</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Equity</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Subsidiaries</w:t>
            </w:r>
          </w:p>
        </w:tc>
        <w:tc>
          <w:tcPr>
            <w:tcW w:w="120" w:type="dxa"/>
            <w:vAlign w:val="bottom"/>
          </w:tcPr>
          <w:p>
            <w:pPr>
              <w:spacing w:after="0"/>
              <w:rPr>
                <w:sz w:val="12"/>
                <w:szCs w:val="12"/>
                <w:color w:val="auto"/>
              </w:rPr>
            </w:pPr>
          </w:p>
        </w:tc>
        <w:tc>
          <w:tcPr>
            <w:tcW w:w="660" w:type="dxa"/>
            <w:vAlign w:val="bottom"/>
          </w:tcPr>
          <w:p>
            <w:pPr>
              <w:jc w:val="right"/>
              <w:ind w:right="17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ind w:left="480"/>
              <w:spacing w:after="0"/>
              <w:rPr>
                <w:sz w:val="20"/>
                <w:szCs w:val="20"/>
                <w:color w:val="auto"/>
              </w:rPr>
            </w:pPr>
            <w:r>
              <w:rPr>
                <w:rFonts w:ascii="Arial" w:cs="Arial" w:eastAsia="Arial" w:hAnsi="Arial"/>
                <w:sz w:val="11"/>
                <w:szCs w:val="11"/>
                <w:b w:val="1"/>
                <w:bCs w:val="1"/>
                <w:color w:val="auto"/>
                <w:w w:val="87"/>
              </w:rPr>
              <w:t>(In thousands)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62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rPr>
              <w:t>Balance at December 31,</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2015</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282,724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1,883,592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(467,747)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(2,084)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w w:val="86"/>
              </w:rPr>
              <w:t>(45,719)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(213,758)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1,200,286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17,250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1,217,536</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w w:val="93"/>
              </w:rPr>
              <w:t>Cumulative effect adjustment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from standard adoption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14,764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14,764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14,764</w:t>
            </w:r>
          </w:p>
        </w:tc>
        <w:tc>
          <w:tcPr>
            <w:tcW w:w="0" w:type="dxa"/>
            <w:vAlign w:val="bottom"/>
          </w:tcPr>
          <w:p>
            <w:pPr>
              <w:spacing w:after="0"/>
              <w:rPr>
                <w:sz w:val="1"/>
                <w:szCs w:val="1"/>
                <w:color w:val="auto"/>
              </w:rPr>
            </w:pPr>
          </w:p>
        </w:tc>
      </w:tr>
      <w:tr>
        <w:trPr>
          <w:trHeight w:val="278"/>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175,530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175,530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178,653</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w w:val="91"/>
              </w:rPr>
              <w:t>Other comprehensive income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(loss)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8,346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8,346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8,346</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Treasury stock acquired</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7"/>
              </w:rPr>
              <w:t>through surrender of shares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for tax withholding</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Issuance of stock through</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0"/>
              <w:spacing w:after="0" w:line="135" w:lineRule="exact"/>
              <w:rPr>
                <w:sz w:val="20"/>
                <w:szCs w:val="20"/>
                <w:color w:val="auto"/>
              </w:rPr>
            </w:pPr>
            <w:r>
              <w:rPr>
                <w:rFonts w:ascii="Arial" w:cs="Arial" w:eastAsia="Arial" w:hAnsi="Arial"/>
                <w:sz w:val="13"/>
                <w:szCs w:val="13"/>
                <w:color w:val="auto"/>
                <w:w w:val="89"/>
              </w:rPr>
              <w:t>share-based compensation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plans</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1,755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8,246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8,247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8,247</w:t>
            </w:r>
          </w:p>
        </w:tc>
        <w:tc>
          <w:tcPr>
            <w:tcW w:w="0" w:type="dxa"/>
            <w:vAlign w:val="bottom"/>
          </w:tcPr>
          <w:p>
            <w:pPr>
              <w:spacing w:after="0"/>
              <w:rPr>
                <w:sz w:val="1"/>
                <w:szCs w:val="1"/>
                <w:color w:val="auto"/>
              </w:rPr>
            </w:pPr>
          </w:p>
        </w:tc>
      </w:tr>
      <w:tr>
        <w:trPr>
          <w:trHeight w:val="278"/>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Share-based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3,251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3,251</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Subsidiary dividends to</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20" w:type="dxa"/>
            <w:vAlign w:val="bottom"/>
          </w:tcPr>
          <w:p>
            <w:pPr>
              <w:ind w:left="200"/>
              <w:spacing w:after="0"/>
              <w:rPr>
                <w:sz w:val="20"/>
                <w:szCs w:val="20"/>
                <w:color w:val="auto"/>
              </w:rPr>
            </w:pPr>
            <w:r>
              <w:rPr>
                <w:rFonts w:ascii="Arial" w:cs="Arial" w:eastAsia="Arial" w:hAnsi="Arial"/>
                <w:sz w:val="13"/>
                <w:szCs w:val="13"/>
                <w:color w:val="auto"/>
              </w:rPr>
              <w:t>noncontrolling interests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130"/>
        </w:trPr>
        <w:tc>
          <w:tcPr>
            <w:tcW w:w="162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Balance at December 31,</w:t>
            </w: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2016</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284,479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1,895,089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(277,453)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6,262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w w:val="86"/>
              </w:rPr>
              <w:t>(45,814)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(214,490)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1,409,692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19,825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1,429,517</w:t>
            </w:r>
          </w:p>
        </w:tc>
        <w:tc>
          <w:tcPr>
            <w:tcW w:w="0" w:type="dxa"/>
            <w:vAlign w:val="bottom"/>
          </w:tcPr>
          <w:p>
            <w:pPr>
              <w:spacing w:after="0"/>
              <w:rPr>
                <w:sz w:val="1"/>
                <w:szCs w:val="1"/>
                <w:color w:val="auto"/>
              </w:rPr>
            </w:pP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263,550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263,550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4,155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267,705</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Other comprehensive income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16,257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16,257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16,257</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Treasury stock acquired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0"/>
              <w:spacing w:after="0" w:line="135" w:lineRule="exact"/>
              <w:rPr>
                <w:sz w:val="20"/>
                <w:szCs w:val="20"/>
                <w:color w:val="auto"/>
              </w:rPr>
            </w:pPr>
            <w:r>
              <w:rPr>
                <w:rFonts w:ascii="Arial" w:cs="Arial" w:eastAsia="Arial" w:hAnsi="Arial"/>
                <w:sz w:val="13"/>
                <w:szCs w:val="13"/>
                <w:color w:val="auto"/>
                <w:w w:val="87"/>
              </w:rPr>
              <w:t>through surrender of shares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for tax withholding</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(1,492)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(1,492)</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stock through</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9"/>
              </w:rPr>
              <w:t>share-based compensation</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plans</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3,124</w:t>
            </w:r>
          </w:p>
        </w:tc>
        <w:tc>
          <w:tcPr>
            <w:tcW w:w="0" w:type="dxa"/>
            <w:vAlign w:val="bottom"/>
          </w:tcPr>
          <w:p>
            <w:pPr>
              <w:spacing w:after="0"/>
              <w:rPr>
                <w:sz w:val="1"/>
                <w:szCs w:val="1"/>
                <w:color w:val="auto"/>
              </w:rPr>
            </w:pP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w w:val="98"/>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5,145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5,145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5,145</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Subsidiary dividends to</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noncontrolling interests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124"/>
        </w:trPr>
        <w:tc>
          <w:tcPr>
            <w:tcW w:w="1620" w:type="dxa"/>
            <w:vAlign w:val="bottom"/>
          </w:tcPr>
          <w:p>
            <w:pPr>
              <w:ind w:left="40"/>
              <w:spacing w:after="0" w:line="124" w:lineRule="exact"/>
              <w:rPr>
                <w:sz w:val="20"/>
                <w:szCs w:val="20"/>
                <w:color w:val="auto"/>
              </w:rPr>
            </w:pPr>
            <w:r>
              <w:rPr>
                <w:rFonts w:ascii="Arial" w:cs="Arial" w:eastAsia="Arial" w:hAnsi="Arial"/>
                <w:sz w:val="13"/>
                <w:szCs w:val="13"/>
                <w:b w:val="1"/>
                <w:bCs w:val="1"/>
                <w:color w:val="auto"/>
              </w:rPr>
              <w:t>Balance at December 31,</w:t>
            </w: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200"/>
              <w:spacing w:after="0"/>
              <w:rPr>
                <w:sz w:val="20"/>
                <w:szCs w:val="20"/>
                <w:color w:val="auto"/>
              </w:rPr>
            </w:pPr>
            <w:r>
              <w:rPr>
                <w:rFonts w:ascii="Arial" w:cs="Arial" w:eastAsia="Arial" w:hAnsi="Arial"/>
                <w:sz w:val="13"/>
                <w:szCs w:val="13"/>
                <w:b w:val="1"/>
                <w:bCs w:val="1"/>
                <w:color w:val="auto"/>
              </w:rPr>
              <w:t>2017</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285,129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1,903,357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18"/>
              <w:spacing w:after="0"/>
              <w:rPr>
                <w:sz w:val="20"/>
                <w:szCs w:val="20"/>
                <w:color w:val="auto"/>
              </w:rPr>
            </w:pPr>
            <w:r>
              <w:rPr>
                <w:rFonts w:ascii="Arial" w:cs="Arial" w:eastAsia="Arial" w:hAnsi="Arial"/>
                <w:sz w:val="13"/>
                <w:szCs w:val="13"/>
                <w:color w:val="auto"/>
              </w:rPr>
              <w:t>(13,903)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22,519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w w:val="86"/>
              </w:rPr>
              <w:t>(45,945)</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6"/>
              </w:rPr>
              <w:t>(215,982)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1,696,276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23,433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w w:val="93"/>
              </w:rPr>
              <w:t>1,719,709</w:t>
            </w:r>
          </w:p>
        </w:tc>
        <w:tc>
          <w:tcPr>
            <w:tcW w:w="0" w:type="dxa"/>
            <w:vAlign w:val="bottom"/>
          </w:tcPr>
          <w:p>
            <w:pPr>
              <w:spacing w:after="0"/>
              <w:rPr>
                <w:sz w:val="1"/>
                <w:szCs w:val="1"/>
                <w:color w:val="auto"/>
              </w:rPr>
            </w:pPr>
          </w:p>
        </w:tc>
      </w:tr>
      <w:tr>
        <w:trPr>
          <w:trHeight w:val="278"/>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127,092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127,092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2,473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129,565</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w w:val="91"/>
              </w:rPr>
              <w:t>Other comprehensive income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(loss)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1,293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1,293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1,293</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Treasury stock acquired</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7"/>
              </w:rPr>
              <w:t>through surrender of shares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for tax withholding</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Issuance of stock through</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0"/>
              <w:spacing w:after="0" w:line="135" w:lineRule="exact"/>
              <w:rPr>
                <w:sz w:val="20"/>
                <w:szCs w:val="20"/>
                <w:color w:val="auto"/>
              </w:rPr>
            </w:pPr>
            <w:r>
              <w:rPr>
                <w:rFonts w:ascii="Arial" w:cs="Arial" w:eastAsia="Arial" w:hAnsi="Arial"/>
                <w:sz w:val="13"/>
                <w:szCs w:val="13"/>
                <w:color w:val="auto"/>
                <w:w w:val="89"/>
              </w:rPr>
              <w:t>share-based compensation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plans</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1,050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278"/>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Share-based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5,018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5,018</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Subsidiary dividends to</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20" w:type="dxa"/>
            <w:vAlign w:val="bottom"/>
          </w:tcPr>
          <w:p>
            <w:pPr>
              <w:ind w:left="200"/>
              <w:spacing w:after="0"/>
              <w:rPr>
                <w:sz w:val="20"/>
                <w:szCs w:val="20"/>
                <w:color w:val="auto"/>
              </w:rPr>
            </w:pPr>
            <w:r>
              <w:rPr>
                <w:rFonts w:ascii="Arial" w:cs="Arial" w:eastAsia="Arial" w:hAnsi="Arial"/>
                <w:sz w:val="13"/>
                <w:szCs w:val="13"/>
                <w:color w:val="auto"/>
              </w:rPr>
              <w:t>noncontrolling interests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30"/>
        </w:trPr>
        <w:tc>
          <w:tcPr>
            <w:tcW w:w="162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Balance at December 31,</w:t>
            </w:r>
          </w:p>
        </w:tc>
        <w:tc>
          <w:tcPr>
            <w:tcW w:w="700" w:type="dxa"/>
            <w:vAlign w:val="bottom"/>
            <w:tcBorders>
              <w:top w:val="single" w:sz="8" w:color="auto"/>
            </w:tcBorders>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285,352</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285</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1,909,425</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113,189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23,812</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vMerge w:val="restart"/>
            <w:shd w:val="clear" w:color="auto" w:fill="CCEEFF"/>
          </w:tcPr>
          <w:p>
            <w:pPr>
              <w:jc w:val="right"/>
              <w:ind w:right="18"/>
              <w:spacing w:after="0"/>
              <w:rPr>
                <w:sz w:val="20"/>
                <w:szCs w:val="20"/>
                <w:color w:val="auto"/>
              </w:rPr>
            </w:pPr>
            <w:r>
              <w:rPr>
                <w:rFonts w:ascii="Arial" w:cs="Arial" w:eastAsia="Arial" w:hAnsi="Arial"/>
                <w:sz w:val="13"/>
                <w:szCs w:val="13"/>
                <w:color w:val="auto"/>
                <w:w w:val="86"/>
              </w:rPr>
              <w:t>(45,967)</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96"/>
              </w:rPr>
              <w:t>(216,171)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1,830,540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25,360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jc w:val="right"/>
              <w:ind w:right="38"/>
              <w:spacing w:after="0"/>
              <w:rPr>
                <w:sz w:val="20"/>
                <w:szCs w:val="20"/>
                <w:color w:val="auto"/>
              </w:rPr>
            </w:pPr>
            <w:r>
              <w:rPr>
                <w:rFonts w:ascii="Arial" w:cs="Arial" w:eastAsia="Arial" w:hAnsi="Arial"/>
                <w:sz w:val="13"/>
                <w:szCs w:val="13"/>
                <w:color w:val="auto"/>
                <w:w w:val="93"/>
              </w:rPr>
              <w:t>1,855,900</w:t>
            </w:r>
          </w:p>
        </w:tc>
        <w:tc>
          <w:tcPr>
            <w:tcW w:w="0" w:type="dxa"/>
            <w:vAlign w:val="bottom"/>
          </w:tcPr>
          <w:p>
            <w:pPr>
              <w:spacing w:after="0"/>
              <w:rPr>
                <w:sz w:val="1"/>
                <w:szCs w:val="1"/>
                <w:color w:val="auto"/>
              </w:rPr>
            </w:pPr>
          </w:p>
        </w:tc>
      </w:tr>
      <w:tr>
        <w:trPr>
          <w:trHeight w:val="166"/>
        </w:trPr>
        <w:tc>
          <w:tcPr>
            <w:tcW w:w="1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2018</w:t>
            </w: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6"/>
          </w:tcPr>
          <w:p>
            <w:pPr>
              <w:jc w:val="center"/>
              <w:ind w:left="619"/>
              <w:spacing w:after="0"/>
              <w:rPr>
                <w:sz w:val="20"/>
                <w:szCs w:val="20"/>
                <w:color w:val="auto"/>
              </w:rPr>
            </w:pPr>
            <w:r>
              <w:rPr>
                <w:rFonts w:ascii="Arial" w:cs="Arial" w:eastAsia="Arial" w:hAnsi="Arial"/>
                <w:sz w:val="16"/>
                <w:szCs w:val="16"/>
                <w:b w:val="1"/>
                <w:bCs w:val="1"/>
                <w:color w:val="auto"/>
                <w:w w:val="92"/>
              </w:rPr>
              <w:t>For the Year Ended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thousands)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129,565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267,705</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178,653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571,961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581,940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555,186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Gain on sale of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(108,109)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Amortization of deferred debt issuance costs and premiums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1,403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1,443</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Loss on debt retirement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4,835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 (gain) on disposal of fixed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1,390</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Share-based compensation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5,145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3,251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Proceeds from insurance recovery for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(15,166)</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Other, net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3,929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2,858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 net of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80,571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(133,814)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(55,184)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(8,623)</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Other current assets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4,329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(2,473)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1,124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Trade accounts payable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(43,490)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67,574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48,581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48,159</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Pension and severance obligations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23,881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1,625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(29,331)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(36,335)</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663,410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618,267</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729,402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Payments for property, plant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(547,122)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(550,943)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(650,038)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141,530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45,635</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Proceeds from insurance recovery for property, plant and equipment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15,166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business,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Other investing activities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5,527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(1,648)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(537,383)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(454,832)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(589,427)</w:t>
            </w: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revolving credit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Payments of revolving credit facilities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(255,000)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49,131</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Payments of short-term debt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(46,631)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(70,236)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(49,500)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596,226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223,976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46,000</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Payments of long-term debt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(535,738)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(405,269)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(32,078)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long-term debt, related party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Payments of capital lease obligations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(5,340)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of deferred consideration for purchase of facility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Proceeds from issuance of stock through share-based compensation plans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8,247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(40,623)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(124,886)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(112,179)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fluctuations on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85,200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47,356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28,147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602,851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555,495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527,348</w:t>
            </w: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688,051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602,851</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555,495</w:t>
            </w:r>
          </w:p>
        </w:tc>
      </w:tr>
      <w:tr>
        <w:trPr>
          <w:trHeight w:val="22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Cash paid during the period for:</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Interest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83,808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86,777</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Income taxes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63,080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61,878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32,174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Property, plant and equipment included in capital expenditures payable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256,070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294,912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146,080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Equipment acquired through capital lease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17,163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6,358</w:t>
            </w: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1" w:right="239" w:bottom="0" w:gutter="0" w:footer="0" w:header="0"/>
        </w:sectPr>
      </w:pPr>
    </w:p>
    <w:bookmarkStart w:id="57" w:name="page58"/>
    <w:bookmarkEnd w:id="57"/>
    <w:p>
      <w:pPr>
        <w:jc w:val="center"/>
        <w:spacing w:after="0"/>
        <w:rPr>
          <w:sz w:val="20"/>
          <w:szCs w:val="20"/>
          <w:color w:val="auto"/>
        </w:rPr>
      </w:pPr>
      <w:r>
        <w:rPr>
          <w:rFonts w:ascii="Arial" w:cs="Arial" w:eastAsia="Arial" w:hAnsi="Arial"/>
          <w:sz w:val="15"/>
          <w:szCs w:val="15"/>
          <w:color w:val="auto"/>
        </w:rPr>
        <w:t>The accompanying notes are an integral part of these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9019"/>
          </w:cols>
          <w:pgMar w:left="1440" w:top="125" w:right="1440"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Amkor pioneered the outsourcing of semiconductor packaging and test services through a predecessor corporation in 1968, and over the years we have built a leading position by:</w:t>
      </w:r>
    </w:p>
    <w:p>
      <w:pPr>
        <w:spacing w:after="0" w:line="1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Designing and developing innovative packaging and test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Offering a broad portfolio of cost-effective solutions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Focusing on strategic end markets that offer solid growth potential;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Cultivating long-standing relationships with our customers, which include many of the world’s leading semiconductor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Collaborating with customers, original equipment manufacturers ("OEMs") and equipment and material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a competitive cost structure with disciplined capital investment;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Building expertise in high-volume manufacturing processes and developing a reputation for high quality and solid execution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a geographically diverse operating base, with research and development, engineering support and production capabilities at various facilities throughout China, Japan, Korea, Malaysia, the Philippines, Portugal and Taiwan.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Consolidated Financial Statements include the accounts of Amkor Technology, Inc. and our subsidiaries (“Amkor”). Our Consolidated Financial Statements reflect the elimination of all significant inter-company accounts and transactions. Effective January 1, 2018, we adopted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using the full retrospective transition method as discussed in Note 2. All amounts and disclosures set forth in this Form 10-K reflect these changes as of the applicable dates and for the applicable periods. On May 22, 2017, we completed the purchase of Nanium, S.A. ("Nanium"). Nanium's financial results have been included in our Consolidated Financial Statements from the date of acquisition (Note 3). Our investments in variable interest entities in which we are the primary beneficiary are consolidated. We reflect the remaining portion of variable interest entities and foreign subsidiaries that are not wholly owned as noncontrolling interests.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amounts reported in the financial statements and accompanying notes. On an ongoing basis, we evaluate our estimates, including those related to acquisitions, revenue recognition, income taxes, inventory, long lived assets and contingencies. These estimates are based on management’s best knowledge of current events, historical experience, actions that we may undertake in the future and on various other assumptions that are believed to be reasonable under the circumstances. As a result, actual results could differ materially from these estimates and assumptions.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variable interests in certain Philippine realty corporations in which we have a 40% ownership. We lease land and buildings in the Philippines from these entities and we are the primary beneficiary of these arrangements. As of December 31, 2018, the combined book value of the assets and liabilities associated with these Philippine realty corporations included in our Consolidated Balance Sheet was $17.0 million and $0.2 million, respectively. The impact of consolidating these variable interest entities on our Consolidated Statements of Income was not significant, and other than our lease payments, we have not provided any significant assistance or other financial support to these variable interest entities for the years ended December 31, 2018, 2017 or 2016. The creditors of the Philippine realty corporations have no recourse to our general credit.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dollar is the functional currency of our subsidiaries other than J-Devices, and the foreign currency asset and liability amounts at these subsidiaries are remeasured into U.S. dollars at end-of-period exchange rates, except for nonmonetary items which are remeasured at historical rates. Foreign currency income and expenses are remeasured at daily exchange rates, except for expenses related to balance sheet amounts which are remeasured at historical exchange rates. Exchange gains and losses arising from remeasurement of foreign currency-denominated monetary assets and liabilities are included in other (income) expense, net in the period in which they occur.</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Japanese Yen is the functional currency of J-Devices. The asset and liability amounts of J-Devices are translated into U.S. dollars at end-of-period exchange rates. Income and expenses are translated into U.S. dollars at average exchange rates in effect during the period. The resulting translation adjustments are reported as a component of accumulated other comprehensive income in the stockholders’ equity section of the balance sheet. Assets and liabilities denominated in a currency other than the functional currency are remeasured into the functional currency prior to translation into U.S. dollars, and the resulting transaction exchange gains or losses are included in other expense (income) in the period in which they occur.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Concentrations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semiconductor industry is characterized by rapid technological change, competitive pricing pressures and cyclical market patterns. Our financial results are affected by a wide variety of factors, including general economic conditions worldwide, economic conditions specific to the semiconductor industry, the timely implementation of new package and test technologies, the ability to safeguard patents and intellectual property in a rapidly evolving market and reliance on materials and equipment suppliers. In addition, the semiconductor market has historically been cyclical and subject to significant economic downturns at various times.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significant portion of our revenues is concentrated with a small group of customers (Note 16). The loss of a significant customer, a business combination among customers, a reduction in orders or decrease in price from a significant customer or disruption in any of our significant strategic partnerships or other commercial arrangements could have a material adverse effect on our business, liquidity, results of operations, financial condition and cash flows.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instruments, for which we are subject to credit risk, consist principally of accounts receivable and cash and cash equivalents. With respect to accounts receivable, we mitigate our credit risk by selling primarily to well-established companies, performing ongoing credit evaluations and making frequent contact with customers. In addition, we may utilize non-recourse factoring to mitigate credit risk when considered appropriate. We have historically mitigated our credit risk with respect to cash and cash equivalents through diversification of our holdings into various high quality money market funds and bank deposit accounts. At December 31, 2018, our cash and cash equivalents were maintained in various U.S. and foreign bank operating and time deposit accounts and invested in U.S. money market funds.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be subject to certain legal proceedings, lawsuits and other claims, as discussed in Note 15. We accrue for a loss contingency, including legal proceedings, lawsuits, pending claims and other legal matters, when we conclude that the likelihood of a loss is probable and the amount of the loss can be reasonably estimated. When the reasonable estimate of the loss is within a range of amounts, and no amount in the range constitutes a better estimate than any other amount, we accrue for the amount at the low end of the range.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consider all highly liquid investments with a maturity of three months or less when purchased to be cash equivalents. Our cash and cash equivalents are maintained in various U.S. and foreign bank operating and time deposit accounts and invested in U.S. money market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current, consists of short-term cash equivalents used to collateralize our daily banking services. Restricted cash, non-current, mainly consists of collateral to fulfill foreign trade compliance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Inventories consist of raw materials and purchased components, and are stated at the lower of cost and net realizable value. Cost is principally determined by standard cost or the weighted moving average method, both of which approximate actual cost. We review and set our standard costs as needed, but at a minimum on an annual basis.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current assets consist principally of prepaid assets and an investment in government securities by a foreign subsidiary to satisfy local regulatory requirements, which is recorded at amortized cost.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are stated at cost. Depreciation is calculated by the straight-line method over the estimated useful lives of depreciable assets which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use rights</w:t>
            </w:r>
          </w:p>
        </w:tc>
        <w:tc>
          <w:tcPr>
            <w:tcW w:w="500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50 to 90 years</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5000" w:type="dxa"/>
            <w:vAlign w:val="bottom"/>
          </w:tcPr>
          <w:p>
            <w:pPr>
              <w:ind w:left="3560"/>
              <w:spacing w:after="0"/>
              <w:rPr>
                <w:sz w:val="20"/>
                <w:szCs w:val="20"/>
                <w:color w:val="auto"/>
              </w:rPr>
            </w:pPr>
            <w:r>
              <w:rPr>
                <w:rFonts w:ascii="Arial" w:cs="Arial" w:eastAsia="Arial" w:hAnsi="Arial"/>
                <w:sz w:val="18"/>
                <w:szCs w:val="18"/>
                <w:color w:val="auto"/>
              </w:rPr>
              <w:t>10 to 40 years</w:t>
            </w:r>
          </w:p>
        </w:tc>
      </w:tr>
      <w:tr>
        <w:trPr>
          <w:trHeight w:val="27"/>
        </w:trPr>
        <w:tc>
          <w:tcPr>
            <w:tcW w:w="64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5000" w:type="dxa"/>
            <w:vAlign w:val="bottom"/>
            <w:tcBorders>
              <w:bottom w:val="single" w:sz="8" w:color="CCEEFF"/>
            </w:tcBorders>
            <w:shd w:val="clear" w:color="auto" w:fill="CCEEFF"/>
          </w:tcPr>
          <w:p>
            <w:pPr>
              <w:ind w:left="3560"/>
              <w:spacing w:after="0"/>
              <w:rPr>
                <w:sz w:val="20"/>
                <w:szCs w:val="20"/>
                <w:color w:val="auto"/>
              </w:rPr>
            </w:pPr>
            <w:r>
              <w:rPr>
                <w:rFonts w:ascii="Arial" w:cs="Arial" w:eastAsia="Arial" w:hAnsi="Arial"/>
                <w:sz w:val="18"/>
                <w:szCs w:val="18"/>
                <w:color w:val="auto"/>
              </w:rPr>
              <w:t>2 to 7 years</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Software and computer equipment</w:t>
            </w:r>
          </w:p>
        </w:tc>
        <w:tc>
          <w:tcPr>
            <w:tcW w:w="5000" w:type="dxa"/>
            <w:vAlign w:val="bottom"/>
          </w:tcPr>
          <w:p>
            <w:pPr>
              <w:ind w:left="3560"/>
              <w:spacing w:after="0"/>
              <w:rPr>
                <w:sz w:val="20"/>
                <w:szCs w:val="20"/>
                <w:color w:val="auto"/>
              </w:rPr>
            </w:pPr>
            <w:r>
              <w:rPr>
                <w:rFonts w:ascii="Arial" w:cs="Arial" w:eastAsia="Arial" w:hAnsi="Arial"/>
                <w:sz w:val="18"/>
                <w:szCs w:val="18"/>
                <w:color w:val="auto"/>
              </w:rPr>
              <w:t>3 to 5 years</w:t>
            </w:r>
          </w:p>
        </w:tc>
      </w:tr>
      <w:tr>
        <w:trPr>
          <w:trHeight w:val="27"/>
        </w:trPr>
        <w:tc>
          <w:tcPr>
            <w:tcW w:w="64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3"/>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500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4 to 10 years</w:t>
            </w:r>
          </w:p>
        </w:tc>
      </w:tr>
      <w:tr>
        <w:trPr>
          <w:trHeight w:val="27"/>
        </w:trPr>
        <w:tc>
          <w:tcPr>
            <w:tcW w:w="642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Cost and accumulated depreciation for property retired or disposed of are removed from the accounts, and any resulting gain or loss is included in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maintenance and repairs are charged to expense as incurred.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review long-lived assets for impairment whenever events or changes in circumstances indicate that the carrying amount may not be recoverable. Recoverability of a long-lived asset group to be held and used in operations is measured by a comparison of the carrying amount to the sum of the undiscounted cash flows expected to result from the use and eventual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is recorded when the cost of an acquisition exceeds the fair value of the net tangible and identifiable intangible assets acquired. We review goodwill for impairment annually during the fourth quarter of each year and whenever events or changes in circumstances indicate that an impairment may exist. Impairment losses are recorded when the carrying amount of the reporting unit exceeds its fair value. The balance of goodwill in our Consolidated Balance Sheets reflects adjustments for foreign currency translation.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principally of deferred tax assets and refundable security 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apply fair value accounting for assets and liabilities that are recognized or disclosed at fair value in the financial statements on a recurring or nonrecurring basis. We define fair value as the price that would be received from selling an asset or paid to transfer a liability in the principal or most advantageous market for the asset or liability in an orderly transaction between market participants at the measurement date. See Note 14 for further discussion of fair value measurements.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revenue, net of sales, use, value-added and other similar taxes, as a performance obligation is satisfied in an amount 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our revenue is recognized as services are rendered.</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receivables are revenues that have been recognized for performance obligations that have been satisfied, or partially satisfied, in advance of billing the customer. Revenue may be recognized in advance of billing as our contracts provide us with an unconditional right to consideration for work that is performed. Total unbilled receivables as of December 31, 2018 and 2017 were $89.3 million and $101.9 million, respectively. These amounts are included in accounts receivable, net of allowances in our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include costs attributable to the conduct of research and development programs primarily related to the development of new package designs or technologies and improving the efficiency and capabilities of our existing production processes. Such costs include salaries, payroll taxes, employee benefit costs, materials, supplies, depreciation and maintenance of research equipment, services provided by outside contractors and the allocable portions of facility costs such as rent, utilities, insurance, repairs and maintenance, depreciation and general support services. All costs associated with research and development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tax benefits will not be realized.</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 For most of our U.S. and foreign deferred tax assets,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ASC 740, Accounting for Income Taxes, requires companies to recognize the effect of tax law changes in the period of enactment even though the effective date for most provisions is for tax years beginning after December 31, 2017. Given the significance of the Tax Act, the SEC staff issued Staff Accounting Bulletin No. 118 (“SAB 118”), which allows registrants to record provisional amounts during a one year “measurement period” similar to that used when accounting for business combinations. However, the measurement period is deemed to have ended earlier when the registrant has obtained, prepared and analyzed the information necessary to finalize its accounting. During the measurement period, which ended during the fourth quarter of 2018, impacts of the law are expected to be recorded at the time a reasonable estimate for all or a portion of the effects can be made, and provisional amounts can be recognized and adjusted as information becomes available, prepared or analyzed.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2017, we reported provisional amounts for the income tax effects of the Tax Act for which the accounting was incomplete, but a reasonable estimate could be determined. During the quarter ended December 31, 2018, we updated our provisional estimate of the impact of the Tax Act. Our accounting for the impact of the Tax Act is now complete in accordance with SAB 118.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recognize in our Consolidated Financial Statements the impact of an income tax position, if that position is more likely than not of being sustained on audit, based on the technical merits of the position. Related interest and penalties are classified as income taxes in the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more information regarding unrecognized income tax benefits.</w:t>
      </w:r>
    </w:p>
    <w:p>
      <w:pPr>
        <w:spacing w:after="0" w:line="22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Standards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was subsequently amended and clarified. The standard is based on the principle that revenue is recognized to depict the transfer of promised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contracts with customers, including significant judgments and changes in judgments. The standard permits the use of either full retrospective or modified retrospective methods of adoption.</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January 1, 2018, we adopted the requirements of Topic 606 using the full retrospective transition method. The new standard resulted in a change to the timing of revenue recognition, whereby revenue is recognized "over time" as services are performed rather than at a "point in time," generally upon shipment. The new standard also resulted in an increase in accounts receivables, net and a related decrease in inventories and deferred revenues. In accordance with Topic 606, we applied the following principles in connection with the adoption of the new standard:</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disclose the value of unsatisfied performance obligations for contracts with an original expected length of one year or less.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adjust the promised amount of consideration for the effects of a significant financing component when we expect, at contract inception, that the period between when the entity transfers a promised good or service to a customer and when the customer pays for that good or service will be one year or less.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exclude sales, use, value-added and similar taxes from the transaction price, without performing a jurisdiction-by-jurisdiction assessment.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 standard impacted our previously reported results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5"/>
          </w:tcPr>
          <w:p>
            <w:pPr>
              <w:jc w:val="center"/>
              <w:ind w:right="152"/>
              <w:spacing w:after="0"/>
              <w:rPr>
                <w:sz w:val="20"/>
                <w:szCs w:val="20"/>
                <w:color w:val="auto"/>
              </w:rPr>
            </w:pPr>
            <w:r>
              <w:rPr>
                <w:rFonts w:ascii="Arial" w:cs="Arial" w:eastAsia="Arial" w:hAnsi="Arial"/>
                <w:sz w:val="14"/>
                <w:szCs w:val="14"/>
                <w:b w:val="1"/>
                <w:bCs w:val="1"/>
                <w:color w:val="auto"/>
                <w:w w:val="92"/>
              </w:rPr>
              <w:t>For the Year Ended December 31, 2017</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217"/>
              <w:spacing w:after="0" w:line="153" w:lineRule="exact"/>
              <w:rPr>
                <w:sz w:val="20"/>
                <w:szCs w:val="20"/>
                <w:color w:val="auto"/>
              </w:rPr>
            </w:pPr>
            <w:r>
              <w:rPr>
                <w:rFonts w:ascii="Arial" w:cs="Arial" w:eastAsia="Arial" w:hAnsi="Arial"/>
                <w:sz w:val="14"/>
                <w:szCs w:val="14"/>
                <w:b w:val="1"/>
                <w:bCs w:val="1"/>
                <w:color w:val="auto"/>
                <w:w w:val="89"/>
              </w:rPr>
              <w:t>As</w:t>
            </w:r>
          </w:p>
        </w:tc>
        <w:tc>
          <w:tcPr>
            <w:tcW w:w="260" w:type="dxa"/>
            <w:vAlign w:val="bottom"/>
          </w:tcPr>
          <w:p>
            <w:pPr>
              <w:spacing w:after="0"/>
              <w:rPr>
                <w:sz w:val="13"/>
                <w:szCs w:val="13"/>
                <w:color w:val="auto"/>
              </w:rPr>
            </w:pPr>
          </w:p>
        </w:tc>
        <w:tc>
          <w:tcPr>
            <w:tcW w:w="13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1"/>
              </w:rPr>
              <w:t>New Accounting</w:t>
            </w: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3"/>
              </w:rPr>
              <w:t>Previously</w:t>
            </w:r>
          </w:p>
        </w:tc>
        <w:tc>
          <w:tcPr>
            <w:tcW w:w="260" w:type="dxa"/>
            <w:vAlign w:val="bottom"/>
          </w:tcPr>
          <w:p>
            <w:pPr>
              <w:spacing w:after="0"/>
              <w:rPr>
                <w:sz w:val="12"/>
                <w:szCs w:val="12"/>
                <w:color w:val="auto"/>
              </w:rPr>
            </w:pPr>
          </w:p>
        </w:tc>
        <w:tc>
          <w:tcPr>
            <w:tcW w:w="13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Pronouncement</w:t>
            </w:r>
          </w:p>
        </w:tc>
        <w:tc>
          <w:tcPr>
            <w:tcW w:w="4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4"/>
              </w:rPr>
              <w:t>Reported</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Adjustment</w:t>
            </w: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20" w:type="dxa"/>
            <w:vAlign w:val="bottom"/>
            <w:gridSpan w:val="4"/>
          </w:tcPr>
          <w:p>
            <w:pPr>
              <w:jc w:val="center"/>
              <w:ind w:left="877"/>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1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4,186,497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20,534</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4,207,031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3,429,224</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16,728</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3,445,952</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757,273</w:t>
            </w:r>
          </w:p>
        </w:tc>
        <w:tc>
          <w:tcPr>
            <w:tcW w:w="26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3,806</w:t>
            </w:r>
          </w:p>
        </w:tc>
        <w:tc>
          <w:tcPr>
            <w:tcW w:w="4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761,079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38,982</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809</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39,791</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264,888</w:t>
            </w:r>
          </w:p>
        </w:tc>
        <w:tc>
          <w:tcPr>
            <w:tcW w:w="26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2,817</w:t>
            </w:r>
          </w:p>
        </w:tc>
        <w:tc>
          <w:tcPr>
            <w:tcW w:w="4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267,705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260,706</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2,844</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263,550</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Net income attributable to Amkor per common share - diluted</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0.01</w:t>
            </w:r>
          </w:p>
        </w:tc>
        <w:tc>
          <w:tcPr>
            <w:tcW w:w="4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918"/>
        </w:trPr>
        <w:tc>
          <w:tcPr>
            <w:tcW w:w="5060" w:type="dxa"/>
            <w:vAlign w:val="bottom"/>
          </w:tcPr>
          <w:p>
            <w:pPr>
              <w:spacing w:after="0"/>
              <w:rPr>
                <w:sz w:val="24"/>
                <w:szCs w:val="24"/>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5"/>
          </w:tcPr>
          <w:p>
            <w:pPr>
              <w:jc w:val="center"/>
              <w:ind w:right="152"/>
              <w:spacing w:after="0"/>
              <w:rPr>
                <w:sz w:val="20"/>
                <w:szCs w:val="20"/>
                <w:color w:val="auto"/>
              </w:rPr>
            </w:pPr>
            <w:r>
              <w:rPr>
                <w:rFonts w:ascii="Arial" w:cs="Arial" w:eastAsia="Arial" w:hAnsi="Arial"/>
                <w:sz w:val="14"/>
                <w:szCs w:val="14"/>
                <w:b w:val="1"/>
                <w:bCs w:val="1"/>
                <w:color w:val="auto"/>
                <w:w w:val="92"/>
              </w:rPr>
              <w:t>For the Year Ended December 31, 2016</w:t>
            </w:r>
          </w:p>
        </w:tc>
        <w:tc>
          <w:tcPr>
            <w:tcW w:w="0" w:type="dxa"/>
            <w:vAlign w:val="bottom"/>
          </w:tcPr>
          <w:p>
            <w:pPr>
              <w:spacing w:after="0"/>
              <w:rPr>
                <w:sz w:val="1"/>
                <w:szCs w:val="1"/>
                <w:color w:val="auto"/>
              </w:rPr>
            </w:pPr>
          </w:p>
        </w:tc>
      </w:tr>
      <w:tr>
        <w:trPr>
          <w:trHeight w:val="152"/>
        </w:trPr>
        <w:tc>
          <w:tcPr>
            <w:tcW w:w="6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237"/>
              <w:spacing w:after="0" w:line="153" w:lineRule="exact"/>
              <w:rPr>
                <w:sz w:val="20"/>
                <w:szCs w:val="20"/>
                <w:color w:val="auto"/>
              </w:rPr>
            </w:pPr>
            <w:r>
              <w:rPr>
                <w:rFonts w:ascii="Arial" w:cs="Arial" w:eastAsia="Arial" w:hAnsi="Arial"/>
                <w:sz w:val="14"/>
                <w:szCs w:val="14"/>
                <w:b w:val="1"/>
                <w:bCs w:val="1"/>
                <w:color w:val="auto"/>
                <w:w w:val="89"/>
              </w:rPr>
              <w:t>As</w:t>
            </w:r>
          </w:p>
        </w:tc>
        <w:tc>
          <w:tcPr>
            <w:tcW w:w="240" w:type="dxa"/>
            <w:vAlign w:val="bottom"/>
          </w:tcPr>
          <w:p>
            <w:pPr>
              <w:spacing w:after="0"/>
              <w:rPr>
                <w:sz w:val="13"/>
                <w:szCs w:val="13"/>
                <w:color w:val="auto"/>
              </w:rPr>
            </w:pPr>
          </w:p>
        </w:tc>
        <w:tc>
          <w:tcPr>
            <w:tcW w:w="134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New Accounting</w:t>
            </w: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3"/>
              </w:rPr>
              <w:t>Previously</w:t>
            </w:r>
          </w:p>
        </w:tc>
        <w:tc>
          <w:tcPr>
            <w:tcW w:w="240" w:type="dxa"/>
            <w:vAlign w:val="bottom"/>
          </w:tcPr>
          <w:p>
            <w:pPr>
              <w:spacing w:after="0"/>
              <w:rPr>
                <w:sz w:val="12"/>
                <w:szCs w:val="12"/>
                <w:color w:val="auto"/>
              </w:rPr>
            </w:pPr>
          </w:p>
        </w:tc>
        <w:tc>
          <w:tcPr>
            <w:tcW w:w="13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Pronouncement</w:t>
            </w:r>
          </w:p>
        </w:tc>
        <w:tc>
          <w:tcPr>
            <w:tcW w:w="46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Reported</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Adjustment</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20" w:type="dxa"/>
            <w:vAlign w:val="bottom"/>
            <w:gridSpan w:val="4"/>
          </w:tcPr>
          <w:p>
            <w:pPr>
              <w:jc w:val="center"/>
              <w:ind w:left="877"/>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3,893,635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34,214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3,927,849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3,198,158</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19,800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3,217,958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695,477</w:t>
            </w:r>
          </w:p>
        </w:tc>
        <w:tc>
          <w:tcPr>
            <w:tcW w:w="240" w:type="dxa"/>
            <w:vAlign w:val="bottom"/>
          </w:tcPr>
          <w:p>
            <w:pPr>
              <w:spacing w:after="0"/>
              <w:rPr>
                <w:sz w:val="21"/>
                <w:szCs w:val="21"/>
                <w:color w:val="auto"/>
              </w:rPr>
            </w:pP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14,414</w:t>
            </w:r>
          </w:p>
        </w:tc>
        <w:tc>
          <w:tcPr>
            <w:tcW w:w="4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709,891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47,853</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3,189</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51,042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167,304</w:t>
            </w:r>
          </w:p>
        </w:tc>
        <w:tc>
          <w:tcPr>
            <w:tcW w:w="240" w:type="dxa"/>
            <w:vAlign w:val="bottom"/>
          </w:tcPr>
          <w:p>
            <w:pPr>
              <w:spacing w:after="0"/>
              <w:rPr>
                <w:sz w:val="21"/>
                <w:szCs w:val="21"/>
                <w:color w:val="auto"/>
              </w:rPr>
            </w:pP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11,349</w:t>
            </w:r>
          </w:p>
        </w:tc>
        <w:tc>
          <w:tcPr>
            <w:tcW w:w="4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178,653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164,190</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11,340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175,530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income attributable to Amkor per common share - diluted</w:t>
            </w:r>
          </w:p>
        </w:tc>
        <w:tc>
          <w:tcPr>
            <w:tcW w:w="260" w:type="dxa"/>
            <w:vAlign w:val="bottom"/>
          </w:tcPr>
          <w:p>
            <w:pPr>
              <w:spacing w:after="0"/>
              <w:rPr>
                <w:sz w:val="21"/>
                <w:szCs w:val="21"/>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0.69</w:t>
            </w:r>
          </w:p>
        </w:tc>
        <w:tc>
          <w:tcPr>
            <w:tcW w:w="240" w:type="dxa"/>
            <w:vAlign w:val="bottom"/>
          </w:tcPr>
          <w:p>
            <w:pPr>
              <w:spacing w:after="0"/>
              <w:rPr>
                <w:sz w:val="21"/>
                <w:szCs w:val="21"/>
                <w:color w:val="auto"/>
              </w:rPr>
            </w:pP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0.05</w:t>
            </w:r>
          </w:p>
        </w:tc>
        <w:tc>
          <w:tcPr>
            <w:tcW w:w="4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642"/>
        </w:trPr>
        <w:tc>
          <w:tcPr>
            <w:tcW w:w="6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December 31, 2017</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237"/>
              <w:spacing w:after="0" w:line="153" w:lineRule="exact"/>
              <w:rPr>
                <w:sz w:val="20"/>
                <w:szCs w:val="20"/>
                <w:color w:val="auto"/>
              </w:rPr>
            </w:pPr>
            <w:r>
              <w:rPr>
                <w:rFonts w:ascii="Arial" w:cs="Arial" w:eastAsia="Arial" w:hAnsi="Arial"/>
                <w:sz w:val="14"/>
                <w:szCs w:val="14"/>
                <w:b w:val="1"/>
                <w:bCs w:val="1"/>
                <w:color w:val="auto"/>
                <w:w w:val="89"/>
              </w:rPr>
              <w:t>As</w:t>
            </w:r>
          </w:p>
        </w:tc>
        <w:tc>
          <w:tcPr>
            <w:tcW w:w="240" w:type="dxa"/>
            <w:vAlign w:val="bottom"/>
          </w:tcPr>
          <w:p>
            <w:pPr>
              <w:spacing w:after="0"/>
              <w:rPr>
                <w:sz w:val="13"/>
                <w:szCs w:val="13"/>
                <w:color w:val="auto"/>
              </w:rPr>
            </w:pPr>
          </w:p>
        </w:tc>
        <w:tc>
          <w:tcPr>
            <w:tcW w:w="134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New Accounting</w:t>
            </w: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3"/>
              </w:rPr>
              <w:t>Previously</w:t>
            </w:r>
          </w:p>
        </w:tc>
        <w:tc>
          <w:tcPr>
            <w:tcW w:w="240" w:type="dxa"/>
            <w:vAlign w:val="bottom"/>
          </w:tcPr>
          <w:p>
            <w:pPr>
              <w:spacing w:after="0"/>
              <w:rPr>
                <w:sz w:val="12"/>
                <w:szCs w:val="12"/>
                <w:color w:val="auto"/>
              </w:rPr>
            </w:pPr>
          </w:p>
        </w:tc>
        <w:tc>
          <w:tcPr>
            <w:tcW w:w="13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Pronouncement</w:t>
            </w:r>
          </w:p>
        </w:tc>
        <w:tc>
          <w:tcPr>
            <w:tcW w:w="46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Reported</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Adjustment</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692,287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105,977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798,264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326,492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(112,843)</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213,649</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146,051</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(6,255)</w:t>
            </w:r>
          </w:p>
        </w:tc>
        <w:tc>
          <w:tcPr>
            <w:tcW w:w="4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139,796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374,598</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330,868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46,144</w:t>
            </w:r>
          </w:p>
        </w:tc>
        <w:tc>
          <w:tcPr>
            <w:tcW w:w="240" w:type="dxa"/>
            <w:vAlign w:val="bottom"/>
          </w:tcPr>
          <w:p>
            <w:pPr>
              <w:spacing w:after="0"/>
              <w:rPr>
                <w:sz w:val="21"/>
                <w:szCs w:val="21"/>
                <w:color w:val="auto"/>
              </w:rPr>
            </w:pP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1,679</w:t>
            </w:r>
          </w:p>
        </w:tc>
        <w:tc>
          <w:tcPr>
            <w:tcW w:w="4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47,823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Accumulated deficit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(42,851)</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28,948</w:t>
            </w: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adjustment to accumulated deficit includes the 2017 and 2016 net income impact for the adoption of Topic 606 of $2.8 million and $11.3 million, respectively. The adjustment also includes the cumulative impact to our 2016 beginning accumulated deficit of $14.8 million.</w:t>
      </w:r>
    </w:p>
    <w:p>
      <w:pPr>
        <w:spacing w:after="0" w:line="16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adoption of the standard had no impact on cash provided by or used in operating, investing, or financing activities on our consolidated cash flow statements.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Compensation – Retirement Benefits (Topic 715): Improving the Presentation of Net Periodic Pension Cost</w:t>
      </w:r>
      <w:r>
        <w:rPr>
          <w:rFonts w:ascii="Arial" w:cs="Arial" w:eastAsia="Arial" w:hAnsi="Arial"/>
          <w:sz w:val="18"/>
          <w:szCs w:val="18"/>
          <w:color w:val="auto"/>
        </w:rPr>
        <w:t xml:space="preserve"> </w:t>
      </w:r>
      <w:r>
        <w:rPr>
          <w:rFonts w:ascii="Arial" w:cs="Arial" w:eastAsia="Arial" w:hAnsi="Arial"/>
          <w:sz w:val="18"/>
          <w:szCs w:val="18"/>
          <w:i w:val="1"/>
          <w:iCs w:val="1"/>
          <w:color w:val="auto"/>
        </w:rPr>
        <w:t>and Net Periodic Postretirement Benefit Cost</w:t>
      </w:r>
      <w:r>
        <w:rPr>
          <w:rFonts w:ascii="Arial" w:cs="Arial" w:eastAsia="Arial" w:hAnsi="Arial"/>
          <w:sz w:val="18"/>
          <w:szCs w:val="18"/>
          <w:color w:val="auto"/>
        </w:rPr>
        <w:t>. ASU 2017-07 requires that the service cost component of net periodic pension costs be presented in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line item as other compensation costs and all other components of net periodic pension costs be presented in the statement of income as nonoperating expenses. ASU 2017-07 is effective for reporting periods beginning after December 15, 2017 and applied retrospectively. We adopted ASU 2017-07 on January 1, 2018 and estimated the impact on the prior comparative period information presented in the consolidated financial statements applying the principles permitted by the standard. For the years ended December 31, 2017 and 2016, the retrospective application resulted in a $0.6 million and $0.1 million reclassification of pension costs from operating income to other (income) expense, net in the Consolidated Statements of Income for the respective periods. Refer to Note 12 for additional information.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Standards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was subsequently amended and clarified. ASU 2016-02 requires a dual approach for lease accounting under which a lessee would account for leases as finance leases or operating leases. Both finance leases and operating leases will result in the lessee recognizing a right-of-use asset and a corresponding lease liability. For finance leases the lessee would recognize interest expense and amortization of the right-of-use asset, and for operating leases the lessee would recognize a straight-line lease expense. ASU 2016-02 is effective for reporting periods beginning after December 15, 2018 and requires either a modified retrospective transition approach with application in all comparative periods presented, or an alternative transition method, which permits a company to use its effective date as the date of initial application without restating comparative period financial statements. Early adoption is permitted. We plan to adopt this standard in the first quarter of the fiscal year ending December 31, 2019 using the alternative transition method with the effective date as of January 1, 2019. We are in the process of finalizing the impact that this new standard will have on our financial statements and disclosures. We expect the adoption will result in a significant portion of the Company's discounted present value of future minimum operating lease obligations to be included on our Consolidated Balance Sheets (Note 15). We do not expect it to have a material impact on our Consolidated Statements of Income.</w:t>
      </w:r>
    </w:p>
    <w:p>
      <w:pPr>
        <w:spacing w:after="0" w:line="17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Nanium</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May 22, 2017, we completed the purchase of 100% of the shares of Nanium, a provider of wafer-level fan-out semiconductor packaging solutions. We allocated the purchase price to the assets acquired and liabilities assumed based on their estimated fair values on the date of acquisition. We did not record goodwill as a result of the acquisition.</w:t>
      </w:r>
    </w:p>
    <w:p>
      <w:pPr>
        <w:spacing w:after="0" w:line="17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share-based compensation is measured at fair value and expensed over the service period (generally the vesting period). The amount of compensation expense to be recognized is adjusted for an estimated forfeiture rate which is based on historical data. For the years ended December 31, 2018, 2017 and 2016, we recognized share-based compensation attributable to stock options and restricted shares of $5.0 million, $5.1 million and $3.3 million, respectively, primarily in selling, general and administrative expenses. The corresponding deferred income tax benefits for stock options or restricted shares is $1.0 million and $2.4 million for 2018 and 2017, respectively. There were no deferred income tax benefits for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Second Amended and Restated 2007 Equity Incentive Plan. </w:t>
      </w:r>
      <w:r>
        <w:rPr>
          <w:rFonts w:ascii="Arial" w:cs="Arial" w:eastAsia="Arial" w:hAnsi="Arial"/>
          <w:sz w:val="16"/>
          <w:szCs w:val="16"/>
          <w:color w:val="auto"/>
        </w:rPr>
        <w:t>The Second Amended and Restated 2007 Equity Incentive Plan, (the “2007 Plan”) provides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 of the following types of incentive awards: (i) stock options, (ii) restricted stock, (iii) restricted stock units, (iv) stock appreciation rights,</w:t>
      </w:r>
    </w:p>
    <w:p>
      <w:pPr>
        <w:jc w:val="both"/>
        <w:ind w:firstLine="8"/>
        <w:spacing w:after="0" w:line="254" w:lineRule="auto"/>
        <w:tabs>
          <w:tab w:leader="none" w:pos="2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 units and performance shares and (vi) other stock or cash awards. Those eligible for awards include employees, directors and consultants who provide services to Amkor and its subsidiaries. The 2007 Plan is effective through 2027 and can be terminated at the discretion of the Board of Directors. There were originally 17.0 million shares of our common stock reserved for issuance under the 2007 Plan and at December 31, 2018 there were 7.8 million shares available for grant.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Stock options are generally granted with an exercise price equal to the market price of the stock at the date of grant. Substantially all of the options granted are exercisable pursuant to a one to four year vesting schedule and the term of the options granted is no longer than ten years. Upon option exercise, we may issue new shares of common or treasury stock.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calculate the fair value of stock options at the date of grant, we use the Black-Scholes option pricing model. Expected volatilities are based on historical performance of our stock. We also use historical data to estimate the timing and amount of option exercises and forfeitures within the valuation model. The expected term of the options is based 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evaluations of historical and expected future employee exercise behavior and represents the period of time that options granted are expected to be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risk-free interest rate for periods within the contractual life of the option is based on the U.S. Treasury yield curve in effect at the time of grant.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 option activity for the year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w:t>
            </w: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Fully vested at December 31, 2018 and expected to vest</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4,673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7.05</w:t>
            </w:r>
          </w:p>
        </w:tc>
        <w:tc>
          <w:tcPr>
            <w:tcW w:w="100" w:type="dxa"/>
            <w:vAlign w:val="bottom"/>
            <w:gridSpan w:val="2"/>
            <w:vMerge w:val="restart"/>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7"/>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thereafter</w:t>
            </w:r>
          </w:p>
        </w:tc>
        <w:tc>
          <w:tcPr>
            <w:tcW w:w="148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8.77</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CCEEFF"/>
            </w:tcBorders>
            <w:gridSpan w:val="2"/>
            <w:vMerge w:val="continue"/>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40" w:type="dxa"/>
            <w:vAlign w:val="bottom"/>
            <w:gridSpan w:val="8"/>
          </w:tcPr>
          <w:p>
            <w:pPr>
              <w:spacing w:after="0"/>
              <w:rPr>
                <w:sz w:val="20"/>
                <w:szCs w:val="20"/>
                <w:color w:val="auto"/>
              </w:rPr>
            </w:pPr>
            <w:r>
              <w:rPr>
                <w:rFonts w:ascii="Arial" w:cs="Arial" w:eastAsia="Arial" w:hAnsi="Arial"/>
                <w:sz w:val="18"/>
                <w:szCs w:val="18"/>
                <w:color w:val="auto"/>
                <w:w w:val="96"/>
              </w:rPr>
              <w:t>The following assumptions were used to calculate the weighted-average fair values of the options granted: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jc w:val="right"/>
              <w:ind w:right="10"/>
              <w:spacing w:after="0"/>
              <w:rPr>
                <w:sz w:val="20"/>
                <w:szCs w:val="20"/>
                <w:color w:val="auto"/>
              </w:rPr>
            </w:pPr>
            <w:r>
              <w:rPr>
                <w:rFonts w:ascii="Arial" w:cs="Arial" w:eastAsia="Arial" w:hAnsi="Arial"/>
                <w:sz w:val="14"/>
                <w:szCs w:val="14"/>
                <w:b w:val="1"/>
                <w:bCs w:val="1"/>
                <w:color w:val="auto"/>
              </w:rPr>
              <w:t>For the Year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 per option granted</w:t>
            </w: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unrecognized compensation expense from stock options was $7.5 million as of December 31, 2018, which is expected to be recognized over a weighted-average period of approximately 2.2 years beginning January 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grant restricted shares to directors and employees under the 2007 Plan. Restricted shares granted to directors vest on the earlier of the one year anniversary of the grant date or the date of the next annual meeting of stockholders. All other restricted shares vest ratably over four years, with 6.25% of the shares vesting in equal quarterly installments such that 100% of the shares will become vested on the fourth anniversary of the award, subject to the recipient’s continued employment with us on the applicable vesting dates. In addition, provided that the restricted shares have not been forfeited earlier, for certain grants, the restricted shares will vest upon the recipient’s death or disability, or upon a change in control of Amkor. The value of the restricted shares is determined based on the fair market value of the underlying shares on the date of the grant and is recognized ratably over the vesting period. Upon vesting of restricted stock awards, we may issue new shares of common or treasury stock.</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share activity for the year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Awards granted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Awards 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Awards forfeited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unrecognized compensation cost from restricted shares was $1.1 million as of December 31, 2018, which is expected to be recognized over a weighted-average period of approximately 1.8 years beginning January 1, 2019.</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Other Income and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113"/>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(4,133)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(gain) loss, net</w:t>
            </w:r>
          </w:p>
        </w:tc>
        <w:tc>
          <w:tcPr>
            <w:tcW w:w="92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11,823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(3,592)</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retirement</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(5,447)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(6,617)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12,490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Income Taxes</w:t>
      </w:r>
    </w:p>
    <w:p>
      <w:pPr>
        <w:spacing w:after="0" w:line="3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22, 2017, the Tax Act was signed into law. The Tax Act reduced the corporate tax rate from 35% to 21%, included a one-time transition tax on unremitted foreign earnings and profits applicable for our fiscal year ended December 31, 2017 and limited tax deductions for periods beginning January 1, 2018. In 2017, we recognized a $41.6 million net benefit consisting of the one-time transition tax net of tax credits generated, remeasurement of deferred taxes, and the release of valuation allowance against U.S. deferred tax assets for the provisional estimate of the impact of the Tax Act. During the quarter ended December 31, 2018, we adjusted our provisional estimate of the impact of the Tax Act, primarily in connection with clarifications provided in proposed foreign tax credit regulations issued during 2018, resulting in an income tax expense in the quarter of $22.3 million. Our accounting for the impact of the Tax Act is now complete in accordance with SEC staff issued SAB No. 118.</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Geographic sources of income (loss) before taxes and equity in earnings of unconsolidated affiliate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7"/>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26,040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Foreign</w:t>
            </w:r>
          </w:p>
        </w:tc>
        <w:tc>
          <w:tcPr>
            <w:tcW w:w="3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180,280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281,456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240,575</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185,815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307,496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229,695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66</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5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provision for income taxes includes current federal, state and foreign taxes payable and those deferred because of temporary differences between the financial statement and the tax bases of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(benefit) for income taxes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22,003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47,318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81,969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49,577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69,360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49,599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1,443</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(42,189)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56,250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39,791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51,042</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between the U.S. federal statutory income tax rate of 21% for 2018 and 35% for 2017 and 2016 and our income tax expense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107,623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taxed at different rates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 (loss) gain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29,756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related to prior years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reform (the Tax Act)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credits generated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(40,301)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Repatriation of foreign earnings and profits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Expiration of net operating losses and credits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19,462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15,092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56,250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39,791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51,042</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valuation allowance for 2018, 2017 and 2016, excluding the impact of the Tax Act, is primarily the result of changes in net operating loss and tax credit carryforwards for which no tax expense or benefit has been recognized. Prior to 2018, the benefit of foreign income taxed at different rates increased as foreign income before tax has increased. The decrease in the U.S. federal statutory income tax rate to 21% in 2018 has reduced the impact of foreign income taxed at different rates than the U.S. rate.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our deferred tax assets and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13,207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53,130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38,050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35,479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68,402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68,091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32,719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Unrealized foreign exchange loss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14,545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280,290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228,023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(118,560)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(83,251)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assets net of valuation allowance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161,730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144,772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14,605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gain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Unrealized foreign exchange gain</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5,805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43,271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37,859</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118,459</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106,913</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118,697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111,353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118,459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106,913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Valuation allowance against deferred tax assets consist of the following:</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77,580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43,719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40,980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39,532</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valuation allowance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118,560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83,251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use of our federal net operating loss carryforward to offset the one-time transition tax required by the Tax Act resulted in a reduction in deferred tax assets for net operating loss carryforwards and created deferred tax assets for foreign income tax credit carryforwards. The increase in our valuation allowance includes the estimate of the portion of our foreign tax credit carryforwards generated in connection with the one-time transition tax included in the Tax Act projected to expire unused.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1"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certain capital investments, export commitments and employment levels, income from operations in Korea, Malaysia, the Philippines, Singapore and Taiwan was subject to reduced income tax rates and, in some cases, was exempt from income taxes. We recognized $1.9 million, $6.2 million and $5.6 million in tax benefits as a result of the tax holidays in 2018, 2017 and 2016, respectively. The benefit of the tax holidays on diluted earnings per share was approximately $0.01, $0.03 and $0.02 for 2018,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net operating loss carryforwards (“NOLs”)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4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NOLs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25,272</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220,445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2021-2024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 State NOLs</w:t>
            </w:r>
          </w:p>
        </w:tc>
        <w:tc>
          <w:tcPr>
            <w:tcW w:w="38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108,011</w:t>
            </w:r>
          </w:p>
        </w:tc>
        <w:tc>
          <w:tcPr>
            <w:tcW w:w="6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121,095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2019-2036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NOLs</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10,686</w:t>
            </w: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2,967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2019-2028</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 For most of our foreign net operating loss carryforwards, we consider it more likely than not that we will not have sufficient taxable income to allow us to realize these deferred tax assets.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2017, a portion of our U.S. federal net operating loss carryforward was reserved with a valuation allowance due to an estimate of the net operating loss carryforward not expected to be realized. At December 31, 2018, a portion of our remaining U.S. federal net operating loss carryforward was reserved with a valuation allowance due to ownership change limitations from a prior year acquisition as well as certain state net operating loss carryforwards expected to expire unused.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tax credit carryforwards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4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Foreign Tax Credits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84,056</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12,637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2026-2027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 Other Tax Credits</w:t>
            </w:r>
          </w:p>
        </w:tc>
        <w:tc>
          <w:tcPr>
            <w:tcW w:w="38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1,117</w:t>
            </w:r>
          </w:p>
        </w:tc>
        <w:tc>
          <w:tcPr>
            <w:tcW w:w="6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7,104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2026-2038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Tax Credits</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22,359</w:t>
            </w: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2019-2028</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a portion of our U.S. foreign tax credit carryforward was reserved with a valuation allowance for the amount expected to expire unused.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the deemed repatriation provision of the Tax Act, U.S. income taxes have been provided on approximately $1.1 billion of the undistributed earnings of our foreign subsidiaries at December 31, 2017. The income tax expense from the deemed repatriation was offset by net operating loss carryforwards and income tax credits resulting in a transition tax payable of $21.8 million. Under an election of the Tax Act, the remaining transition tax is payable over eight years beginning with tax year 2017, with 8% due in each of the first five years, 15% in year six, 20% in year seven, and 25% in year eight. We have not provided foreign withholding taxes or state income taxes on the undistributed earnings of our foreign subsidiaries, over which we have sufficient influence to control the distribution of such earnings and have determined that substantially all such earnings have been reinvested indefinitely. These earnings could become subject to foreign withholding tax if they are remitted as dividends. We estimate that repatriation of these foreign earnings would generate withholding taxes and state income taxes of approximately $91.8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operate in and file income tax returns in various U.S. and foreign jurisdictions which are subject to examination by tax authorities. We have tax returns that are open to examination in various jurisdictions for tax years 2012-2018. The open years contain matters that could be subject to differing interpretations of applicable tax laws and regulations related to the amount and/or timing of income, deductions and tax credits. There can be no assurance that the outcome of examinations will be favorable. Our unrecognized tax benefits are subject to change as examinations of specific tax years are completed in the respective jurisdictions. Current examinations include our 2012 and 2013 Philippine income tax returns, and 2014-2016 Singapore tax returns.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gross amount of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23,332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based on tax positions related to the current year</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1,822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for tax positions of prior years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Reductions for tax positions of prior years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Reductions from lapse of statutes of limitations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25,268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27,211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23,149</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decrease in our unrecognized tax benefits was $1.9 million from December 31, 2017 to December 31, 2018. The decrease was primarily related to the closure of an audit. At December 31, 2018, all of our gross unrecognized tax benefits would reduce our effective tax rate, if recognized. It is reasonably possible that unrecognized tax benefits related to entity classification and withholding taxes will decrease by up to $2.9 million due to the lapse of statutes of limitations in foreign jurisdictions.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related to our unrecognized tax benefits is $25.3 million as of December 31, 2018 and is reported as a component of other non-current liabilities. The unrecognized tax benefits presented in the table above also include positions that have reduced deferred tax assets. The balance of accrued and unpaid interest and penalties is $5.3 million as of December 31, 2018 and is included as a component of other non-current liabilities in connection with our unrecognized tax benefits.</w:t>
      </w:r>
    </w:p>
    <w:p>
      <w:pPr>
        <w:spacing w:after="0" w:line="18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includes restricted shares held by retirement eligible recipients and is reduced for treasury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Diluted EPS is computed on the basis of the weighted-average number of shares of common stock plus the effect of dilutive potential common shares outstanding during the period. Dilutive potential common shares include outstanding stock options and unvested restricted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computations of basic and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For the Year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60" w:type="dxa"/>
            <w:vAlign w:val="bottom"/>
            <w:gridSpan w:val="6"/>
          </w:tcPr>
          <w:p>
            <w:pPr>
              <w:jc w:val="center"/>
              <w:ind w:left="616"/>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40" w:type="dxa"/>
            <w:vAlign w:val="bottom"/>
          </w:tcPr>
          <w:p>
            <w:pPr>
              <w:spacing w:after="0"/>
              <w:rPr>
                <w:sz w:val="21"/>
                <w:szCs w:val="2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Amkor common stockholders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127,092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263,550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175,530</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239,329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238,937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237,416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 and restricted share awards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w:t>
            </w:r>
          </w:p>
        </w:tc>
      </w:tr>
      <w:tr>
        <w:trPr>
          <w:trHeight w:val="297"/>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Weighted-average shares outstanding — diluted</w:t>
            </w:r>
          </w:p>
        </w:tc>
        <w:tc>
          <w:tcPr>
            <w:tcW w:w="3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239,741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239,651</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238,034</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0.74</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176"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6"/>
                <w:szCs w:val="16"/>
                <w:color w:val="auto"/>
              </w:rPr>
            </w:pPr>
          </w:p>
        </w:tc>
        <w:tc>
          <w:tcPr>
            <w:tcW w:w="1760" w:type="dxa"/>
            <w:vAlign w:val="bottom"/>
          </w:tcPr>
          <w:p>
            <w:pPr>
              <w:jc w:val="right"/>
              <w:ind w:right="822"/>
              <w:spacing w:after="0"/>
              <w:rPr>
                <w:sz w:val="20"/>
                <w:szCs w:val="20"/>
                <w:color w:val="auto"/>
              </w:rPr>
            </w:pPr>
            <w:r>
              <w:rPr>
                <w:rFonts w:ascii="Arial" w:cs="Arial" w:eastAsia="Arial" w:hAnsi="Arial"/>
                <w:sz w:val="14"/>
                <w:szCs w:val="14"/>
                <w:b w:val="1"/>
                <w:bCs w:val="1"/>
                <w:color w:val="auto"/>
              </w:rPr>
              <w:t>2017</w:t>
            </w: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1"/>
              </w:rPr>
              <w:t>(In thousands)</w:t>
            </w:r>
          </w:p>
        </w:tc>
        <w:tc>
          <w:tcPr>
            <w:tcW w:w="1280" w:type="dxa"/>
            <w:vAlign w:val="bottom"/>
            <w:tcBorders>
              <w:top w:val="single" w:sz="8" w:color="auto"/>
            </w:tcBorders>
          </w:tcPr>
          <w:p>
            <w:pPr>
              <w:spacing w:after="0"/>
              <w:rPr>
                <w:sz w:val="21"/>
                <w:szCs w:val="21"/>
                <w:color w:val="auto"/>
              </w:rPr>
            </w:pPr>
          </w:p>
        </w:tc>
      </w:tr>
      <w:tr>
        <w:trPr>
          <w:trHeight w:val="249"/>
        </w:trPr>
        <w:tc>
          <w:tcPr>
            <w:tcW w:w="7680" w:type="dxa"/>
            <w:vAlign w:val="bottom"/>
            <w:gridSpan w:val="2"/>
            <w:shd w:val="clear" w:color="auto" w:fill="CCEEFF"/>
          </w:tcPr>
          <w:p>
            <w:pPr>
              <w:jc w:val="right"/>
              <w:ind w:right="4660"/>
              <w:spacing w:after="0"/>
              <w:rPr>
                <w:sz w:val="20"/>
                <w:szCs w:val="20"/>
                <w:color w:val="auto"/>
              </w:rPr>
            </w:pPr>
            <w:r>
              <w:rPr>
                <w:rFonts w:ascii="Arial" w:cs="Arial" w:eastAsia="Arial" w:hAnsi="Arial"/>
                <w:sz w:val="18"/>
                <w:szCs w:val="18"/>
                <w:color w:val="auto"/>
                <w:w w:val="89"/>
              </w:rPr>
              <w:t>Stock options and restricted share awards</w:t>
            </w: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3,662</w:t>
            </w:r>
          </w:p>
        </w:tc>
        <w:tc>
          <w:tcPr>
            <w:tcW w:w="176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3,445</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1,135</w:t>
            </w:r>
          </w:p>
        </w:tc>
      </w:tr>
      <w:tr>
        <w:trPr>
          <w:trHeight w:val="27"/>
        </w:trPr>
        <w:tc>
          <w:tcPr>
            <w:tcW w:w="67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Factoring of Accounts Receivable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year ended December 31, 2018 and 2017, we sold accounts receivable totaling $873.9 million and $611.2 million, net of discounts and fees of $7.0 million and $4.6 million,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222,884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224,894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Land use rights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26,845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26,845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1,523,065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1,384,846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5,196,930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4,926,432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machinery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11,859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Software and computer equipment</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213,440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200,500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15,722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44,381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104,910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7,270,623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6,896,008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(4,620,175)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(4,200,943)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2,650,448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2,695,065</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The following table summarizes our depreciation expense:</w:t>
            </w: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center"/>
              <w:ind w:left="562"/>
              <w:spacing w:after="0"/>
              <w:rPr>
                <w:sz w:val="20"/>
                <w:szCs w:val="20"/>
                <w:color w:val="auto"/>
              </w:rPr>
            </w:pPr>
            <w:r>
              <w:rPr>
                <w:rFonts w:ascii="Arial" w:cs="Arial" w:eastAsia="Arial" w:hAnsi="Arial"/>
                <w:sz w:val="14"/>
                <w:szCs w:val="14"/>
                <w:b w:val="1"/>
                <w:bCs w:val="1"/>
                <w:color w:val="auto"/>
                <w:w w:val="93"/>
              </w:rPr>
              <w:t>For the 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570,304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580,172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552,989</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part of our plan to consolidate factory operations in Korea, we sold the land and buildings comprising our K1 factory in May 2017 for $142.4 million. We received 10% of the sale price at signing in November 2016 and the balance at closing, at which time we recognized a pre-tax gain of $108.1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w:t>
            </w:r>
          </w:p>
        </w:tc>
        <w:tc>
          <w:tcPr>
            <w:tcW w:w="4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124,943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134,785</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3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38,567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56,664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and customer advances</w:t>
            </w:r>
          </w:p>
        </w:tc>
        <w:tc>
          <w:tcPr>
            <w:tcW w:w="3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14,740</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Accrued severance plan obligations (Note 12)</w:t>
            </w:r>
          </w:p>
        </w:tc>
        <w:tc>
          <w:tcPr>
            <w:tcW w:w="3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13,179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15,190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Accrued settlement costs</w:t>
            </w:r>
          </w:p>
        </w:tc>
        <w:tc>
          <w:tcPr>
            <w:tcW w:w="3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37,783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3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54,482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59,833</w:t>
            </w:r>
          </w:p>
        </w:tc>
        <w:tc>
          <w:tcPr>
            <w:tcW w:w="0" w:type="dxa"/>
            <w:vAlign w:val="bottom"/>
          </w:tcPr>
          <w:p>
            <w:pPr>
              <w:spacing w:after="0"/>
              <w:rPr>
                <w:sz w:val="1"/>
                <w:szCs w:val="1"/>
                <w:color w:val="auto"/>
              </w:rPr>
            </w:pPr>
          </w:p>
        </w:tc>
      </w:tr>
      <w:tr>
        <w:trPr>
          <w:trHeight w:val="257"/>
        </w:trPr>
        <w:tc>
          <w:tcPr>
            <w:tcW w:w="448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38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258,209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330,868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60" w:type="dxa"/>
            <w:vAlign w:val="bottom"/>
            <w:vMerge w:val="restart"/>
          </w:tcPr>
          <w:p>
            <w:pPr>
              <w:jc w:val="right"/>
              <w:ind w:right="2450"/>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and long-term debt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Amkor Technology, Inc.:</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notes: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6.625% Senior notes, due June 2021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6.375% Senior notes, due October 2022</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524,971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524,971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subsidiaries: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Amkor Technology Korea, Inc.:</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$75 million revolving credit facility, foreign currency funding-linked base rate plus 1.60%, due September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2018 (2)</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$30 million revolving credit facility, LIBOR plus the applicable bank rate, due October 2019 (3)</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LIBOR plus 2.70%, due December 2019</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foreign currency funding-linked base rate plus 1.32%, due May 2020 (2)</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fixed rate at 3.70%, due May 2020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fund floating rate plus 1.60%, due June 2020 (4)</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LIBOR plus 2.56%, due December 2023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applicable bank rate plus 1.98%, due December 2028 (4)</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J-Devices Corporation: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Short-term term loans, variable rate (5)</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30,455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loans, fixed rate at 0.53%, due April 2018</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6,744</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0.86%, due June 2022</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31,908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39,933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fixed rate at 0.60%, due July 2022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1.30%, due July 2023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225,180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3"/>
              </w:rPr>
              <w:t>$250 million senior secured revolving credit facility, LIBOR plus 1.25%-1.75%, due July 2023 (Singapore)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74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Revolving credit facility, TAIFX plus the applicable bank rate, due November 2020 (Taiwan) (7)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1.80%, due December 2019 (China)</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1,334,129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1,365,533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Unamortized premium and deferred debt costs,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Short-term borrowings and current portion of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(114,579)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(123,848)</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1,217,732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1,240,581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740" w:hanging="408"/>
        <w:spacing w:after="0" w:line="25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August 2018, we redeemed all $200 million of our 6.625% Senior Notes due 2021 ("Notes"). In accordance with the terms of the indenture governing the Notes, the redemption price was 100% of the principal amount of the Notes, plus accrued and unpaid interest. We recorded a $0.8 million charge for the write-off of the associated unamortized debt issuance costs. The redemption of the Notes was funded with proceeds from our ¥26.0 billion ($233.2 million) term loan agreement entered into in July 2018 by J-Devices Corporation and guaranteed by Amkor Technology, Inc. Principal is payable in quarterly installments.</w:t>
      </w:r>
    </w:p>
    <w:p>
      <w:pPr>
        <w:spacing w:after="0" w:line="134" w:lineRule="exact"/>
        <w:rPr>
          <w:rFonts w:ascii="Arial" w:cs="Arial" w:eastAsia="Arial" w:hAnsi="Arial"/>
          <w:sz w:val="18"/>
          <w:szCs w:val="18"/>
          <w:color w:val="auto"/>
        </w:rPr>
      </w:pPr>
    </w:p>
    <w:p>
      <w:pPr>
        <w:ind w:left="740" w:right="20" w:hanging="40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June 2018, we extended our $75.0 million credit facility from June 2018 to September 2018 and in September 2018, we replaced it with a $75.0 million term loan due September 2021 at LIBOR plus 2.34%.</w:t>
      </w:r>
    </w:p>
    <w:p>
      <w:pPr>
        <w:spacing w:after="0" w:line="116" w:lineRule="exact"/>
        <w:rPr>
          <w:rFonts w:ascii="Arial" w:cs="Arial" w:eastAsia="Arial" w:hAnsi="Arial"/>
          <w:sz w:val="18"/>
          <w:szCs w:val="18"/>
          <w:color w:val="auto"/>
        </w:rPr>
      </w:pPr>
    </w:p>
    <w:p>
      <w:pPr>
        <w:jc w:val="both"/>
        <w:ind w:left="740"/>
        <w:spacing w:after="0" w:line="264" w:lineRule="auto"/>
        <w:rPr>
          <w:rFonts w:ascii="Arial" w:cs="Arial" w:eastAsia="Arial" w:hAnsi="Arial"/>
          <w:sz w:val="18"/>
          <w:szCs w:val="18"/>
          <w:color w:val="auto"/>
        </w:rPr>
      </w:pPr>
      <w:r>
        <w:rPr>
          <w:rFonts w:ascii="Arial" w:cs="Arial" w:eastAsia="Arial" w:hAnsi="Arial"/>
          <w:sz w:val="18"/>
          <w:szCs w:val="18"/>
          <w:color w:val="auto"/>
        </w:rPr>
        <w:t>In December 2018, we entered into a $200.0 million term loan agreement to repay this $75.0 million term loan. The remaining proceeds along with cash on hand were used to repay the $141 million outstanding term loan due May 2020. Principal of the new term loan is payable at maturity date of December 2023.</w:t>
      </w:r>
    </w:p>
    <w:p>
      <w:pPr>
        <w:spacing w:after="0" w:line="127"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October 2018, we entered into a revolving credit facility agreement with availability of $30.0 million. Principal will be payable at the maturity date of October 2019. As of December 31, 2018, $30.0 million was available to be drawn.</w:t>
      </w:r>
    </w:p>
    <w:p>
      <w:pPr>
        <w:spacing w:after="0" w:line="116" w:lineRule="exact"/>
        <w:rPr>
          <w:rFonts w:ascii="Arial" w:cs="Arial" w:eastAsia="Arial" w:hAnsi="Arial"/>
          <w:sz w:val="18"/>
          <w:szCs w:val="18"/>
          <w:color w:val="auto"/>
        </w:rPr>
      </w:pPr>
    </w:p>
    <w:p>
      <w:pPr>
        <w:jc w:val="both"/>
        <w:ind w:left="740" w:hanging="408"/>
        <w:spacing w:after="0" w:line="259"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May 2015, we entered into a term loan agreement pursuant to which we may borrow up to $150.0 million for capital expenditures. Principal is payable at maturity in June 2020. Interest is payable quarterly in arrears. In the second quarter of 2018, we borrowed the remaining $64.0 million available under the term loan due June 2020 and repaid $55 million of the term loan due December 2019 and $9 million of the term loan due May 2020.</w:t>
      </w:r>
    </w:p>
    <w:p>
      <w:pPr>
        <w:spacing w:after="0" w:line="132" w:lineRule="exact"/>
        <w:rPr>
          <w:rFonts w:ascii="Arial" w:cs="Arial" w:eastAsia="Arial" w:hAnsi="Arial"/>
          <w:sz w:val="18"/>
          <w:szCs w:val="18"/>
          <w:color w:val="auto"/>
        </w:rPr>
      </w:pPr>
    </w:p>
    <w:p>
      <w:pPr>
        <w:jc w:val="both"/>
        <w:ind w:left="740"/>
        <w:spacing w:after="0" w:line="276" w:lineRule="auto"/>
        <w:rPr>
          <w:rFonts w:ascii="Arial" w:cs="Arial" w:eastAsia="Arial" w:hAnsi="Arial"/>
          <w:sz w:val="18"/>
          <w:szCs w:val="18"/>
          <w:color w:val="auto"/>
        </w:rPr>
      </w:pPr>
      <w:r>
        <w:rPr>
          <w:rFonts w:ascii="Arial" w:cs="Arial" w:eastAsia="Arial" w:hAnsi="Arial"/>
          <w:sz w:val="17"/>
          <w:szCs w:val="17"/>
          <w:color w:val="auto"/>
        </w:rPr>
        <w:t>In December 2018, we entered into a term loan agreement pursuant to which we may borrow up to $90.0 million for capital expenditures. We borrowed $24.0 million of this new term loan and used the proceeds along with $1.0 million cash on hand to repay part of the term loan due June 2020. Principal of the new term loan is payable in semiannual installments beginning June 2022 and ending at maturity date of December 2028. As of December 31, 2018, $66.0 million was available to be drawn. In February 2019, we borrowed an additional $30.0 million of this new term loan and used the proceeds to repay $29.0 million of the term loan due June 2020.</w:t>
      </w:r>
    </w:p>
    <w:p>
      <w:pPr>
        <w:spacing w:after="0" w:line="118"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entered into various short-term loans which mature semiannually. Principal is payable in monthly installments. As of December 31, 2018, $4.6 million was available to be drawn.</w:t>
      </w:r>
    </w:p>
    <w:p>
      <w:pPr>
        <w:spacing w:after="0" w:line="116" w:lineRule="exact"/>
        <w:rPr>
          <w:rFonts w:ascii="Arial" w:cs="Arial" w:eastAsia="Arial" w:hAnsi="Arial"/>
          <w:sz w:val="18"/>
          <w:szCs w:val="18"/>
          <w:color w:val="auto"/>
        </w:rPr>
      </w:pPr>
    </w:p>
    <w:p>
      <w:pPr>
        <w:jc w:val="both"/>
        <w:ind w:left="740" w:hanging="408"/>
        <w:spacing w:after="0" w:line="276"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July 2018, the senior secured revolving credit facility of Amkor Technology, Inc. was terminated and replaced by a new facility entered into by our subsidiary, Amkor Technology Singapore Holding Pte, Ltd., and guaranteed by Amkor Technology, Inc. We recorded a $0.4 million charge for the write-off of the associated unamortized debt issuance costs relating to the terminated credit facility. The availability for the new revolving credit facility is based on the amount of eligible accounts receivable. As of December 31, 2018, we had availability of $250.0 million under the new senior secured revolving credit facility with no outstanding standby letters of credit.</w:t>
      </w:r>
    </w:p>
    <w:p>
      <w:pPr>
        <w:spacing w:after="0" w:line="118" w:lineRule="exact"/>
        <w:rPr>
          <w:rFonts w:ascii="Arial" w:cs="Arial" w:eastAsia="Arial" w:hAnsi="Arial"/>
          <w:sz w:val="17"/>
          <w:szCs w:val="17"/>
          <w:color w:val="auto"/>
        </w:rPr>
      </w:pPr>
    </w:p>
    <w:p>
      <w:pPr>
        <w:ind w:left="740" w:right="20" w:hanging="40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November 2015, we entered into a $39.0 million revolving credit facility. Principal is payable at maturity. As of December 31, 2018, $19.0 million was available to be drawn.</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of our foreign debt is collateralized by the land, buildings, equipment and accounts receivable in the respective locations. The carrying value of the collateral exceeds the carrying amount of the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Interest is payable semiannually on our senior notes and quarterly or monthly on our other fixed- and variable-rate debt. Refer to the table above for the interest rates on our fixed-rate debt and to the table below for the interest rates on our variable-rate debt.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23495</wp:posOffset>
            </wp:positionV>
            <wp:extent cx="2023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Pr>
          <w:p>
            <w:pPr>
              <w:ind w:left="8860"/>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spacing w:after="0"/>
              <w:rPr>
                <w:sz w:val="16"/>
                <w:szCs w:val="16"/>
                <w:color w:val="auto"/>
              </w:rPr>
            </w:pPr>
          </w:p>
        </w:tc>
        <w:tc>
          <w:tcPr>
            <w:tcW w:w="1300" w:type="dxa"/>
            <w:vAlign w:val="bottom"/>
          </w:tcPr>
          <w:p>
            <w:pPr>
              <w:jc w:val="right"/>
              <w:ind w:right="531"/>
              <w:spacing w:after="0"/>
              <w:rPr>
                <w:sz w:val="20"/>
                <w:szCs w:val="20"/>
                <w:color w:val="auto"/>
              </w:rPr>
            </w:pPr>
            <w:r>
              <w:rPr>
                <w:rFonts w:ascii="Arial" w:cs="Arial" w:eastAsia="Arial" w:hAnsi="Arial"/>
                <w:sz w:val="14"/>
                <w:szCs w:val="14"/>
                <w:b w:val="1"/>
                <w:bCs w:val="1"/>
                <w:color w:val="auto"/>
              </w:rPr>
              <w:t>2017</w:t>
            </w:r>
          </w:p>
        </w:tc>
      </w:tr>
      <w:tr>
        <w:trPr>
          <w:trHeight w:val="256"/>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Amkor Technology Korea, Inc.:</w:t>
            </w:r>
          </w:p>
        </w:tc>
        <w:tc>
          <w:tcPr>
            <w:tcW w:w="9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29"/>
        </w:trPr>
        <w:tc>
          <w:tcPr>
            <w:tcW w:w="9200" w:type="dxa"/>
            <w:vAlign w:val="bottom"/>
          </w:tcPr>
          <w:p>
            <w:pPr>
              <w:ind w:left="280"/>
              <w:spacing w:after="0"/>
              <w:rPr>
                <w:sz w:val="20"/>
                <w:szCs w:val="20"/>
                <w:color w:val="auto"/>
              </w:rPr>
            </w:pPr>
            <w:r>
              <w:rPr>
                <w:rFonts w:ascii="Arial" w:cs="Arial" w:eastAsia="Arial" w:hAnsi="Arial"/>
                <w:sz w:val="18"/>
                <w:szCs w:val="18"/>
                <w:color w:val="auto"/>
              </w:rPr>
              <w:t>$75 million revolving credit facility, foreign currency funding-linked base rate plus 1.60%, due September</w:t>
            </w:r>
          </w:p>
        </w:tc>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9200" w:type="dxa"/>
            <w:vAlign w:val="bottom"/>
          </w:tcPr>
          <w:p>
            <w:pPr>
              <w:ind w:left="520"/>
              <w:spacing w:after="0"/>
              <w:rPr>
                <w:sz w:val="20"/>
                <w:szCs w:val="20"/>
                <w:color w:val="auto"/>
              </w:rPr>
            </w:pPr>
            <w:r>
              <w:rPr>
                <w:rFonts w:ascii="Arial" w:cs="Arial" w:eastAsia="Arial" w:hAnsi="Arial"/>
                <w:sz w:val="18"/>
                <w:szCs w:val="18"/>
                <w:color w:val="auto"/>
              </w:rPr>
              <w:t>2018</w:t>
            </w:r>
          </w:p>
        </w:tc>
        <w:tc>
          <w:tcPr>
            <w:tcW w:w="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7"/>
        </w:trPr>
        <w:tc>
          <w:tcPr>
            <w:tcW w:w="9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$30 million revolving credit facility, LIBOR plus the applicable bank rate, due October 2019</w:t>
            </w:r>
          </w:p>
        </w:tc>
        <w:tc>
          <w:tcPr>
            <w:tcW w:w="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9200" w:type="dxa"/>
            <w:vAlign w:val="bottom"/>
          </w:tcPr>
          <w:p>
            <w:pPr>
              <w:ind w:left="280"/>
              <w:spacing w:after="0"/>
              <w:rPr>
                <w:sz w:val="20"/>
                <w:szCs w:val="20"/>
                <w:color w:val="auto"/>
              </w:rPr>
            </w:pPr>
            <w:r>
              <w:rPr>
                <w:rFonts w:ascii="Arial" w:cs="Arial" w:eastAsia="Arial" w:hAnsi="Arial"/>
                <w:sz w:val="18"/>
                <w:szCs w:val="18"/>
                <w:color w:val="auto"/>
              </w:rPr>
              <w:t>Term loan, LIBOR plus 2.70%, due December 2019</w:t>
            </w:r>
          </w:p>
        </w:tc>
        <w:tc>
          <w:tcPr>
            <w:tcW w:w="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7"/>
        </w:trPr>
        <w:tc>
          <w:tcPr>
            <w:tcW w:w="9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 foreign currency funding-linked base rate plus 1.32%, due May 2020</w:t>
            </w:r>
          </w:p>
        </w:tc>
        <w:tc>
          <w:tcPr>
            <w:tcW w:w="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9200" w:type="dxa"/>
            <w:vAlign w:val="bottom"/>
          </w:tcPr>
          <w:p>
            <w:pPr>
              <w:ind w:left="280"/>
              <w:spacing w:after="0"/>
              <w:rPr>
                <w:sz w:val="20"/>
                <w:szCs w:val="20"/>
                <w:color w:val="auto"/>
              </w:rPr>
            </w:pPr>
            <w:r>
              <w:rPr>
                <w:rFonts w:ascii="Arial" w:cs="Arial" w:eastAsia="Arial" w:hAnsi="Arial"/>
                <w:sz w:val="18"/>
                <w:szCs w:val="18"/>
                <w:color w:val="auto"/>
              </w:rPr>
              <w:t>Term Loan, fund floating rate plus 1.60%, due June 2020</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4.49%</w:t>
            </w:r>
          </w:p>
        </w:tc>
        <w:tc>
          <w:tcPr>
            <w:tcW w:w="130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9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 LIBOR plus 2.56%, due December 2023</w:t>
            </w: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5.38%</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9200" w:type="dxa"/>
            <w:vAlign w:val="bottom"/>
          </w:tcPr>
          <w:p>
            <w:pPr>
              <w:ind w:left="280"/>
              <w:spacing w:after="0"/>
              <w:rPr>
                <w:sz w:val="20"/>
                <w:szCs w:val="20"/>
                <w:color w:val="auto"/>
              </w:rPr>
            </w:pPr>
            <w:r>
              <w:rPr>
                <w:rFonts w:ascii="Arial" w:cs="Arial" w:eastAsia="Arial" w:hAnsi="Arial"/>
                <w:sz w:val="18"/>
                <w:szCs w:val="18"/>
                <w:color w:val="auto"/>
              </w:rPr>
              <w:t>Term loan, applicable bank rate plus 1.98%, due December 2028</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4.64%</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9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J-Devices Corporation:</w:t>
            </w:r>
          </w:p>
        </w:tc>
        <w:tc>
          <w:tcPr>
            <w:tcW w:w="9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tcPr>
          <w:p>
            <w:pPr>
              <w:ind w:left="280"/>
              <w:spacing w:after="0"/>
              <w:rPr>
                <w:sz w:val="20"/>
                <w:szCs w:val="20"/>
                <w:color w:val="auto"/>
              </w:rPr>
            </w:pPr>
            <w:r>
              <w:rPr>
                <w:rFonts w:ascii="Arial" w:cs="Arial" w:eastAsia="Arial" w:hAnsi="Arial"/>
                <w:sz w:val="18"/>
                <w:szCs w:val="18"/>
                <w:color w:val="auto"/>
              </w:rPr>
              <w:t>Short-term term loans, variable rate</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0.24%</w:t>
            </w:r>
          </w:p>
        </w:tc>
        <w:tc>
          <w:tcPr>
            <w:tcW w:w="130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
        </w:trPr>
        <w:tc>
          <w:tcPr>
            <w:tcW w:w="9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Amkor Technology Singapore Holdings Pte, Ltd.:</w:t>
            </w:r>
          </w:p>
        </w:tc>
        <w:tc>
          <w:tcPr>
            <w:tcW w:w="9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tcPr>
          <w:p>
            <w:pPr>
              <w:ind w:left="280"/>
              <w:spacing w:after="0"/>
              <w:rPr>
                <w:sz w:val="20"/>
                <w:szCs w:val="20"/>
                <w:color w:val="auto"/>
              </w:rPr>
            </w:pPr>
            <w:r>
              <w:rPr>
                <w:rFonts w:ascii="Arial" w:cs="Arial" w:eastAsia="Arial" w:hAnsi="Arial"/>
                <w:sz w:val="18"/>
                <w:szCs w:val="18"/>
                <w:color w:val="auto"/>
              </w:rPr>
              <w:t>$250 million senior secured revolving credit facility, LIBOR plus 1.25%-1.75%, due July 2023</w:t>
            </w:r>
          </w:p>
        </w:tc>
        <w:tc>
          <w:tcPr>
            <w:tcW w:w="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9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Amkor Technology Taiwan Ltd.:</w:t>
            </w:r>
          </w:p>
        </w:tc>
        <w:tc>
          <w:tcPr>
            <w:tcW w:w="9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tcPr>
          <w:p>
            <w:pPr>
              <w:ind w:left="280"/>
              <w:spacing w:after="0"/>
              <w:rPr>
                <w:sz w:val="20"/>
                <w:szCs w:val="20"/>
                <w:color w:val="auto"/>
              </w:rPr>
            </w:pPr>
            <w:r>
              <w:rPr>
                <w:rFonts w:ascii="Arial" w:cs="Arial" w:eastAsia="Arial" w:hAnsi="Arial"/>
                <w:sz w:val="18"/>
                <w:szCs w:val="18"/>
                <w:color w:val="auto"/>
              </w:rPr>
              <w:t>Revolving credit facility, TAIFX plus the applicable bank rate, due November 2020</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4.26%</w:t>
            </w:r>
          </w:p>
        </w:tc>
        <w:tc>
          <w:tcPr>
            <w:tcW w:w="130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7"/>
        </w:trPr>
        <w:tc>
          <w:tcPr>
            <w:tcW w:w="9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Amkor Assembly &amp; Test (Shanghai) Co., Ltd.:</w:t>
            </w:r>
          </w:p>
        </w:tc>
        <w:tc>
          <w:tcPr>
            <w:tcW w:w="9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tcPr>
          <w:p>
            <w:pPr>
              <w:ind w:left="280"/>
              <w:spacing w:after="0"/>
              <w:rPr>
                <w:sz w:val="20"/>
                <w:szCs w:val="20"/>
                <w:color w:val="auto"/>
              </w:rPr>
            </w:pPr>
            <w:r>
              <w:rPr>
                <w:rFonts w:ascii="Arial" w:cs="Arial" w:eastAsia="Arial" w:hAnsi="Arial"/>
                <w:sz w:val="18"/>
                <w:szCs w:val="18"/>
                <w:color w:val="auto"/>
              </w:rPr>
              <w:t>Term loan, LIBOR plus 1.80%, due December 2019</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4.22%</w:t>
            </w:r>
          </w:p>
        </w:tc>
        <w:tc>
          <w:tcPr>
            <w:tcW w:w="1300" w:type="dxa"/>
            <w:vAlign w:val="bottom"/>
          </w:tcPr>
          <w:p>
            <w:pPr>
              <w:jc w:val="right"/>
              <w:spacing w:after="0"/>
              <w:rPr>
                <w:sz w:val="20"/>
                <w:szCs w:val="20"/>
                <w:color w:val="auto"/>
              </w:rPr>
            </w:pPr>
            <w:r>
              <w:rPr>
                <w:rFonts w:ascii="Arial" w:cs="Arial" w:eastAsia="Arial" w:hAnsi="Arial"/>
                <w:sz w:val="18"/>
                <w:szCs w:val="18"/>
                <w:color w:val="auto"/>
              </w:rPr>
              <w:t>3.16%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Debt Covenants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debt of Amkor Technology, Inc. is structurally subordinated in right of payment to all existing and future debt and other liabilities of our subsidiaries. From time to time, Amkor Technology, Inc. also guarantees certain debt of our subsidiaries. The agreements governing our indebtedness contain affirmative, negative and financial covenants which restrict our ability to pay dividends and could restrict our operations. We have never paid a dividend to our stockholders and we do not have any present plans for doing so. We were in compliance with all debt covenants at December 31, 2018 and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 Debt</w:t>
            </w:r>
          </w:p>
        </w:tc>
      </w:tr>
      <w:tr>
        <w:trPr>
          <w:trHeight w:val="250"/>
        </w:trPr>
        <w:tc>
          <w:tcPr>
            <w:tcW w:w="9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due for the year ending December 31,</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114,579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323,346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58,346</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581,723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238,985</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17,150</w:t>
            </w:r>
          </w:p>
        </w:tc>
      </w:tr>
      <w:tr>
        <w:trPr>
          <w:trHeight w:val="257"/>
        </w:trPr>
        <w:tc>
          <w:tcPr>
            <w:tcW w:w="9940" w:type="dxa"/>
            <w:vAlign w:val="bottom"/>
          </w:tcPr>
          <w:p>
            <w:pPr>
              <w:ind w:left="280"/>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1,334,129</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ind w:left="560" w:hanging="552"/>
        <w:spacing w:after="0"/>
        <w:tabs>
          <w:tab w:leader="none" w:pos="5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Severance Plans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Korean Severance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subsidiary in Korea maintains an unfunded severance plan that covers certain employees that were employed prior to August 1, 2015. To the extent eligible employees are terminated, our subsidiary in Korea would be required to make lump-sum severance payments on behalf of these eligible employees for service provided prior to August 1, 2015. Factors used to determine severance benefits include employees' length of service, seniority and rate of pay. The employees' length of service and seniority are fixed as of July 31, 2015. The employees' rate of pay is adjusted to the rate of pay at the time of termination. Accrued severance benefits are estimated assuming all eligible employees were to terminate their employment at the balance sheet date. Our contributions to the National Pension Plan of the Republic of Korea are deducted from accrued severance benefit liabilities. On August 1, 2015, our subsidiary in Korea began sponsoring a defined benefit pension plan and a defined contribution plan. Existing employees at that time were given the option of choosing either a defined benefit pension plan or a defined contribution plan for their future benefits and new employees since that date are enrolled in a defined contribution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the balance of our accrued severance plan obligations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153,920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136,396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143,151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of severance benefits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11,714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6,746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 payments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 currency (gain) loss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17,597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153,920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136,396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 remaining with the National Pension Fund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severance plan obligations at December 31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153,735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136,214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current portion of accrued severance plan obligations (Note 10)</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15,190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14,053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 of accrued severance plan obligations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128,947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138,545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122,161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subsidiaries in Japan, Korea, Malaysia, the Philippines and Taiwan sponsor defined benefit plans (the “Plans”). Charges to expense are based upon actuarial analyses. The following table summarizes the changes to the Plans’ benefit obligations, fair value of the Plans’ assets and the funded status of the Plans at December 31, 2018 and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left="3440"/>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ind w:left="344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projected benefit obligation:</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Projected benefit obligation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Benefits paid</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Actuarial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Effects of curtailment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Foreign exchange (gain) loss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Projected benefit obligation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plan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Fair value of plan assets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Actual gain (loss) on plan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Settlement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Benefits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Foreign exchange gain (loss)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Fair value of plan assets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Funded status of the Plans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recognized in the Consolidated Balance Sheets consist of:</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benefit cost (included in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benefit liability (included in pension and severance obligations)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amount recognized at year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44"/>
        </w:trPr>
        <w:tc>
          <w:tcPr>
            <w:tcW w:w="360" w:type="dxa"/>
            <w:vAlign w:val="bottom"/>
          </w:tcPr>
          <w:p>
            <w:pPr>
              <w:spacing w:after="0"/>
              <w:rPr>
                <w:sz w:val="21"/>
                <w:szCs w:val="21"/>
                <w:color w:val="auto"/>
              </w:rPr>
            </w:pPr>
          </w:p>
        </w:tc>
        <w:tc>
          <w:tcPr>
            <w:tcW w:w="174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r>
      <w:tr>
        <w:trPr>
          <w:trHeight w:val="525"/>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158,466</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131,416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32,913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33,823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4,067</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(6,137)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(15,183)</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70"/>
        </w:trPr>
        <w:tc>
          <w:tcPr>
            <w:tcW w:w="36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573</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7,653</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175,712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158,466</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07"/>
        </w:trPr>
        <w:tc>
          <w:tcPr>
            <w:tcW w:w="3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115,725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91,471</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8,559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26,899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28,073</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(6,137)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(15,183)</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5,301</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123,370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115,725</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(52,342)</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(42,741)</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96"/>
        </w:trPr>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24"/>
                <w:szCs w:val="24"/>
                <w:color w:val="auto"/>
              </w:rPr>
            </w:pPr>
          </w:p>
        </w:tc>
      </w:tr>
      <w:tr>
        <w:trPr>
          <w:trHeight w:val="264"/>
        </w:trPr>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44"/>
        </w:trPr>
        <w:tc>
          <w:tcPr>
            <w:tcW w:w="360" w:type="dxa"/>
            <w:vAlign w:val="bottom"/>
          </w:tcPr>
          <w:p>
            <w:pPr>
              <w:spacing w:after="0"/>
              <w:rPr>
                <w:sz w:val="21"/>
                <w:szCs w:val="21"/>
                <w:color w:val="auto"/>
              </w:rPr>
            </w:pPr>
          </w:p>
        </w:tc>
        <w:tc>
          <w:tcPr>
            <w:tcW w:w="174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r>
      <w:tr>
        <w:trPr>
          <w:trHeight w:val="525"/>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656</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(55,082)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(43,397)</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(52,342)</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(42,741)</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360"/>
            <w:col w:w="3080"/>
          </w:cols>
          <w:pgMar w:left="240" w:top="121"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as of December 31, 2018 and 2017 was $132.9 million and $113.6 million, respectively.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by component, the change in accumulated other comprehensive income (loss), net of tax related to our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w w:val="97"/>
              </w:rPr>
              <w:t>Prior Service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ind w:left="40"/>
              <w:spacing w:after="0"/>
              <w:rPr>
                <w:sz w:val="20"/>
                <w:szCs w:val="20"/>
                <w:color w:val="auto"/>
              </w:rPr>
            </w:pPr>
            <w:r>
              <w:rPr>
                <w:rFonts w:ascii="Arial" w:cs="Arial" w:eastAsia="Arial" w:hAnsi="Arial"/>
                <w:sz w:val="14"/>
                <w:szCs w:val="14"/>
                <w:b w:val="1"/>
                <w:bCs w:val="1"/>
                <w:color w:val="auto"/>
              </w:rPr>
              <w:t>Actuarial Net Gain</w:t>
            </w:r>
          </w:p>
        </w:tc>
        <w:tc>
          <w:tcPr>
            <w:tcW w:w="280" w:type="dxa"/>
            <w:vAlign w:val="bottom"/>
          </w:tcPr>
          <w:p>
            <w:pPr>
              <w:spacing w:after="0"/>
              <w:rPr>
                <w:sz w:val="14"/>
                <w:szCs w:val="1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860" w:type="dxa"/>
            <w:vAlign w:val="bottom"/>
            <w:tcBorders>
              <w:bottom w:val="single" w:sz="8" w:color="CCEEFF"/>
            </w:tcBorders>
            <w:gridSpan w:val="2"/>
            <w:shd w:val="clear" w:color="auto" w:fill="CCEEFF"/>
          </w:tcPr>
          <w:p>
            <w:pPr>
              <w:jc w:val="center"/>
              <w:ind w:left="5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582</w:t>
            </w:r>
          </w:p>
        </w:tc>
        <w:tc>
          <w:tcPr>
            <w:tcW w:w="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included in net periodic pension cost</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(loss) arising during period</w:t>
            </w:r>
          </w:p>
        </w:tc>
        <w:tc>
          <w:tcPr>
            <w:tcW w:w="7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5,075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09"/>
        </w:trPr>
        <w:tc>
          <w:tcPr>
            <w:tcW w:w="6740" w:type="dxa"/>
            <w:vAlign w:val="bottom"/>
          </w:tcPr>
          <w:p>
            <w:pPr>
              <w:ind w:left="280"/>
              <w:spacing w:after="0"/>
              <w:rPr>
                <w:sz w:val="20"/>
                <w:szCs w:val="20"/>
                <w:color w:val="auto"/>
              </w:rPr>
            </w:pPr>
            <w:r>
              <w:rPr>
                <w:rFonts w:ascii="Arial" w:cs="Arial" w:eastAsia="Arial" w:hAnsi="Arial"/>
                <w:sz w:val="18"/>
                <w:szCs w:val="18"/>
                <w:color w:val="auto"/>
                <w:w w:val="92"/>
              </w:rPr>
              <w:t>Adjustments to unrealized components of defined benefit pension plan included in other</w:t>
            </w: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520"/>
              <w:spacing w:after="0"/>
              <w:rPr>
                <w:sz w:val="20"/>
                <w:szCs w:val="20"/>
                <w:color w:val="auto"/>
              </w:rPr>
            </w:pPr>
            <w:r>
              <w:rPr>
                <w:rFonts w:ascii="Arial" w:cs="Arial" w:eastAsia="Arial" w:hAnsi="Arial"/>
                <w:sz w:val="18"/>
                <w:szCs w:val="18"/>
                <w:color w:val="auto"/>
              </w:rPr>
              <w:t>comprehensive income (loss)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603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and settlement gain included in net periodic pension cost</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(loss) arising during period</w:t>
            </w:r>
          </w:p>
        </w:tc>
        <w:tc>
          <w:tcPr>
            <w:tcW w:w="7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09"/>
        </w:trPr>
        <w:tc>
          <w:tcPr>
            <w:tcW w:w="6740" w:type="dxa"/>
            <w:vAlign w:val="bottom"/>
          </w:tcPr>
          <w:p>
            <w:pPr>
              <w:ind w:left="280"/>
              <w:spacing w:after="0"/>
              <w:rPr>
                <w:sz w:val="20"/>
                <w:szCs w:val="20"/>
                <w:color w:val="auto"/>
              </w:rPr>
            </w:pPr>
            <w:r>
              <w:rPr>
                <w:rFonts w:ascii="Arial" w:cs="Arial" w:eastAsia="Arial" w:hAnsi="Arial"/>
                <w:sz w:val="18"/>
                <w:szCs w:val="18"/>
                <w:color w:val="auto"/>
                <w:w w:val="92"/>
              </w:rPr>
              <w:t>Adjustments to unrealized components of defined benefit pension plan included in other</w:t>
            </w: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520"/>
              <w:spacing w:after="0"/>
              <w:rPr>
                <w:sz w:val="20"/>
                <w:szCs w:val="20"/>
                <w:color w:val="auto"/>
              </w:rPr>
            </w:pPr>
            <w:r>
              <w:rPr>
                <w:rFonts w:ascii="Arial" w:cs="Arial" w:eastAsia="Arial" w:hAnsi="Arial"/>
                <w:sz w:val="18"/>
                <w:szCs w:val="18"/>
                <w:color w:val="auto"/>
              </w:rPr>
              <w:t>comprehensive income (loss)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860" w:type="dxa"/>
            <w:vAlign w:val="bottom"/>
            <w:gridSpan w:val="2"/>
            <w:shd w:val="clear" w:color="auto" w:fill="CCEEFF"/>
          </w:tcPr>
          <w:p>
            <w:pPr>
              <w:jc w:val="center"/>
              <w:ind w:left="59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602</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Estimated amortization of cost to be included in 2019 net periodic pension cost</w:t>
            </w:r>
          </w:p>
        </w:tc>
        <w:tc>
          <w:tcPr>
            <w:tcW w:w="860" w:type="dxa"/>
            <w:vAlign w:val="bottom"/>
            <w:gridSpan w:val="2"/>
          </w:tcPr>
          <w:p>
            <w:pPr>
              <w:jc w:val="center"/>
              <w:ind w:left="593"/>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459"/>
        </w:trPr>
        <w:tc>
          <w:tcPr>
            <w:tcW w:w="6740" w:type="dxa"/>
            <w:vAlign w:val="bottom"/>
          </w:tcPr>
          <w:p>
            <w:pPr>
              <w:spacing w:after="0"/>
              <w:rPr>
                <w:sz w:val="20"/>
                <w:szCs w:val="20"/>
                <w:color w:val="auto"/>
              </w:rPr>
            </w:pPr>
            <w:r>
              <w:rPr>
                <w:rFonts w:ascii="Arial" w:cs="Arial" w:eastAsia="Arial" w:hAnsi="Arial"/>
                <w:sz w:val="18"/>
                <w:szCs w:val="18"/>
                <w:color w:val="auto"/>
                <w:w w:val="93"/>
              </w:rPr>
              <w:t>Information for pension plans with benefit obligations in excess of plan assets is as follows: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 with underfunded or non-funded projected benefit obligation:</w:t>
            </w: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Aggregate projected benefit obligation</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135,967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119,708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Aggregate fair value of plan assets</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76,313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Plans with underfunded or non-funded accumulated benefit obligation:</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Aggregate accumulated benefit obligation</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53,720</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Aggregate fair value of plan assets</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20,094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18,970</w:t>
            </w:r>
          </w:p>
        </w:tc>
        <w:tc>
          <w:tcPr>
            <w:tcW w:w="0" w:type="dxa"/>
            <w:vAlign w:val="bottom"/>
          </w:tcPr>
          <w:p>
            <w:pPr>
              <w:spacing w:after="0"/>
              <w:rPr>
                <w:sz w:val="1"/>
                <w:szCs w:val="1"/>
                <w:color w:val="auto"/>
              </w:rPr>
            </w:pPr>
          </w:p>
        </w:tc>
      </w:tr>
      <w:tr>
        <w:trPr>
          <w:trHeight w:val="459"/>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total pension expense:</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2"/>
          </w:tcPr>
          <w:p>
            <w:pPr>
              <w:jc w:val="center"/>
              <w:ind w:left="354"/>
              <w:spacing w:after="0"/>
              <w:rPr>
                <w:sz w:val="20"/>
                <w:szCs w:val="20"/>
                <w:color w:val="auto"/>
              </w:rPr>
            </w:pPr>
            <w:r>
              <w:rPr>
                <w:rFonts w:ascii="Arial" w:cs="Arial" w:eastAsia="Arial" w:hAnsi="Arial"/>
                <w:sz w:val="14"/>
                <w:szCs w:val="14"/>
                <w:b w:val="1"/>
                <w:bCs w:val="1"/>
                <w:color w:val="auto"/>
                <w:w w:val="93"/>
              </w:rPr>
              <w:t>For the Year Ended December 31,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49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periodic pension cost and total pension expense:</w:t>
            </w: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w w:val="94"/>
              </w:rPr>
              <w:t>32,913</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33,823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33,854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4,867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Recognized actuarial (gain) loss</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pension cost</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31,999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33,836</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Curtailment loss</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(gain) loss</w:t>
            </w:r>
          </w:p>
        </w:tc>
        <w:tc>
          <w:tcPr>
            <w:tcW w:w="7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Total pension expense</w:t>
            </w:r>
          </w:p>
        </w:tc>
        <w:tc>
          <w:tcPr>
            <w:tcW w:w="7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4"/>
              </w:rPr>
              <w:t>30,360</w:t>
            </w:r>
          </w:p>
        </w:tc>
        <w:tc>
          <w:tcPr>
            <w:tcW w:w="10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34,424</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33,964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weighted-average assumptions used in computing the net periodic pension cost and projected benefit obligations:</w:t>
      </w:r>
    </w:p>
    <w:p>
      <w:pPr>
        <w:spacing w:after="0" w:line="242"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 for determining net periodic pension cost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Discount rate for determining benefit obligations at December 31</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 for determining net periodic</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cost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Rate of compensation increase for determining benefit obligations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at December 31</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rate of return on plan assets for determining net periodic</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pension cost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measurement date for determining the Plans’ assets and benefit obligations is December 31, each year. Discount rates are generally derived from yield curves constructed from high-quality corporate or foreign government bonds, for which the timing and amount of cash outflows approximate the estimated payouts.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expected rate of return assumption is based on weighted-average expected returns for each asset class. Expected returns reflect a combination of historical performance analysis and the forward-looking views of the financial markets and include input from our actuaries. We have no control over the direction of our investments in our defined benefit plans in Taiwan as the local Labor Standards Law Fund mandates such contributions into a cash account balance at the Bank of Taiwan. Our defined benefit pension plan in Malaysia is a non-funded plan, and as such, no asset exists related to this plan. Our investment strategies for our defined benefit plans in Japan, Korea and the Philippines, are based on long-term, sustained asset growth through low to medium risk investments. The current rate of return assumption targets are based on asset allocation strategies as follows:</w:t>
      </w:r>
    </w:p>
    <w:p>
      <w:pPr>
        <w:spacing w:after="0" w:line="184"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23495</wp:posOffset>
            </wp:positionV>
            <wp:extent cx="28384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Debt</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Other</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Japan defined benefit plan</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Korea defined benefit plan</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Philippine defined benefit plan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9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pension plan assets, by asset category utilizing the fair value hierarchy as discussed in Note 14,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(Level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securities (Level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16,854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securities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10,162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16,826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mutual funds (Level 1)</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25,236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22,193</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50,467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55,873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U.S. government bonds (Level 1)</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bonds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U.S. corporate bonds (Level 1)</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2,144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corporate bonds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government bonds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corporate bonds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5,713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corporate bonds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treasury notes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4,686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mutual funds (Level 1)</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8,787</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36,479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guaranteed investment contracts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Taiwan retirement fund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10,451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10,094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(Level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(Level 2)</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pension plan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123,370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115,725</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Taiwan retirement fund category of our plan assets represents accounts that our subsidiaries in Taiwan have in a government labor retirement fund in the custody of the Bank of Taiwan. The accounts earn a minimum guaranteed rate of return and are invested in a mix of cash, domestic and foreign equity securities and domestic and foreign debt securities.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approximately $23 million during 2019. We closely monitor the funded status of the Plans with respect to legislative requirements. We intend to make at least the minimum contribution required by law each year.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4460"/>
              <w:spacing w:after="0"/>
              <w:rPr>
                <w:sz w:val="20"/>
                <w:szCs w:val="20"/>
                <w:color w:val="auto"/>
              </w:rPr>
            </w:pPr>
            <w:r>
              <w:rPr>
                <w:rFonts w:ascii="Arial" w:cs="Arial" w:eastAsia="Arial" w:hAnsi="Arial"/>
                <w:sz w:val="18"/>
                <w:szCs w:val="18"/>
                <w:b w:val="1"/>
                <w:bCs w:val="1"/>
                <w:color w:val="auto"/>
              </w:rPr>
              <w:t>AMKOR TECHNOLOGY, INC.</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8"/>
        </w:trPr>
        <w:tc>
          <w:tcPr>
            <w:tcW w:w="9940" w:type="dxa"/>
            <w:vAlign w:val="bottom"/>
          </w:tcPr>
          <w:p>
            <w:pPr>
              <w:ind w:left="344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75"/>
        </w:trPr>
        <w:tc>
          <w:tcPr>
            <w:tcW w:w="9940" w:type="dxa"/>
            <w:vAlign w:val="bottom"/>
          </w:tcPr>
          <w:p>
            <w:pPr>
              <w:spacing w:after="0"/>
              <w:rPr>
                <w:sz w:val="20"/>
                <w:szCs w:val="20"/>
                <w:color w:val="auto"/>
              </w:rPr>
            </w:pPr>
            <w:r>
              <w:rPr>
                <w:rFonts w:ascii="Arial" w:cs="Arial" w:eastAsia="Arial" w:hAnsi="Arial"/>
                <w:sz w:val="18"/>
                <w:szCs w:val="18"/>
                <w:color w:val="auto"/>
              </w:rPr>
              <w:t>The estimated future benefit payments related to our foreign defined benefit plans are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9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Payments</w:t>
            </w:r>
          </w:p>
        </w:tc>
      </w:tr>
      <w:tr>
        <w:trPr>
          <w:trHeight w:val="250"/>
        </w:trPr>
        <w:tc>
          <w:tcPr>
            <w:tcW w:w="9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7,922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10,369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12,229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14,979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16,341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2024 to 2028</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129,703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sponsor defined contribution plans in Korea, Malaysia, Taiwan and the U.S. Total defined contribution expense was $12.2 million, $10.4 million and $8.8 million for 2018,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accumulated other comprehensive income (loss), net of tax:</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16,167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16,257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21,153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Amounts reclassified out of accumulated other comprehensive income (loss) are included as a component of net periodic pension cost (Note 12) or other (income) expense,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cash equivalent money market funds and restricted cash money market funds.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Money market funds are valued using quoted market prices in active markets for identical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measurements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 money market funds (Level 1)</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87"/>
              </w:rPr>
              <w:t>74,407</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121,627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money market funds (Level 1)</w:t>
            </w:r>
          </w:p>
        </w:tc>
        <w:tc>
          <w:tcPr>
            <w:tcW w:w="900" w:type="dxa"/>
            <w:vAlign w:val="bottom"/>
          </w:tcPr>
          <w:p>
            <w:pPr>
              <w:spacing w:after="0"/>
              <w:rPr>
                <w:sz w:val="21"/>
                <w:szCs w:val="21"/>
                <w:color w:val="auto"/>
              </w:rPr>
            </w:pPr>
          </w:p>
        </w:tc>
        <w:tc>
          <w:tcPr>
            <w:tcW w:w="620" w:type="dxa"/>
            <w:vAlign w:val="bottom"/>
          </w:tcPr>
          <w:p>
            <w:pPr>
              <w:jc w:val="right"/>
              <w:ind w:right="39"/>
              <w:spacing w:after="0"/>
              <w:rPr>
                <w:sz w:val="20"/>
                <w:szCs w:val="20"/>
                <w:color w:val="auto"/>
              </w:rPr>
            </w:pPr>
            <w:r>
              <w:rPr>
                <w:rFonts w:ascii="Arial" w:cs="Arial" w:eastAsia="Arial" w:hAnsi="Arial"/>
                <w:sz w:val="18"/>
                <w:szCs w:val="18"/>
                <w:color w:val="auto"/>
              </w:rPr>
              <w:t>2,589</w:t>
            </w:r>
          </w:p>
        </w:tc>
        <w:tc>
          <w:tcPr>
            <w:tcW w:w="5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2018</w:t>
            </w: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480" w:type="dxa"/>
            <w:vAlign w:val="bottom"/>
          </w:tcPr>
          <w:p>
            <w:pPr>
              <w:spacing w:after="0"/>
              <w:rPr>
                <w:sz w:val="13"/>
                <w:szCs w:val="13"/>
                <w:color w:val="auto"/>
              </w:rPr>
            </w:pPr>
          </w:p>
        </w:tc>
        <w:tc>
          <w:tcPr>
            <w:tcW w:w="110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8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Carrying</w:t>
            </w: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(Level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526,131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524,978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745,943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723,867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Revolving credit facilities and term loans (Level 2)</w:t>
            </w: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803,867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807,333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639,689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640,562</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instruments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1,329,998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1,332,311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1,385,632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1,364,429</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 based assumptions including forward interest rates adjusted for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generally warrant that our services will be performed in a professional and workmanlike manner and in compliance with our customers’ specifications.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accrue costs for known warranty issues. Historically, our warranty costs have been immaterial.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Patent License 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a January 2015 patent license litigation settlement, Amkor agreed to pay a total of $155.0 million in 16 equal quarterly recurring payments commencing in the first quarter of 2015 and continuing through the fourth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we have no remaining liability under this settlement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leases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85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Operating Leases</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Capital Leases</w:t>
            </w:r>
          </w:p>
        </w:tc>
      </w:tr>
      <w:tr>
        <w:trPr>
          <w:trHeight w:val="250"/>
        </w:trPr>
        <w:tc>
          <w:tcPr>
            <w:tcW w:w="8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3"/>
          </w:tcPr>
          <w:p>
            <w:pPr>
              <w:jc w:val="right"/>
              <w:ind w:right="87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32,461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24,630</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4,555</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17,676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10,942</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936</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9,008</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26,070</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3,807</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future minimum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120,787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21,412</w:t>
            </w: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Rent expense was $43.6 million, $48.1 million and $43.8 million for 2018, 2017 and 2016, respectively.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provide packaging and test services, we purchase materials under various long-term supply contracts. Future minimum payments to be made under these contracts for the period 2019 through 2025 are $10.4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Segments, Customer Concentrations and Geographic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as a single operating segment as managed by our Chief Executive Officer, who is considered our chief operating decision maker ("CODM"). The CODM bears the ultimate responsibility for, and is actively engaged in, the allocation of resources and the evaluation of our operating and financial results. We have concluded that we have a single operating segment based on the following:</w:t>
      </w:r>
    </w:p>
    <w:p>
      <w:pPr>
        <w:spacing w:after="0" w:line="12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managed under a functionally-based organizational structure with the head of each function reporting directly to the CODM;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assess performance, including incentive compensation, based on consolidated operating performance and financial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CODM allocates resources and makes other operating decisions based on specific customer business opportunities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an integrated process for the design, development and manufacturing services we provide to all of our customers. We also have centralized sales and administrative functions.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Net sales by product group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7"/>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Products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2,118,571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1,966,483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1,703,052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Mainstream Products</w:t>
            </w:r>
          </w:p>
        </w:tc>
        <w:tc>
          <w:tcPr>
            <w:tcW w:w="38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2,197,895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2,240,548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2,224,797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4,316,466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4,207,031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3,927,849</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Advanced products include flip chip and wafer-level processing and related test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Mainstream products include wirebond packaging and related test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sales by end market consist of the following</w:t>
      </w:r>
      <w:r>
        <w:rPr>
          <w:rFonts w:ascii="Arial" w:cs="Arial" w:eastAsia="Arial" w:hAnsi="Arial"/>
          <w:sz w:val="18"/>
          <w:szCs w:val="18"/>
          <w:b w:val="1"/>
          <w:bCs w:val="1"/>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10"/>
          </w:tcPr>
          <w:p>
            <w:pPr>
              <w:jc w:val="right"/>
              <w:ind w:right="170"/>
              <w:spacing w:after="0"/>
              <w:rPr>
                <w:sz w:val="20"/>
                <w:szCs w:val="20"/>
                <w:color w:val="auto"/>
              </w:rPr>
            </w:pPr>
            <w:r>
              <w:rPr>
                <w:rFonts w:ascii="Arial" w:cs="Arial" w:eastAsia="Arial" w:hAnsi="Arial"/>
                <w:sz w:val="14"/>
                <w:szCs w:val="14"/>
                <w:b w:val="1"/>
                <w:bCs w:val="1"/>
                <w:color w:val="auto"/>
              </w:rPr>
              <w:t>For the Year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Communications (smartphones, tablets, handheld devices)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industrial and other (driver assist, infotainment, safety, performance)</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Computing (datacenter, infrastructure, PC/laptop, storage)</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Consumer (set-top boxes, televisions, connected home, personal electronics, visual</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imaging)</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658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w w:val="96"/>
              </w:rPr>
              <w:t>Net sales by region based on customer headquarters location consist of the following:</w:t>
            </w: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0"/>
          </w:tcPr>
          <w:p>
            <w:pPr>
              <w:jc w:val="center"/>
              <w:ind w:left="755"/>
              <w:spacing w:after="0"/>
              <w:rPr>
                <w:sz w:val="20"/>
                <w:szCs w:val="20"/>
                <w:color w:val="auto"/>
              </w:rPr>
            </w:pPr>
            <w:r>
              <w:rPr>
                <w:rFonts w:ascii="Arial" w:cs="Arial" w:eastAsia="Arial" w:hAnsi="Arial"/>
                <w:sz w:val="14"/>
                <w:szCs w:val="14"/>
                <w:b w:val="1"/>
                <w:bCs w:val="1"/>
                <w:color w:val="auto"/>
                <w:w w:val="93"/>
              </w:rPr>
              <w:t>For the 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1,156,797</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1,210,296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1,162,729</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605,932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540,126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490,738</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 (excluding Japan)</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535,894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837,014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630,837</w:t>
            </w:r>
          </w:p>
        </w:tc>
        <w:tc>
          <w:tcPr>
            <w:tcW w:w="0" w:type="dxa"/>
            <w:vAlign w:val="bottom"/>
          </w:tcPr>
          <w:p>
            <w:pPr>
              <w:spacing w:after="0"/>
              <w:rPr>
                <w:sz w:val="1"/>
                <w:szCs w:val="1"/>
                <w:color w:val="auto"/>
              </w:rPr>
            </w:pPr>
          </w:p>
        </w:tc>
      </w:tr>
      <w:tr>
        <w:trPr>
          <w:trHeight w:val="237"/>
        </w:trPr>
        <w:tc>
          <w:tcPr>
            <w:tcW w:w="6580" w:type="dxa"/>
            <w:vAlign w:val="bottom"/>
          </w:tcPr>
          <w:p>
            <w:pPr>
              <w:ind w:left="280"/>
              <w:spacing w:after="0"/>
              <w:rPr>
                <w:sz w:val="20"/>
                <w:szCs w:val="20"/>
                <w:color w:val="auto"/>
              </w:rPr>
            </w:pPr>
            <w:r>
              <w:rPr>
                <w:rFonts w:ascii="Arial" w:cs="Arial" w:eastAsia="Arial" w:hAnsi="Arial"/>
                <w:sz w:val="18"/>
                <w:szCs w:val="18"/>
                <w:color w:val="auto"/>
              </w:rPr>
              <w:t>Total foreign countries</w:t>
            </w:r>
          </w:p>
        </w:tc>
        <w:tc>
          <w:tcPr>
            <w:tcW w:w="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2,298,623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2,587,436</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2,284,304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2,017,843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1,619,595</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1,643,545</w:t>
            </w:r>
          </w:p>
        </w:tc>
        <w:tc>
          <w:tcPr>
            <w:tcW w:w="0" w:type="dxa"/>
            <w:vAlign w:val="bottom"/>
          </w:tcPr>
          <w:p>
            <w:pPr>
              <w:spacing w:after="0"/>
              <w:rPr>
                <w:sz w:val="1"/>
                <w:szCs w:val="1"/>
                <w:color w:val="auto"/>
              </w:rPr>
            </w:pPr>
          </w:p>
        </w:tc>
      </w:tr>
      <w:tr>
        <w:trPr>
          <w:trHeight w:val="257"/>
        </w:trPr>
        <w:tc>
          <w:tcPr>
            <w:tcW w:w="6580" w:type="dxa"/>
            <w:vAlign w:val="bottom"/>
          </w:tcPr>
          <w:p>
            <w:pPr>
              <w:ind w:left="280"/>
              <w:spacing w:after="0"/>
              <w:rPr>
                <w:sz w:val="20"/>
                <w:szCs w:val="20"/>
                <w:color w:val="auto"/>
              </w:rPr>
            </w:pPr>
            <w:r>
              <w:rPr>
                <w:rFonts w:ascii="Arial" w:cs="Arial" w:eastAsia="Arial" w:hAnsi="Arial"/>
                <w:sz w:val="18"/>
                <w:szCs w:val="18"/>
                <w:color w:val="auto"/>
              </w:rPr>
              <w:t>Total net sales</w:t>
            </w: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4,316,466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4,207,031</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3,927,849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One customer accounted for 10.2%, 14.3%, and 15.7% of net sales in 2018, 2017 and 2016, respectively. A second customer accounted for 12.9% of net sales in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based on physical location,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472,858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528,739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Japan</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219,373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246,223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Korea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1,213,838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1,131,271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Malaysia</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47,491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47,922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Philippines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270,562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309,425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Portugal</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63,323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64,578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Taiwan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352,576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356,174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foreign countries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foreign countries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2,640,191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2,684,548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10,257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10,517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2,650,448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2,695,065</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Results (unaudited)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our consolidated unaudited financial data for the last eight quarters ended December 31, 2018. We believe that we have included all adjustments, consisting only of normal recurring adjustments necessary for a fair statement of our selected quarterly data. The calculation of basic and diluted per share amounts for each quarter is based on the weighted-average shares outstanding for that period; consequently, the sum of the quarters may not necessarily be equal to the full year basic and diluted net income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For the Quarter Ended</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64"/>
        </w:trPr>
        <w:tc>
          <w:tcPr>
            <w:tcW w:w="24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Dec 31, 2018 (c)</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 30, 2018</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Jun 30, 2018</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Mar 31, 2018</w:t>
            </w: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Dec 31, 2017 (c)</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 30, 2017</w:t>
            </w: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Jun 30, 2017 (a)</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Mar 31, 2017</w:t>
            </w:r>
          </w:p>
        </w:tc>
      </w:tr>
      <w:tr>
        <w:trPr>
          <w:trHeight w:val="249"/>
        </w:trPr>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gridSpan w:val="6"/>
          </w:tcPr>
          <w:p>
            <w:pPr>
              <w:ind w:left="20"/>
              <w:spacing w:after="0"/>
              <w:rPr>
                <w:sz w:val="20"/>
                <w:szCs w:val="20"/>
                <w:color w:val="auto"/>
              </w:rPr>
            </w:pPr>
            <w:r>
              <w:rPr>
                <w:rFonts w:ascii="Arial" w:cs="Arial" w:eastAsia="Arial" w:hAnsi="Arial"/>
                <w:sz w:val="13"/>
                <w:szCs w:val="13"/>
                <w:b w:val="1"/>
                <w:bCs w:val="1"/>
                <w:color w:val="auto"/>
                <w:w w:val="95"/>
              </w:rPr>
              <w:t>(In thousands, except per share data)</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1,081,271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1,144,192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1,065,684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1,025,319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1,150,478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1,148,884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1,008,385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899,284</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182,370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200,707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169,717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157,771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224,341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223,888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176,616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136,234</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 (b)</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75,381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92,703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53,941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36,119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109,018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105,479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172,659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18,384</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Income tax (benefit) expense</w:t>
            </w:r>
          </w:p>
        </w:tc>
        <w:tc>
          <w:tcPr>
            <w:tcW w:w="1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28,812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14,326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10,631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2,481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21,263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33,466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(1,325)</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28,894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57,292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33,184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10,195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101,185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60,458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(13,968)</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w w:val="97"/>
              </w:rPr>
              <w:t>Net income (loss) attributable to Amkor</w:t>
            </w:r>
          </w:p>
        </w:tc>
        <w:tc>
          <w:tcPr>
            <w:tcW w:w="1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28,295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56,662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32,591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9,544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100,059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59,264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119,013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(14,786)</w:t>
            </w: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Net income (loss) attributable to Amkor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4"/>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per common share:</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97"/>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0.24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0.14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r>
      <w:tr>
        <w:trPr>
          <w:trHeight w:val="21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0.24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0.14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w:t>
            </w: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May 2017, we completed the purchase of Nanium. Nanium's financial results have been included in our Consolidated Financial Statements from the date of acquisition.</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May 2017, we sold the land and buildings comprising our K1 factory for $142.4 million which resulted in a pre-tax gain of $108.1 million.</w:t>
      </w:r>
    </w:p>
    <w:p>
      <w:pPr>
        <w:spacing w:after="0" w:line="171"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the fourth quarter of 2017, net income includes an estimated net tax benefit of $41.6 million primarily due to the reversal of a valuation allowance on certain U.S. deferred tax assets as a result of the enactment of the Tax Act. In the fourth quarter of 2018, we recorded a $22.3 million income tax expense to complete the accounting for the impact of the Tax Act, reducing our estimated net tax benefit of $41.6 million from 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91"/>
              </w:rPr>
              <w:t>Balance at</w:t>
            </w:r>
          </w:p>
        </w:tc>
        <w:tc>
          <w:tcPr>
            <w:tcW w:w="134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Additions</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3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(Credited)</w:t>
            </w:r>
          </w:p>
        </w:tc>
        <w:tc>
          <w:tcPr>
            <w:tcW w:w="1500" w:type="dxa"/>
            <w:vAlign w:val="bottom"/>
          </w:tcPr>
          <w:p>
            <w:pPr>
              <w:spacing w:after="0"/>
              <w:rPr>
                <w:sz w:val="12"/>
                <w:szCs w:val="12"/>
                <w:color w:val="auto"/>
              </w:rPr>
            </w:pPr>
          </w:p>
        </w:tc>
        <w:tc>
          <w:tcPr>
            <w:tcW w:w="110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2"/>
                <w:szCs w:val="12"/>
                <w:color w:val="auto"/>
              </w:rPr>
            </w:pPr>
          </w:p>
        </w:tc>
        <w:tc>
          <w:tcPr>
            <w:tcW w:w="11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3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Charged to</w:t>
            </w:r>
          </w:p>
        </w:tc>
        <w:tc>
          <w:tcPr>
            <w:tcW w:w="150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Write-offs</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1"/>
              </w:rPr>
              <w:t>Period</w:t>
            </w:r>
          </w:p>
        </w:tc>
        <w:tc>
          <w:tcPr>
            <w:tcW w:w="13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6"/>
              </w:rPr>
              <w:t>Expense</w:t>
            </w:r>
          </w:p>
        </w:tc>
        <w:tc>
          <w:tcPr>
            <w:tcW w:w="15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Pr>
          <w:p>
            <w:pPr>
              <w:jc w:val="right"/>
              <w:ind w:right="357"/>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 valuation allowance:</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Year ended at December 31, 2016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9"/>
              <w:spacing w:after="0"/>
              <w:rPr>
                <w:sz w:val="20"/>
                <w:szCs w:val="20"/>
                <w:color w:val="auto"/>
              </w:rPr>
            </w:pPr>
            <w:r>
              <w:rPr>
                <w:rFonts w:ascii="Arial" w:cs="Arial" w:eastAsia="Arial" w:hAnsi="Arial"/>
                <w:sz w:val="18"/>
                <w:szCs w:val="18"/>
                <w:color w:val="auto"/>
              </w:rPr>
              <w:t>168,762</w:t>
            </w:r>
          </w:p>
        </w:tc>
        <w:tc>
          <w:tcPr>
            <w:tcW w:w="1340" w:type="dxa"/>
            <w:vAlign w:val="bottom"/>
          </w:tcPr>
          <w:p>
            <w:pPr>
              <w:jc w:val="right"/>
              <w:ind w:right="140"/>
              <w:spacing w:after="0"/>
              <w:rPr>
                <w:sz w:val="20"/>
                <w:szCs w:val="20"/>
                <w:color w:val="auto"/>
              </w:rPr>
            </w:pPr>
            <w:r>
              <w:rPr>
                <w:rFonts w:ascii="Arial" w:cs="Arial" w:eastAsia="Arial" w:hAnsi="Arial"/>
                <w:sz w:val="18"/>
                <w:szCs w:val="18"/>
                <w:color w:val="auto"/>
              </w:rPr>
              <w:t>7,189</w:t>
            </w:r>
          </w:p>
        </w:tc>
        <w:tc>
          <w:tcPr>
            <w:tcW w:w="1500" w:type="dxa"/>
            <w:vAlign w:val="bottom"/>
          </w:tcPr>
          <w:p>
            <w:pPr>
              <w:jc w:val="right"/>
              <w:ind w:right="217"/>
              <w:spacing w:after="0"/>
              <w:rPr>
                <w:sz w:val="20"/>
                <w:szCs w:val="20"/>
                <w:color w:val="auto"/>
              </w:rPr>
            </w:pPr>
            <w:r>
              <w:rPr>
                <w:rFonts w:ascii="Arial" w:cs="Arial" w:eastAsia="Arial" w:hAnsi="Arial"/>
                <w:sz w:val="18"/>
                <w:szCs w:val="18"/>
                <w:color w:val="auto"/>
              </w:rPr>
              <w:t>(15,091)</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4,624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165,484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165,484</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(117,121)</w:t>
            </w:r>
          </w:p>
        </w:tc>
        <w:tc>
          <w:tcPr>
            <w:tcW w:w="15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(489)</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35,377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83,251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Year ended at December 31, 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9"/>
              <w:spacing w:after="0"/>
              <w:rPr>
                <w:sz w:val="20"/>
                <w:szCs w:val="20"/>
                <w:color w:val="auto"/>
              </w:rPr>
            </w:pPr>
            <w:r>
              <w:rPr>
                <w:rFonts w:ascii="Arial" w:cs="Arial" w:eastAsia="Arial" w:hAnsi="Arial"/>
                <w:sz w:val="18"/>
                <w:szCs w:val="18"/>
                <w:color w:val="auto"/>
              </w:rPr>
              <w:t>83,251</w:t>
            </w:r>
          </w:p>
        </w:tc>
        <w:tc>
          <w:tcPr>
            <w:tcW w:w="1340" w:type="dxa"/>
            <w:vAlign w:val="bottom"/>
          </w:tcPr>
          <w:p>
            <w:pPr>
              <w:jc w:val="right"/>
              <w:ind w:right="140"/>
              <w:spacing w:after="0"/>
              <w:rPr>
                <w:sz w:val="20"/>
                <w:szCs w:val="20"/>
                <w:color w:val="auto"/>
              </w:rPr>
            </w:pPr>
            <w:r>
              <w:rPr>
                <w:rFonts w:ascii="Arial" w:cs="Arial" w:eastAsia="Arial" w:hAnsi="Arial"/>
                <w:sz w:val="18"/>
                <w:szCs w:val="18"/>
                <w:color w:val="auto"/>
              </w:rPr>
              <w:t>54,421</w:t>
            </w:r>
          </w:p>
        </w:tc>
        <w:tc>
          <w:tcPr>
            <w:tcW w:w="1500" w:type="dxa"/>
            <w:vAlign w:val="bottom"/>
          </w:tcPr>
          <w:p>
            <w:pPr>
              <w:jc w:val="right"/>
              <w:ind w:right="217"/>
              <w:spacing w:after="0"/>
              <w:rPr>
                <w:sz w:val="20"/>
                <w:szCs w:val="20"/>
                <w:color w:val="auto"/>
              </w:rPr>
            </w:pPr>
            <w:r>
              <w:rPr>
                <w:rFonts w:ascii="Arial" w:cs="Arial" w:eastAsia="Arial" w:hAnsi="Arial"/>
                <w:sz w:val="18"/>
                <w:szCs w:val="18"/>
                <w:color w:val="auto"/>
              </w:rPr>
              <w:t>(19,112)</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118,560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Column represents adjustments to the deferred tax asset valuation allowance established as part of the purchase accounting related to Amkor's acquisition of Nanium in 2017 and adjustments directly through stockholders’ equity for changes in accumulated other comprehensive income (loss) related to our foreign defined benefit pension plans and the adoption of ASU 2016-09 on July 1,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December 31, 2018, and concluded those disclosure controls and procedures were effective as of that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Exchange Act Rules 13a-15(f) and 15d-15(f).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conducted an assessment of the effectiveness of our internal control over financial reporting as of December 31, 2018, based on the framework established in Internal Control — Integrated Framework (2013) issued by the Committee of Sponsoring Organizations of the Treadway Commission (“COSO”). Based on the results of this evaluation, our management concluded that our internal control over financial reporting was effective as of December 31, 2018, based on criteria in Internal Control — Integrated Framework (2013) issued by the COSO.</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PricewaterhouseCoopers LLP, an independent registered public accounting firm, as stated in their report which appears under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previously reported, we are implementing an enterprise resource planning system in a multi-year program in certain of our factories. There have been no changes in our internal control over financial reporting that occurred during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three months ended December 31, 2018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required by this Item 10, with the exception of information relating to the Code of Business Conduct as disclosed below, is incorporated herein by reference from the material included under the captions “Election of Directors,” “Executive Officers,” and “Section 16(a) Beneficial Ownership Reporting Compliance” in our definitive proxy statement (to be filed pursuant to Regulation 14A) for our 2019 Annual Meeting of Stockholders.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our Code of Business Conduct, Code of Ethics for Directors, Corporate Governance Guidelines, and the charters of the Audit Committee, Nominating and Governance Committee and Compensation Committee of our Board of Directors are available and maintained on our website (http://www.amkor.com). We intend to disclose on our website future amendments or waivers of our Code of Business Conduct required to be disclosed pursuant to applicable rules and regulations.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information required by this Item 11 is incorporated herein by reference from the material included under the captions “Executive Compensation,” “Compensation Committee Interlocks and Insider Participation” and “Compensation Committee Report” in our definitive proxy statement (to be filed pursuant to Regulation 14A) for our 2019 Annual Meeting of Stockholders.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12, with the exception of the equity compensation plan information presented below, is incorporated herein by reference to our definitive proxy statement (to be filed pursuant to Regulation 14A) for our 2019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equity compensation plan as of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(b)</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Issued Upon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Weighted</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Column(a)</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 approved by stockholders (1)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4,743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150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equity compensation plans</w:t>
            </w: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4,743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34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of December 31, 2018, a total of 7.8 million shares were reserved for issuance under the 2007 Plan. Shares available for issuance under our 2007 Plan can be granted pursuant to stock options, restricted stock, restricted stock units, stock appreciation rights, performance units and performance shares.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13 is incorporated herein by reference from the material included under the captions “Certain Relationships and Related Transactions” and “Proposal One — Election of Directors” in our definitive proxy statement (to be filed pursuant to Regulation 14A) for our 2019 Annual Meeting of Stockholders.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14 is incorporated herein by reference from the material included under the proposal “Ratification of Appointment of Independent Registered Public Accounting Firm” in our definitive proxy statement (to be filed pursuant to Regulation 14A) for our 2019 Annual Meeting of Stockholders.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ind w:left="260"/>
        <w:spacing w:after="0"/>
        <w:tabs>
          <w:tab w:leader="none" w:pos="1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43" w:lineRule="exact"/>
        <w:rPr>
          <w:sz w:val="20"/>
          <w:szCs w:val="20"/>
          <w:color w:val="auto"/>
        </w:rPr>
      </w:pPr>
    </w:p>
    <w:p>
      <w:pPr>
        <w:ind w:left="500" w:hanging="249"/>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Financial Statements, Financial Statement Schedules and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financial statements and schedules filed as part of this Annual Report on Form 10-K are listed in the index under Part II, Item 8 of this Annual Report.</w:t>
      </w:r>
    </w:p>
    <w:p>
      <w:pPr>
        <w:spacing w:after="0" w:line="248"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color w:val="auto"/>
        </w:rPr>
        <w:t>The exhibits required by Item 601 of Regulation S-K which are filed with this report or incorporated by reference herein are set forth below. Management contracts or compensatory plans or arrangements are identified by an asterisk.</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99"/>
              </w:rPr>
              <w:t>Incorporated by Reference</w:t>
            </w:r>
          </w:p>
        </w:tc>
        <w:tc>
          <w:tcPr>
            <w:tcW w:w="2000" w:type="dxa"/>
            <w:vAlign w:val="bottom"/>
          </w:tcPr>
          <w:p>
            <w:pPr>
              <w:jc w:val="center"/>
              <w:ind w:left="1014"/>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vMerge w:val="continue"/>
          </w:tcPr>
          <w:p>
            <w:pPr>
              <w:spacing w:after="0"/>
              <w:rPr>
                <w:sz w:val="16"/>
                <w:szCs w:val="16"/>
                <w:color w:val="auto"/>
              </w:rPr>
            </w:pPr>
          </w:p>
        </w:tc>
        <w:tc>
          <w:tcPr>
            <w:tcW w:w="2000" w:type="dxa"/>
            <w:vAlign w:val="bottom"/>
            <w:tcBorders>
              <w:bottom w:val="single" w:sz="8" w:color="auto"/>
            </w:tcBorders>
          </w:tcPr>
          <w:p>
            <w:pPr>
              <w:jc w:val="center"/>
              <w:ind w:left="1014"/>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1200" w:type="dxa"/>
            <w:vAlign w:val="bottom"/>
          </w:tcPr>
          <w:p>
            <w:pPr>
              <w:jc w:val="right"/>
              <w:ind w:right="353"/>
              <w:spacing w:after="0" w:line="139" w:lineRule="exact"/>
              <w:rPr>
                <w:sz w:val="20"/>
                <w:szCs w:val="20"/>
                <w:color w:val="auto"/>
              </w:rPr>
            </w:pPr>
            <w:r>
              <w:rPr>
                <w:rFonts w:ascii="Arial" w:cs="Arial" w:eastAsia="Arial" w:hAnsi="Arial"/>
                <w:sz w:val="14"/>
                <w:szCs w:val="14"/>
                <w:b w:val="1"/>
                <w:bCs w:val="1"/>
                <w:color w:val="auto"/>
              </w:rPr>
              <w:t>Exhibit</w:t>
            </w:r>
          </w:p>
        </w:tc>
        <w:tc>
          <w:tcPr>
            <w:tcW w:w="5220" w:type="dxa"/>
            <w:vAlign w:val="bottom"/>
            <w:gridSpan w:val="14"/>
            <w:vMerge w:val="restart"/>
          </w:tcPr>
          <w:p>
            <w:pPr>
              <w:ind w:left="2000"/>
              <w:spacing w:after="0"/>
              <w:rPr>
                <w:sz w:val="20"/>
                <w:szCs w:val="20"/>
                <w:color w:val="auto"/>
              </w:rPr>
            </w:pPr>
            <w:r>
              <w:rPr>
                <w:rFonts w:ascii="Arial" w:cs="Arial" w:eastAsia="Arial" w:hAnsi="Arial"/>
                <w:sz w:val="14"/>
                <w:szCs w:val="14"/>
                <w:b w:val="1"/>
                <w:bCs w:val="1"/>
                <w:color w:val="auto"/>
              </w:rPr>
              <w:t>Exhibit Description</w:t>
            </w:r>
          </w:p>
        </w:tc>
        <w:tc>
          <w:tcPr>
            <w:tcW w:w="840" w:type="dxa"/>
            <w:vAlign w:val="bottom"/>
            <w:vMerge w:val="restart"/>
          </w:tcPr>
          <w:p>
            <w:pPr>
              <w:jc w:val="center"/>
              <w:ind w:left="11"/>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Period Ending</w:t>
            </w: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Number</w:t>
            </w:r>
          </w:p>
        </w:tc>
        <w:tc>
          <w:tcPr>
            <w:tcW w:w="5220" w:type="dxa"/>
            <w:vAlign w:val="bottom"/>
            <w:tcBorders>
              <w:bottom w:val="single" w:sz="8" w:color="auto"/>
            </w:tcBorders>
            <w:gridSpan w:val="14"/>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0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2.1</w:t>
            </w:r>
          </w:p>
        </w:tc>
        <w:tc>
          <w:tcPr>
            <w:tcW w:w="5200" w:type="dxa"/>
            <w:vAlign w:val="bottom"/>
            <w:tcBorders>
              <w:bottom w:val="single" w:sz="8" w:color="0000FF"/>
            </w:tcBorders>
            <w:gridSpan w:val="13"/>
          </w:tcPr>
          <w:p>
            <w:pPr>
              <w:spacing w:after="0" w:line="202"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Sales Contract of Commodity Premises between Shanghai Waigaoqiao</w:t>
              </w:r>
            </w:hyperlink>
          </w:p>
        </w:tc>
        <w:tc>
          <w:tcPr>
            <w:tcW w:w="20" w:type="dxa"/>
            <w:vAlign w:val="bottom"/>
          </w:tcPr>
          <w:p>
            <w:pPr>
              <w:spacing w:after="0"/>
              <w:rPr>
                <w:sz w:val="17"/>
                <w:szCs w:val="17"/>
                <w:color w:val="auto"/>
              </w:rPr>
            </w:pPr>
          </w:p>
        </w:tc>
        <w:tc>
          <w:tcPr>
            <w:tcW w:w="840" w:type="dxa"/>
            <w:vAlign w:val="bottom"/>
          </w:tcPr>
          <w:p>
            <w:pPr>
              <w:jc w:val="center"/>
              <w:ind w:left="11"/>
              <w:spacing w:after="0" w:line="202" w:lineRule="exact"/>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89"/>
              </w:rPr>
              <w:t>6/30/04</w:t>
            </w:r>
          </w:p>
        </w:tc>
        <w:tc>
          <w:tcPr>
            <w:tcW w:w="940" w:type="dxa"/>
            <w:vAlign w:val="bottom"/>
          </w:tcPr>
          <w:p>
            <w:pPr>
              <w:jc w:val="center"/>
              <w:ind w:right="71"/>
              <w:spacing w:after="0" w:line="202" w:lineRule="exact"/>
              <w:rPr>
                <w:sz w:val="20"/>
                <w:szCs w:val="20"/>
                <w:color w:val="auto"/>
              </w:rPr>
            </w:pPr>
            <w:r>
              <w:rPr>
                <w:rFonts w:ascii="Arial" w:cs="Arial" w:eastAsia="Arial" w:hAnsi="Arial"/>
                <w:sz w:val="18"/>
                <w:szCs w:val="18"/>
                <w:color w:val="auto"/>
                <w:w w:val="87"/>
              </w:rPr>
              <w:t>2.3</w:t>
            </w:r>
          </w:p>
        </w:tc>
        <w:tc>
          <w:tcPr>
            <w:tcW w:w="2000" w:type="dxa"/>
            <w:vAlign w:val="bottom"/>
          </w:tcPr>
          <w:p>
            <w:pPr>
              <w:jc w:val="center"/>
              <w:ind w:right="974"/>
              <w:spacing w:after="0" w:line="202" w:lineRule="exact"/>
              <w:rPr>
                <w:sz w:val="20"/>
                <w:szCs w:val="20"/>
                <w:color w:val="auto"/>
              </w:rPr>
            </w:pPr>
            <w:r>
              <w:rPr>
                <w:rFonts w:ascii="Arial" w:cs="Arial" w:eastAsia="Arial" w:hAnsi="Arial"/>
                <w:sz w:val="18"/>
                <w:szCs w:val="18"/>
                <w:color w:val="auto"/>
                <w:w w:val="91"/>
              </w:rPr>
              <w:t>8/6/04</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4"/>
          </w:tcPr>
          <w:p>
            <w:pPr>
              <w:spacing w:after="0" w:line="196" w:lineRule="exact"/>
              <w:rPr>
                <w:rFonts w:ascii="Arial" w:cs="Arial" w:eastAsia="Arial" w:hAnsi="Arial"/>
                <w:sz w:val="18"/>
                <w:szCs w:val="18"/>
                <w:color w:val="0000FF"/>
                <w:w w:val="95"/>
              </w:rPr>
            </w:pPr>
            <w:hyperlink r:id="rId30">
              <w:r>
                <w:rPr>
                  <w:rFonts w:ascii="Arial" w:cs="Arial" w:eastAsia="Arial" w:hAnsi="Arial"/>
                  <w:sz w:val="18"/>
                  <w:szCs w:val="18"/>
                  <w:color w:val="0000FF"/>
                  <w:w w:val="95"/>
                </w:rPr>
                <w:t>Free Trade Zone Xin Development Co., Ltd. and Amkor Assembly &amp;</w:t>
              </w:r>
            </w:hyperlink>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Test (Shanghai) Co., Ltd. dated May 7, 2004.</w:t>
              </w:r>
            </w:hyperlink>
          </w:p>
        </w:tc>
        <w:tc>
          <w:tcPr>
            <w:tcW w:w="192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3.1</w:t>
            </w:r>
          </w:p>
        </w:tc>
        <w:tc>
          <w:tcPr>
            <w:tcW w:w="5220" w:type="dxa"/>
            <w:vAlign w:val="bottom"/>
            <w:gridSpan w:val="14"/>
          </w:tcPr>
          <w:p>
            <w:pPr>
              <w:spacing w:after="0"/>
              <w:rPr>
                <w:rFonts w:ascii="Arial" w:cs="Arial" w:eastAsia="Arial" w:hAnsi="Arial"/>
                <w:sz w:val="18"/>
                <w:szCs w:val="18"/>
                <w:color w:val="0000FF"/>
              </w:rPr>
            </w:pPr>
            <w:hyperlink r:id="rId31">
              <w:r>
                <w:rPr>
                  <w:rFonts w:ascii="Arial" w:cs="Arial" w:eastAsia="Arial" w:hAnsi="Arial"/>
                  <w:sz w:val="18"/>
                  <w:szCs w:val="18"/>
                  <w:color w:val="0000FF"/>
                </w:rPr>
                <w:t>Certificate of Incorporation.</w:t>
              </w:r>
            </w:hyperlink>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2"/>
              </w:rPr>
              <w:t>S-1</w:t>
            </w:r>
          </w:p>
        </w:tc>
        <w:tc>
          <w:tcPr>
            <w:tcW w:w="1220" w:type="dxa"/>
            <w:vAlign w:val="bottom"/>
          </w:tcPr>
          <w:p>
            <w:pPr>
              <w:spacing w:after="0"/>
              <w:rPr>
                <w:sz w:val="21"/>
                <w:szCs w:val="21"/>
                <w:color w:val="auto"/>
              </w:rPr>
            </w:pP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3.1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89"/>
              </w:rPr>
              <w:t>10/6/97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3.2</w:t>
            </w:r>
          </w:p>
        </w:tc>
        <w:tc>
          <w:tcPr>
            <w:tcW w:w="4020" w:type="dxa"/>
            <w:vAlign w:val="bottom"/>
            <w:tcBorders>
              <w:bottom w:val="single" w:sz="8" w:color="0000FF"/>
            </w:tcBorders>
            <w:gridSpan w:val="9"/>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Certificate of Correction to Certificate of Incorporation.</w:t>
              </w:r>
            </w:hyperlink>
          </w:p>
        </w:tc>
        <w:tc>
          <w:tcPr>
            <w:tcW w:w="1200" w:type="dxa"/>
            <w:vAlign w:val="bottom"/>
            <w:gridSpan w:val="5"/>
          </w:tcPr>
          <w:p>
            <w:pPr>
              <w:spacing w:after="0"/>
              <w:rPr>
                <w:sz w:val="21"/>
                <w:szCs w:val="21"/>
                <w:color w:val="auto"/>
              </w:rPr>
            </w:pP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2"/>
              </w:rPr>
              <w:t>S-1</w:t>
            </w:r>
          </w:p>
        </w:tc>
        <w:tc>
          <w:tcPr>
            <w:tcW w:w="1220" w:type="dxa"/>
            <w:vAlign w:val="bottom"/>
          </w:tcPr>
          <w:p>
            <w:pPr>
              <w:spacing w:after="0"/>
              <w:rPr>
                <w:sz w:val="21"/>
                <w:szCs w:val="21"/>
                <w:color w:val="auto"/>
              </w:rPr>
            </w:pP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3.1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91"/>
              </w:rPr>
              <w:t>4/8/98</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3.3</w:t>
            </w:r>
          </w:p>
        </w:tc>
        <w:tc>
          <w:tcPr>
            <w:tcW w:w="3760" w:type="dxa"/>
            <w:vAlign w:val="bottom"/>
            <w:tcBorders>
              <w:bottom w:val="single" w:sz="8" w:color="0000FF"/>
            </w:tcBorders>
            <w:gridSpan w:val="7"/>
          </w:tcPr>
          <w:p>
            <w:pPr>
              <w:spacing w:after="0"/>
              <w:rPr>
                <w:rFonts w:ascii="Arial" w:cs="Arial" w:eastAsia="Arial" w:hAnsi="Arial"/>
                <w:sz w:val="18"/>
                <w:szCs w:val="18"/>
                <w:color w:val="0000FF"/>
                <w:w w:val="88"/>
              </w:rPr>
            </w:pPr>
            <w:hyperlink r:id="rId33">
              <w:r>
                <w:rPr>
                  <w:rFonts w:ascii="Arial" w:cs="Arial" w:eastAsia="Arial" w:hAnsi="Arial"/>
                  <w:sz w:val="18"/>
                  <w:szCs w:val="18"/>
                  <w:color w:val="0000FF"/>
                  <w:w w:val="88"/>
                </w:rPr>
                <w:t>Restated Bylaws as amended on November 5, 2013.</w:t>
              </w:r>
            </w:hyperlink>
          </w:p>
        </w:tc>
        <w:tc>
          <w:tcPr>
            <w:tcW w:w="1460" w:type="dxa"/>
            <w:vAlign w:val="bottom"/>
            <w:gridSpan w:val="7"/>
          </w:tcPr>
          <w:p>
            <w:pPr>
              <w:spacing w:after="0"/>
              <w:rPr>
                <w:sz w:val="21"/>
                <w:szCs w:val="21"/>
                <w:color w:val="auto"/>
              </w:rPr>
            </w:pP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12/31/13</w:t>
            </w: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3.3</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89"/>
              </w:rPr>
              <w:t>2/28/14</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4.1</w:t>
            </w:r>
          </w:p>
        </w:tc>
        <w:tc>
          <w:tcPr>
            <w:tcW w:w="5220" w:type="dxa"/>
            <w:vAlign w:val="bottom"/>
            <w:gridSpan w:val="14"/>
          </w:tcPr>
          <w:p>
            <w:pPr>
              <w:spacing w:after="0"/>
              <w:rPr>
                <w:rFonts w:ascii="Arial" w:cs="Arial" w:eastAsia="Arial" w:hAnsi="Arial"/>
                <w:sz w:val="18"/>
                <w:szCs w:val="18"/>
                <w:color w:val="0000FF"/>
              </w:rPr>
            </w:pPr>
            <w:hyperlink r:id="rId34">
              <w:r>
                <w:rPr>
                  <w:rFonts w:ascii="Arial" w:cs="Arial" w:eastAsia="Arial" w:hAnsi="Arial"/>
                  <w:sz w:val="18"/>
                  <w:szCs w:val="18"/>
                  <w:color w:val="0000FF"/>
                </w:rPr>
                <w:t>Specimen Common Stock Certificate.</w:t>
              </w:r>
            </w:hyperlink>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3"/>
              </w:rPr>
              <w:t>S-1/A</w:t>
            </w:r>
          </w:p>
        </w:tc>
        <w:tc>
          <w:tcPr>
            <w:tcW w:w="1220" w:type="dxa"/>
            <w:vAlign w:val="bottom"/>
          </w:tcPr>
          <w:p>
            <w:pPr>
              <w:spacing w:after="0"/>
              <w:rPr>
                <w:sz w:val="21"/>
                <w:szCs w:val="21"/>
                <w:color w:val="auto"/>
              </w:rPr>
            </w:pP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4.1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89"/>
              </w:rPr>
              <w:t>3/31/98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4.2</w:t>
            </w:r>
          </w:p>
        </w:tc>
        <w:tc>
          <w:tcPr>
            <w:tcW w:w="5220" w:type="dxa"/>
            <w:vAlign w:val="bottom"/>
            <w:gridSpan w:val="14"/>
          </w:tcPr>
          <w:p>
            <w:pPr>
              <w:spacing w:after="0"/>
              <w:rPr>
                <w:rFonts w:ascii="Arial" w:cs="Arial" w:eastAsia="Arial" w:hAnsi="Arial"/>
                <w:sz w:val="18"/>
                <w:szCs w:val="18"/>
                <w:color w:val="0000FF"/>
                <w:w w:val="97"/>
              </w:rPr>
            </w:pPr>
            <w:hyperlink r:id="rId35">
              <w:r>
                <w:rPr>
                  <w:rFonts w:ascii="Arial" w:cs="Arial" w:eastAsia="Arial" w:hAnsi="Arial"/>
                  <w:sz w:val="18"/>
                  <w:szCs w:val="18"/>
                  <w:color w:val="0000FF"/>
                  <w:w w:val="97"/>
                </w:rPr>
                <w:t>Indenture,  dated  September  21,  2012,  by  and  between  Amkor</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21"/>
                <w:szCs w:val="21"/>
                <w:color w:val="auto"/>
              </w:rPr>
            </w:pP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4.1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89"/>
              </w:rPr>
              <w:t>9/21/12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4"/>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Technology, Inc. and U.S. Bank National Association, as trustee,</w:t>
              </w:r>
            </w:hyperlink>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regarding the 6.375% Senior Notes due 2022.</w:t>
              </w:r>
            </w:hyperlink>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10.1</w:t>
            </w:r>
          </w:p>
        </w:tc>
        <w:tc>
          <w:tcPr>
            <w:tcW w:w="4500" w:type="dxa"/>
            <w:vAlign w:val="bottom"/>
            <w:tcBorders>
              <w:bottom w:val="single" w:sz="8" w:color="0000FF"/>
            </w:tcBorders>
            <w:gridSpan w:val="11"/>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Form of Indemnification Agreement for directors and officers.</w:t>
              </w:r>
            </w:hyperlink>
          </w:p>
        </w:tc>
        <w:tc>
          <w:tcPr>
            <w:tcW w:w="720" w:type="dxa"/>
            <w:vAlign w:val="bottom"/>
            <w:gridSpan w:val="3"/>
          </w:tcPr>
          <w:p>
            <w:pPr>
              <w:spacing w:after="0"/>
              <w:rPr>
                <w:sz w:val="21"/>
                <w:szCs w:val="21"/>
                <w:color w:val="auto"/>
              </w:rPr>
            </w:pPr>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3"/>
              </w:rPr>
              <w:t>S-1/A</w:t>
            </w:r>
          </w:p>
        </w:tc>
        <w:tc>
          <w:tcPr>
            <w:tcW w:w="122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89"/>
              </w:rPr>
              <w:t>3/31/98</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10.2</w:t>
            </w:r>
          </w:p>
        </w:tc>
        <w:tc>
          <w:tcPr>
            <w:tcW w:w="5220" w:type="dxa"/>
            <w:vAlign w:val="bottom"/>
            <w:gridSpan w:val="14"/>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2009 Voting Agreement, dated as of March 26, 2009, between Amkor</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91"/>
              </w:rPr>
              <w:t>4/1/09</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1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Technology, Inc., James J. Kim and 915 Investments, LP.</w:t>
              </w:r>
            </w:hyperlink>
          </w:p>
        </w:tc>
        <w:tc>
          <w:tcPr>
            <w:tcW w:w="1060" w:type="dxa"/>
            <w:vAlign w:val="bottom"/>
            <w:tcBorders>
              <w:top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10.3</w:t>
            </w:r>
          </w:p>
        </w:tc>
        <w:tc>
          <w:tcPr>
            <w:tcW w:w="5220" w:type="dxa"/>
            <w:vAlign w:val="bottom"/>
            <w:gridSpan w:val="14"/>
          </w:tcPr>
          <w:p>
            <w:pPr>
              <w:spacing w:after="0"/>
              <w:rPr>
                <w:rFonts w:ascii="Arial" w:cs="Arial" w:eastAsia="Arial" w:hAnsi="Arial"/>
                <w:sz w:val="18"/>
                <w:szCs w:val="18"/>
                <w:color w:val="0000FF"/>
                <w:w w:val="98"/>
              </w:rPr>
            </w:pPr>
            <w:hyperlink r:id="rId37">
              <w:r>
                <w:rPr>
                  <w:rFonts w:ascii="Arial" w:cs="Arial" w:eastAsia="Arial" w:hAnsi="Arial"/>
                  <w:sz w:val="18"/>
                  <w:szCs w:val="18"/>
                  <w:color w:val="0000FF"/>
                  <w:w w:val="98"/>
                </w:rPr>
                <w:t>Employment Letter Agreement, dated February 27, 2017, between</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91"/>
              </w:rPr>
              <w:t>3/3/17</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Amkor Technology, Inc. and Stephen D. Kelley.*</w:t>
              </w:r>
            </w:hyperlink>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10.4</w:t>
            </w:r>
          </w:p>
        </w:tc>
        <w:tc>
          <w:tcPr>
            <w:tcW w:w="5220" w:type="dxa"/>
            <w:vAlign w:val="bottom"/>
            <w:gridSpan w:val="14"/>
          </w:tcPr>
          <w:p>
            <w:pPr>
              <w:spacing w:after="0"/>
              <w:rPr>
                <w:rFonts w:ascii="Arial" w:cs="Arial" w:eastAsia="Arial" w:hAnsi="Arial"/>
                <w:sz w:val="18"/>
                <w:szCs w:val="18"/>
                <w:color w:val="0000FF"/>
                <w:w w:val="94"/>
              </w:rPr>
            </w:pPr>
            <w:hyperlink r:id="rId38">
              <w:r>
                <w:rPr>
                  <w:rFonts w:ascii="Arial" w:cs="Arial" w:eastAsia="Arial" w:hAnsi="Arial"/>
                  <w:sz w:val="18"/>
                  <w:szCs w:val="18"/>
                  <w:color w:val="0000FF"/>
                  <w:w w:val="94"/>
                </w:rPr>
                <w:t>Form of Stock Option Award Agreement under the Second Amended</w:t>
              </w:r>
            </w:hyperlink>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3/31/17</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91"/>
              </w:rPr>
              <w:t>5/5/17</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and Restated 2007 Equity Incentive Plan.*</w:t>
              </w:r>
            </w:hyperlink>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10.5</w:t>
            </w:r>
          </w:p>
        </w:tc>
        <w:tc>
          <w:tcPr>
            <w:tcW w:w="5220" w:type="dxa"/>
            <w:vAlign w:val="bottom"/>
            <w:gridSpan w:val="14"/>
          </w:tcPr>
          <w:p>
            <w:pPr>
              <w:spacing w:after="0"/>
              <w:rPr>
                <w:rFonts w:ascii="Arial" w:cs="Arial" w:eastAsia="Arial" w:hAnsi="Arial"/>
                <w:sz w:val="18"/>
                <w:szCs w:val="18"/>
                <w:color w:val="0000FF"/>
                <w:w w:val="97"/>
              </w:rPr>
            </w:pPr>
            <w:hyperlink r:id="rId39">
              <w:r>
                <w:rPr>
                  <w:rFonts w:ascii="Arial" w:cs="Arial" w:eastAsia="Arial" w:hAnsi="Arial"/>
                  <w:sz w:val="18"/>
                  <w:szCs w:val="18"/>
                  <w:color w:val="0000FF"/>
                  <w:w w:val="97"/>
                </w:rPr>
                <w:t>Form  of  Restricted  Stock  Award  Agreement  under  the  Second</w:t>
              </w:r>
            </w:hyperlink>
          </w:p>
        </w:tc>
        <w:tc>
          <w:tcPr>
            <w:tcW w:w="840" w:type="dxa"/>
            <w:vAlign w:val="bottom"/>
          </w:tcPr>
          <w:p>
            <w:pPr>
              <w:jc w:val="center"/>
              <w:ind w:left="11"/>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3/31/17</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10.3</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91"/>
              </w:rPr>
              <w:t>5/5/17</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Amended and Restated 2007 Equity Incentive Plan.*</w:t>
              </w:r>
            </w:hyperlink>
          </w:p>
        </w:tc>
        <w:tc>
          <w:tcPr>
            <w:tcW w:w="1360" w:type="dxa"/>
            <w:vAlign w:val="bottom"/>
            <w:tcBorders>
              <w:top w:val="single" w:sz="8" w:color="0000FF"/>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200" w:type="dxa"/>
            <w:vAlign w:val="bottom"/>
          </w:tcPr>
          <w:p>
            <w:pPr>
              <w:spacing w:after="0"/>
              <w:rPr>
                <w:sz w:val="24"/>
                <w:szCs w:val="24"/>
                <w:color w:val="auto"/>
              </w:rPr>
            </w:pPr>
          </w:p>
        </w:tc>
        <w:tc>
          <w:tcPr>
            <w:tcW w:w="5180" w:type="dxa"/>
            <w:vAlign w:val="bottom"/>
            <w:gridSpan w:val="12"/>
          </w:tcPr>
          <w:p>
            <w:pPr>
              <w:ind w:left="442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99"/>
              </w:rPr>
              <w:t>Incorporated by Reference</w:t>
            </w:r>
          </w:p>
        </w:tc>
        <w:tc>
          <w:tcPr>
            <w:tcW w:w="980" w:type="dxa"/>
            <w:vAlign w:val="bottom"/>
          </w:tcPr>
          <w:p>
            <w:pPr>
              <w:spacing w:after="0"/>
              <w:rPr>
                <w:sz w:val="14"/>
                <w:szCs w:val="14"/>
                <w:color w:val="auto"/>
              </w:rPr>
            </w:pPr>
          </w:p>
        </w:tc>
        <w:tc>
          <w:tcPr>
            <w:tcW w:w="1020" w:type="dxa"/>
            <w:vAlign w:val="bottom"/>
          </w:tcPr>
          <w:p>
            <w:pPr>
              <w:jc w:val="center"/>
              <w:ind w:left="33"/>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960" w:type="dxa"/>
            <w:vAlign w:val="bottom"/>
          </w:tcPr>
          <w:p>
            <w:pPr>
              <w:jc w:val="right"/>
              <w:ind w:right="112"/>
              <w:spacing w:after="0" w:line="139" w:lineRule="exact"/>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2"/>
                <w:szCs w:val="12"/>
                <w:color w:val="auto"/>
              </w:rPr>
            </w:pPr>
          </w:p>
        </w:tc>
        <w:tc>
          <w:tcPr>
            <w:tcW w:w="5220" w:type="dxa"/>
            <w:vAlign w:val="bottom"/>
            <w:gridSpan w:val="14"/>
            <w:vMerge w:val="restart"/>
          </w:tcPr>
          <w:p>
            <w:pPr>
              <w:ind w:left="200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 Ending</w:t>
            </w:r>
          </w:p>
        </w:tc>
        <w:tc>
          <w:tcPr>
            <w:tcW w:w="94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8"/>
              </w:rPr>
              <w:t>Exhibit</w:t>
            </w:r>
          </w:p>
        </w:tc>
        <w:tc>
          <w:tcPr>
            <w:tcW w:w="2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960" w:type="dxa"/>
            <w:vAlign w:val="bottom"/>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5220" w:type="dxa"/>
            <w:vAlign w:val="bottom"/>
            <w:gridSpan w:val="14"/>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10.6</w:t>
            </w:r>
          </w:p>
        </w:tc>
        <w:tc>
          <w:tcPr>
            <w:tcW w:w="240" w:type="dxa"/>
            <w:vAlign w:val="bottom"/>
            <w:tcBorders>
              <w:top w:val="single" w:sz="8" w:color="auto"/>
            </w:tcBorders>
          </w:tcPr>
          <w:p>
            <w:pPr>
              <w:spacing w:after="0"/>
              <w:rPr>
                <w:sz w:val="17"/>
                <w:szCs w:val="17"/>
                <w:color w:val="auto"/>
              </w:rPr>
            </w:pPr>
          </w:p>
        </w:tc>
        <w:tc>
          <w:tcPr>
            <w:tcW w:w="5220" w:type="dxa"/>
            <w:vAlign w:val="bottom"/>
            <w:tcBorders>
              <w:top w:val="single" w:sz="8" w:color="auto"/>
            </w:tcBorders>
            <w:gridSpan w:val="14"/>
          </w:tcPr>
          <w:p>
            <w:pPr>
              <w:spacing w:after="0" w:line="202" w:lineRule="exact"/>
              <w:rPr>
                <w:rFonts w:ascii="Arial" w:cs="Arial" w:eastAsia="Arial" w:hAnsi="Arial"/>
                <w:sz w:val="18"/>
                <w:szCs w:val="18"/>
                <w:color w:val="0000FF"/>
                <w:w w:val="97"/>
              </w:rPr>
            </w:pPr>
            <w:hyperlink r:id="rId40">
              <w:r>
                <w:rPr>
                  <w:rFonts w:ascii="Arial" w:cs="Arial" w:eastAsia="Arial" w:hAnsi="Arial"/>
                  <w:sz w:val="18"/>
                  <w:szCs w:val="18"/>
                  <w:color w:val="0000FF"/>
                  <w:w w:val="97"/>
                </w:rPr>
                <w:t>Form of Outside Director Stock Option Award Agreement under the</w:t>
              </w:r>
            </w:hyperlink>
          </w:p>
        </w:tc>
        <w:tc>
          <w:tcPr>
            <w:tcW w:w="820" w:type="dxa"/>
            <w:vAlign w:val="bottom"/>
            <w:tcBorders>
              <w:top w:val="single" w:sz="8" w:color="auto"/>
            </w:tcBorders>
          </w:tcPr>
          <w:p>
            <w:pPr>
              <w:jc w:val="center"/>
              <w:ind w:left="32"/>
              <w:spacing w:after="0" w:line="202" w:lineRule="exact"/>
              <w:rPr>
                <w:sz w:val="20"/>
                <w:szCs w:val="20"/>
                <w:color w:val="auto"/>
              </w:rPr>
            </w:pPr>
            <w:r>
              <w:rPr>
                <w:rFonts w:ascii="Arial" w:cs="Arial" w:eastAsia="Arial" w:hAnsi="Arial"/>
                <w:sz w:val="18"/>
                <w:szCs w:val="18"/>
                <w:color w:val="auto"/>
                <w:w w:val="94"/>
              </w:rPr>
              <w:t>10-Q</w:t>
            </w:r>
          </w:p>
        </w:tc>
        <w:tc>
          <w:tcPr>
            <w:tcW w:w="1240" w:type="dxa"/>
            <w:vAlign w:val="bottom"/>
            <w:tcBorders>
              <w:top w:val="single" w:sz="8" w:color="auto"/>
            </w:tcBorders>
          </w:tcPr>
          <w:p>
            <w:pPr>
              <w:jc w:val="right"/>
              <w:ind w:right="282"/>
              <w:spacing w:after="0" w:line="202" w:lineRule="exact"/>
              <w:rPr>
                <w:sz w:val="20"/>
                <w:szCs w:val="20"/>
                <w:color w:val="auto"/>
              </w:rPr>
            </w:pPr>
            <w:r>
              <w:rPr>
                <w:rFonts w:ascii="Arial" w:cs="Arial" w:eastAsia="Arial" w:hAnsi="Arial"/>
                <w:sz w:val="18"/>
                <w:szCs w:val="18"/>
                <w:color w:val="auto"/>
              </w:rPr>
              <w:t>3/31/17</w:t>
            </w:r>
          </w:p>
        </w:tc>
        <w:tc>
          <w:tcPr>
            <w:tcW w:w="940" w:type="dxa"/>
            <w:vAlign w:val="bottom"/>
            <w:tcBorders>
              <w:top w:val="single" w:sz="8" w:color="auto"/>
            </w:tcBorders>
          </w:tcPr>
          <w:p>
            <w:pPr>
              <w:jc w:val="center"/>
              <w:ind w:right="52"/>
              <w:spacing w:after="0" w:line="202" w:lineRule="exact"/>
              <w:rPr>
                <w:sz w:val="20"/>
                <w:szCs w:val="20"/>
                <w:color w:val="auto"/>
              </w:rPr>
            </w:pPr>
            <w:r>
              <w:rPr>
                <w:rFonts w:ascii="Arial" w:cs="Arial" w:eastAsia="Arial" w:hAnsi="Arial"/>
                <w:sz w:val="18"/>
                <w:szCs w:val="18"/>
                <w:color w:val="auto"/>
                <w:w w:val="91"/>
              </w:rPr>
              <w:t>10.4</w:t>
            </w:r>
          </w:p>
        </w:tc>
        <w:tc>
          <w:tcPr>
            <w:tcW w:w="9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5/5/17</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Second Amended and Restated 2007 Equity Incentive Plan.*</w:t>
              </w:r>
            </w:hyperlink>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1"/>
                <w:szCs w:val="21"/>
                <w:color w:val="auto"/>
              </w:rPr>
            </w:pPr>
          </w:p>
        </w:tc>
        <w:tc>
          <w:tcPr>
            <w:tcW w:w="4380" w:type="dxa"/>
            <w:vAlign w:val="bottom"/>
            <w:tcBorders>
              <w:top w:val="single" w:sz="8" w:color="0000FF"/>
            </w:tcBorders>
            <w:gridSpan w:val="11"/>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Second Amended and Restated 2007 Equity Incentive Plan*</w:t>
              </w:r>
            </w:hyperlink>
          </w:p>
        </w:tc>
        <w:tc>
          <w:tcPr>
            <w:tcW w:w="840" w:type="dxa"/>
            <w:vAlign w:val="bottom"/>
            <w:gridSpan w:val="3"/>
          </w:tcPr>
          <w:p>
            <w:pPr>
              <w:spacing w:after="0"/>
              <w:rPr>
                <w:sz w:val="21"/>
                <w:szCs w:val="21"/>
                <w:color w:val="auto"/>
              </w:rPr>
            </w:pPr>
          </w:p>
        </w:tc>
        <w:tc>
          <w:tcPr>
            <w:tcW w:w="820" w:type="dxa"/>
            <w:vAlign w:val="bottom"/>
          </w:tcPr>
          <w:p>
            <w:pPr>
              <w:jc w:val="center"/>
              <w:ind w:left="12"/>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5/5/17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1"/>
                <w:szCs w:val="21"/>
                <w:color w:val="auto"/>
              </w:rPr>
            </w:pPr>
          </w:p>
        </w:tc>
        <w:tc>
          <w:tcPr>
            <w:tcW w:w="4340" w:type="dxa"/>
            <w:vAlign w:val="bottom"/>
            <w:tcBorders>
              <w:top w:val="single" w:sz="8" w:color="0000FF"/>
            </w:tcBorders>
            <w:gridSpan w:val="9"/>
          </w:tcPr>
          <w:p>
            <w:pPr>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Amended and Restated Executive Incentive Bonus Plan*</w:t>
              </w:r>
            </w:hyperlink>
          </w:p>
        </w:tc>
        <w:tc>
          <w:tcPr>
            <w:tcW w:w="880" w:type="dxa"/>
            <w:vAlign w:val="bottom"/>
            <w:gridSpan w:val="5"/>
          </w:tcPr>
          <w:p>
            <w:pPr>
              <w:spacing w:after="0"/>
              <w:rPr>
                <w:sz w:val="21"/>
                <w:szCs w:val="21"/>
                <w:color w:val="auto"/>
              </w:rPr>
            </w:pPr>
          </w:p>
        </w:tc>
        <w:tc>
          <w:tcPr>
            <w:tcW w:w="820" w:type="dxa"/>
            <w:vAlign w:val="bottom"/>
          </w:tcPr>
          <w:p>
            <w:pPr>
              <w:jc w:val="center"/>
              <w:ind w:left="12"/>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91"/>
              </w:rPr>
              <w:t>10.2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5/5/17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1"/>
                <w:szCs w:val="21"/>
                <w:color w:val="auto"/>
              </w:rPr>
            </w:pPr>
          </w:p>
        </w:tc>
        <w:tc>
          <w:tcPr>
            <w:tcW w:w="5200" w:type="dxa"/>
            <w:vAlign w:val="bottom"/>
            <w:tcBorders>
              <w:bottom w:val="single" w:sz="8" w:color="0000FF"/>
            </w:tcBorders>
            <w:gridSpan w:val="13"/>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Syndicated Loan Agreement among J-Devices Corporation, Sumitomo</w:t>
              </w:r>
            </w:hyperlink>
          </w:p>
        </w:tc>
        <w:tc>
          <w:tcPr>
            <w:tcW w:w="20" w:type="dxa"/>
            <w:vAlign w:val="bottom"/>
          </w:tcPr>
          <w:p>
            <w:pPr>
              <w:spacing w:after="0"/>
              <w:rPr>
                <w:sz w:val="21"/>
                <w:szCs w:val="21"/>
                <w:color w:val="auto"/>
              </w:rPr>
            </w:pPr>
          </w:p>
        </w:tc>
        <w:tc>
          <w:tcPr>
            <w:tcW w:w="820" w:type="dxa"/>
            <w:vAlign w:val="bottom"/>
          </w:tcPr>
          <w:p>
            <w:pPr>
              <w:jc w:val="center"/>
              <w:ind w:left="12"/>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7/19/18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20" w:type="dxa"/>
            <w:vAlign w:val="bottom"/>
            <w:gridSpan w:val="14"/>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Mitsui Banking Corporation and other financial institutions, dated as of</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July 13, 2018 (English translation).</w:t>
              </w:r>
            </w:hyperlink>
          </w:p>
        </w:tc>
        <w:tc>
          <w:tcPr>
            <w:tcW w:w="2640" w:type="dxa"/>
            <w:vAlign w:val="bottom"/>
            <w:tcBorders>
              <w:top w:val="single" w:sz="8" w:color="0000FF"/>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1"/>
                <w:szCs w:val="21"/>
                <w:color w:val="auto"/>
              </w:rPr>
            </w:pPr>
          </w:p>
        </w:tc>
        <w:tc>
          <w:tcPr>
            <w:tcW w:w="5220" w:type="dxa"/>
            <w:vAlign w:val="bottom"/>
            <w:gridSpan w:val="14"/>
          </w:tcPr>
          <w:p>
            <w:pPr>
              <w:spacing w:after="0"/>
              <w:rPr>
                <w:rFonts w:ascii="Arial" w:cs="Arial" w:eastAsia="Arial" w:hAnsi="Arial"/>
                <w:sz w:val="18"/>
                <w:szCs w:val="18"/>
                <w:color w:val="0000FF"/>
              </w:rPr>
            </w:pPr>
            <w:hyperlink r:id="rId44">
              <w:r>
                <w:rPr>
                  <w:rFonts w:ascii="Arial" w:cs="Arial" w:eastAsia="Arial" w:hAnsi="Arial"/>
                  <w:sz w:val="18"/>
                  <w:szCs w:val="18"/>
                  <w:color w:val="0000FF"/>
                </w:rPr>
                <w:t>Guaranty by Amkor Technology, Inc. in favor of Sumitomo Mitsui</w:t>
              </w:r>
            </w:hyperlink>
          </w:p>
        </w:tc>
        <w:tc>
          <w:tcPr>
            <w:tcW w:w="820" w:type="dxa"/>
            <w:vAlign w:val="bottom"/>
          </w:tcPr>
          <w:p>
            <w:pPr>
              <w:jc w:val="center"/>
              <w:ind w:left="12"/>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91"/>
              </w:rPr>
              <w:t>10.2</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7/19/18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0" w:type="dxa"/>
            <w:vAlign w:val="bottom"/>
            <w:tcBorders>
              <w:bottom w:val="single" w:sz="8" w:color="0000FF"/>
            </w:tcBorders>
            <w:gridSpan w:val="13"/>
          </w:tcPr>
          <w:p>
            <w:pPr>
              <w:spacing w:after="0" w:line="196" w:lineRule="exact"/>
              <w:rPr>
                <w:rFonts w:ascii="Arial" w:cs="Arial" w:eastAsia="Arial" w:hAnsi="Arial"/>
                <w:sz w:val="18"/>
                <w:szCs w:val="18"/>
                <w:color w:val="0000FF"/>
                <w:w w:val="95"/>
              </w:rPr>
            </w:pPr>
            <w:hyperlink r:id="rId44">
              <w:r>
                <w:rPr>
                  <w:rFonts w:ascii="Arial" w:cs="Arial" w:eastAsia="Arial" w:hAnsi="Arial"/>
                  <w:sz w:val="18"/>
                  <w:szCs w:val="18"/>
                  <w:color w:val="0000FF"/>
                  <w:w w:val="95"/>
                </w:rPr>
                <w:t>Banking Corporation and other financial institutions, dated as of July</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13, 2018 (English translation).</w:t>
              </w:r>
            </w:hyperlink>
          </w:p>
        </w:tc>
        <w:tc>
          <w:tcPr>
            <w:tcW w:w="302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tcPr>
          <w:p>
            <w:pPr>
              <w:jc w:val="right"/>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1"/>
                <w:szCs w:val="21"/>
                <w:color w:val="auto"/>
              </w:rPr>
            </w:pPr>
          </w:p>
        </w:tc>
        <w:tc>
          <w:tcPr>
            <w:tcW w:w="5220" w:type="dxa"/>
            <w:vAlign w:val="bottom"/>
            <w:gridSpan w:val="14"/>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Loan and Security Agreement, dated as of July 13, 2018, by and among</w:t>
              </w:r>
            </w:hyperlink>
          </w:p>
        </w:tc>
        <w:tc>
          <w:tcPr>
            <w:tcW w:w="820" w:type="dxa"/>
            <w:vAlign w:val="bottom"/>
          </w:tcPr>
          <w:p>
            <w:pPr>
              <w:jc w:val="center"/>
              <w:ind w:left="12"/>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91"/>
              </w:rPr>
              <w:t>10.3</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7/19/18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0" w:type="dxa"/>
            <w:vAlign w:val="bottom"/>
            <w:tcBorders>
              <w:bottom w:val="single" w:sz="8" w:color="0000FF"/>
            </w:tcBorders>
            <w:gridSpan w:val="13"/>
          </w:tcPr>
          <w:p>
            <w:pPr>
              <w:spacing w:after="0" w:line="196" w:lineRule="exact"/>
              <w:rPr>
                <w:rFonts w:ascii="Arial" w:cs="Arial" w:eastAsia="Arial" w:hAnsi="Arial"/>
                <w:sz w:val="18"/>
                <w:szCs w:val="18"/>
                <w:color w:val="0000FF"/>
                <w:w w:val="99"/>
              </w:rPr>
            </w:pPr>
            <w:hyperlink r:id="rId45">
              <w:r>
                <w:rPr>
                  <w:rFonts w:ascii="Arial" w:cs="Arial" w:eastAsia="Arial" w:hAnsi="Arial"/>
                  <w:sz w:val="18"/>
                  <w:szCs w:val="18"/>
                  <w:color w:val="0000FF"/>
                  <w:w w:val="99"/>
                </w:rPr>
                <w:t>Amkor Technology Singapore Holding Pte, Ltd., Bank of America,</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N.A. and other financial institutions.</w:t>
              </w:r>
            </w:hyperlink>
          </w:p>
        </w:tc>
        <w:tc>
          <w:tcPr>
            <w:tcW w:w="258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tcPr>
          <w:p>
            <w:pPr>
              <w:jc w:val="right"/>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1"/>
                <w:szCs w:val="21"/>
                <w:color w:val="auto"/>
              </w:rPr>
            </w:pPr>
          </w:p>
        </w:tc>
        <w:tc>
          <w:tcPr>
            <w:tcW w:w="5220" w:type="dxa"/>
            <w:vAlign w:val="bottom"/>
            <w:tcBorders>
              <w:bottom w:val="single" w:sz="8" w:color="0000FF"/>
            </w:tcBorders>
            <w:gridSpan w:val="14"/>
          </w:tcPr>
          <w:p>
            <w:pPr>
              <w:spacing w:after="0"/>
              <w:rPr>
                <w:rFonts w:ascii="Arial" w:cs="Arial" w:eastAsia="Arial" w:hAnsi="Arial"/>
                <w:sz w:val="18"/>
                <w:szCs w:val="18"/>
                <w:color w:val="0000FF"/>
                <w:w w:val="95"/>
              </w:rPr>
            </w:pPr>
            <w:hyperlink r:id="rId46">
              <w:r>
                <w:rPr>
                  <w:rFonts w:ascii="Arial" w:cs="Arial" w:eastAsia="Arial" w:hAnsi="Arial"/>
                  <w:sz w:val="18"/>
                  <w:szCs w:val="18"/>
                  <w:color w:val="0000FF"/>
                  <w:w w:val="95"/>
                </w:rPr>
                <w:t>Guaranty and Security Agreement, dated as of July 13, 2018, by and</w:t>
              </w:r>
            </w:hyperlink>
          </w:p>
        </w:tc>
        <w:tc>
          <w:tcPr>
            <w:tcW w:w="820" w:type="dxa"/>
            <w:vAlign w:val="bottom"/>
          </w:tcPr>
          <w:p>
            <w:pPr>
              <w:jc w:val="center"/>
              <w:ind w:left="12"/>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91"/>
              </w:rPr>
              <w:t>10.4</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7/19/18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20" w:type="dxa"/>
            <w:vAlign w:val="bottom"/>
            <w:gridSpan w:val="14"/>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among Amkor Technology, Inc., and Bank of America, N.A.</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1"/>
                <w:szCs w:val="21"/>
                <w:color w:val="auto"/>
              </w:rPr>
            </w:pPr>
          </w:p>
        </w:tc>
        <w:tc>
          <w:tcPr>
            <w:tcW w:w="26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0"/>
              </w:rPr>
            </w:pPr>
            <w:hyperlink w:anchor="page95">
              <w:r>
                <w:rPr>
                  <w:rFonts w:ascii="Arial" w:cs="Arial" w:eastAsia="Arial" w:hAnsi="Arial"/>
                  <w:sz w:val="18"/>
                  <w:szCs w:val="18"/>
                  <w:color w:val="0000FF"/>
                  <w:w w:val="90"/>
                </w:rPr>
                <w:t>List of subsidiaries of the Registrant.</w:t>
              </w:r>
            </w:hyperlink>
          </w:p>
        </w:tc>
        <w:tc>
          <w:tcPr>
            <w:tcW w:w="1700" w:type="dxa"/>
            <w:vAlign w:val="bottom"/>
            <w:tcBorders>
              <w:top w:val="single" w:sz="8" w:color="0000FF"/>
            </w:tcBorders>
            <w:gridSpan w:val="5"/>
          </w:tcPr>
          <w:p>
            <w:pPr>
              <w:spacing w:after="0"/>
              <w:rPr>
                <w:sz w:val="21"/>
                <w:szCs w:val="21"/>
                <w:color w:val="auto"/>
              </w:rPr>
            </w:pPr>
          </w:p>
        </w:tc>
        <w:tc>
          <w:tcPr>
            <w:tcW w:w="860" w:type="dxa"/>
            <w:vAlign w:val="bottom"/>
            <w:gridSpan w:val="4"/>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96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1"/>
                <w:szCs w:val="21"/>
                <w:color w:val="auto"/>
              </w:rPr>
            </w:pPr>
          </w:p>
        </w:tc>
        <w:tc>
          <w:tcPr>
            <w:tcW w:w="5220" w:type="dxa"/>
            <w:vAlign w:val="bottom"/>
            <w:gridSpan w:val="14"/>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Consent of PricewaterhouseCoopers LLP.</w:t>
              </w:r>
            </w:hyperlink>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1"/>
                <w:szCs w:val="21"/>
                <w:color w:val="auto"/>
              </w:rPr>
            </w:pPr>
          </w:p>
        </w:tc>
        <w:tc>
          <w:tcPr>
            <w:tcW w:w="5220" w:type="dxa"/>
            <w:vAlign w:val="bottom"/>
            <w:gridSpan w:val="14"/>
          </w:tcPr>
          <w:p>
            <w:pPr>
              <w:spacing w:after="0"/>
              <w:rPr>
                <w:rFonts w:ascii="Arial" w:cs="Arial" w:eastAsia="Arial" w:hAnsi="Arial"/>
                <w:sz w:val="18"/>
                <w:szCs w:val="18"/>
                <w:color w:val="0000FF"/>
                <w:w w:val="97"/>
              </w:rPr>
            </w:pPr>
            <w:hyperlink w:anchor="page97">
              <w:r>
                <w:rPr>
                  <w:rFonts w:ascii="Arial" w:cs="Arial" w:eastAsia="Arial" w:hAnsi="Arial"/>
                  <w:sz w:val="18"/>
                  <w:szCs w:val="18"/>
                  <w:color w:val="0000FF"/>
                  <w:w w:val="97"/>
                </w:rPr>
                <w:t>Certification of Stephen D. Kelley, Chief Executive Officer of Amkor</w:t>
              </w:r>
            </w:hyperlink>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0" w:type="dxa"/>
            <w:vAlign w:val="bottom"/>
            <w:tcBorders>
              <w:bottom w:val="single" w:sz="8" w:color="0000FF"/>
            </w:tcBorders>
            <w:gridSpan w:val="13"/>
          </w:tcPr>
          <w:p>
            <w:pPr>
              <w:spacing w:after="0" w:line="196" w:lineRule="exact"/>
              <w:rPr>
                <w:rFonts w:ascii="Arial" w:cs="Arial" w:eastAsia="Arial" w:hAnsi="Arial"/>
                <w:sz w:val="18"/>
                <w:szCs w:val="18"/>
                <w:color w:val="0000FF"/>
                <w:w w:val="98"/>
              </w:rPr>
            </w:pPr>
            <w:hyperlink w:anchor="page97">
              <w:r>
                <w:rPr>
                  <w:rFonts w:ascii="Arial" w:cs="Arial" w:eastAsia="Arial" w:hAnsi="Arial"/>
                  <w:sz w:val="18"/>
                  <w:szCs w:val="18"/>
                  <w:color w:val="0000FF"/>
                  <w:w w:val="98"/>
                </w:rPr>
                <w:t>Technology, Inc., Pursuant to Rule 13a-14(a) under the Securities</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w:anchor="page97">
              <w:r>
                <w:rPr>
                  <w:rFonts w:ascii="Arial" w:cs="Arial" w:eastAsia="Arial" w:hAnsi="Arial"/>
                  <w:sz w:val="18"/>
                  <w:szCs w:val="18"/>
                  <w:color w:val="0000FF"/>
                  <w:w w:val="88"/>
                </w:rPr>
                <w:t>Exchange Act of 1934, as amended.</w:t>
              </w:r>
            </w:hyperlink>
          </w:p>
        </w:tc>
        <w:tc>
          <w:tcPr>
            <w:tcW w:w="262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1"/>
                <w:szCs w:val="21"/>
                <w:color w:val="auto"/>
              </w:rPr>
            </w:pPr>
          </w:p>
        </w:tc>
        <w:tc>
          <w:tcPr>
            <w:tcW w:w="5200" w:type="dxa"/>
            <w:vAlign w:val="bottom"/>
            <w:tcBorders>
              <w:bottom w:val="single" w:sz="8" w:color="0000FF"/>
            </w:tcBorders>
            <w:gridSpan w:val="13"/>
          </w:tcPr>
          <w:p>
            <w:pPr>
              <w:spacing w:after="0"/>
              <w:rPr>
                <w:rFonts w:ascii="Arial" w:cs="Arial" w:eastAsia="Arial" w:hAnsi="Arial"/>
                <w:sz w:val="18"/>
                <w:szCs w:val="18"/>
                <w:color w:val="0000FF"/>
                <w:w w:val="97"/>
              </w:rPr>
            </w:pPr>
            <w:hyperlink w:anchor="page98">
              <w:r>
                <w:rPr>
                  <w:rFonts w:ascii="Arial" w:cs="Arial" w:eastAsia="Arial" w:hAnsi="Arial"/>
                  <w:sz w:val="18"/>
                  <w:szCs w:val="18"/>
                  <w:color w:val="0000FF"/>
                  <w:w w:val="97"/>
                </w:rPr>
                <w:t>Certification  of  Megan  Faust,  Chief  Financial  Officer  of  Amkor</w:t>
              </w:r>
            </w:hyperlink>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0" w:type="dxa"/>
            <w:vAlign w:val="bottom"/>
            <w:tcBorders>
              <w:bottom w:val="single" w:sz="8" w:color="0000FF"/>
            </w:tcBorders>
            <w:gridSpan w:val="13"/>
          </w:tcPr>
          <w:p>
            <w:pPr>
              <w:spacing w:after="0" w:line="196" w:lineRule="exact"/>
              <w:rPr>
                <w:rFonts w:ascii="Arial" w:cs="Arial" w:eastAsia="Arial" w:hAnsi="Arial"/>
                <w:sz w:val="18"/>
                <w:szCs w:val="18"/>
                <w:color w:val="0000FF"/>
                <w:w w:val="98"/>
              </w:rPr>
            </w:pPr>
            <w:hyperlink w:anchor="page98">
              <w:r>
                <w:rPr>
                  <w:rFonts w:ascii="Arial" w:cs="Arial" w:eastAsia="Arial" w:hAnsi="Arial"/>
                  <w:sz w:val="18"/>
                  <w:szCs w:val="18"/>
                  <w:color w:val="0000FF"/>
                  <w:w w:val="98"/>
                </w:rPr>
                <w:t>Technology, Inc., Pursuant to Rule 13a-14(a) under the Securities</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w:anchor="page98">
              <w:r>
                <w:rPr>
                  <w:rFonts w:ascii="Arial" w:cs="Arial" w:eastAsia="Arial" w:hAnsi="Arial"/>
                  <w:sz w:val="18"/>
                  <w:szCs w:val="18"/>
                  <w:color w:val="0000FF"/>
                  <w:w w:val="88"/>
                </w:rPr>
                <w:t>Exchange Act of 1934, as amended.</w:t>
              </w:r>
            </w:hyperlink>
          </w:p>
        </w:tc>
        <w:tc>
          <w:tcPr>
            <w:tcW w:w="262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1"/>
                <w:szCs w:val="21"/>
                <w:color w:val="auto"/>
              </w:rPr>
            </w:pPr>
          </w:p>
        </w:tc>
        <w:tc>
          <w:tcPr>
            <w:tcW w:w="520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99">
              <w:r>
                <w:rPr>
                  <w:rFonts w:ascii="Arial" w:cs="Arial" w:eastAsia="Arial" w:hAnsi="Arial"/>
                  <w:sz w:val="18"/>
                  <w:szCs w:val="18"/>
                  <w:color w:val="0000FF"/>
                  <w:w w:val="99"/>
                </w:rPr>
                <w:t>Certification of Chief Executive Officer and Chief Financial Officer</w:t>
              </w:r>
            </w:hyperlink>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20" w:type="dxa"/>
            <w:vAlign w:val="bottom"/>
            <w:gridSpan w:val="14"/>
          </w:tcPr>
          <w:p>
            <w:pPr>
              <w:spacing w:after="0" w:line="196" w:lineRule="exact"/>
              <w:rPr>
                <w:rFonts w:ascii="Arial" w:cs="Arial" w:eastAsia="Arial" w:hAnsi="Arial"/>
                <w:sz w:val="18"/>
                <w:szCs w:val="18"/>
                <w:color w:val="0000FF"/>
                <w:w w:val="94"/>
              </w:rPr>
            </w:pPr>
            <w:hyperlink w:anchor="page99">
              <w:r>
                <w:rPr>
                  <w:rFonts w:ascii="Arial" w:cs="Arial" w:eastAsia="Arial" w:hAnsi="Arial"/>
                  <w:sz w:val="18"/>
                  <w:szCs w:val="18"/>
                  <w:color w:val="0000FF"/>
                  <w:w w:val="94"/>
                </w:rPr>
                <w:t>Pursuant to 18 U.S.C. Section 1350, as Adopted Pursuant to Section</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w:anchor="page99">
              <w:r>
                <w:rPr>
                  <w:rFonts w:ascii="Arial" w:cs="Arial" w:eastAsia="Arial" w:hAnsi="Arial"/>
                  <w:sz w:val="18"/>
                  <w:szCs w:val="18"/>
                  <w:color w:val="0000FF"/>
                  <w:w w:val="90"/>
                </w:rPr>
                <w:t>906 of the Sarbanes-Oxley Act of 2002.</w:t>
              </w:r>
            </w:hyperlink>
          </w:p>
        </w:tc>
        <w:tc>
          <w:tcPr>
            <w:tcW w:w="2300" w:type="dxa"/>
            <w:vAlign w:val="bottom"/>
            <w:tcBorders>
              <w:top w:val="single" w:sz="8" w:color="0000FF"/>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522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3"/>
                <w:szCs w:val="23"/>
                <w:color w:val="auto"/>
              </w:rPr>
            </w:pPr>
          </w:p>
        </w:tc>
        <w:tc>
          <w:tcPr>
            <w:tcW w:w="522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3"/>
                <w:szCs w:val="23"/>
                <w:color w:val="auto"/>
              </w:rPr>
            </w:pPr>
          </w:p>
        </w:tc>
        <w:tc>
          <w:tcPr>
            <w:tcW w:w="522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3"/>
                <w:szCs w:val="23"/>
                <w:color w:val="auto"/>
              </w:rPr>
            </w:pPr>
          </w:p>
        </w:tc>
        <w:tc>
          <w:tcPr>
            <w:tcW w:w="522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3"/>
                <w:szCs w:val="23"/>
                <w:color w:val="auto"/>
              </w:rPr>
            </w:pPr>
          </w:p>
        </w:tc>
        <w:tc>
          <w:tcPr>
            <w:tcW w:w="522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3"/>
                <w:szCs w:val="23"/>
                <w:color w:val="auto"/>
              </w:rPr>
            </w:pPr>
          </w:p>
        </w:tc>
        <w:tc>
          <w:tcPr>
            <w:tcW w:w="522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6420" w:type="dxa"/>
            <w:vAlign w:val="bottom"/>
            <w:gridSpan w:val="16"/>
          </w:tcPr>
          <w:p>
            <w:pPr>
              <w:spacing w:after="0"/>
              <w:rPr>
                <w:sz w:val="20"/>
                <w:szCs w:val="20"/>
                <w:color w:val="auto"/>
              </w:rPr>
            </w:pPr>
            <w:r>
              <w:rPr>
                <w:rFonts w:ascii="Arial" w:cs="Arial" w:eastAsia="Arial" w:hAnsi="Arial"/>
                <w:sz w:val="18"/>
                <w:szCs w:val="18"/>
                <w:color w:val="auto"/>
              </w:rPr>
              <w:t>* Indicates management compensatory plan, contract or arrangement.</w:t>
            </w: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5460" w:type="dxa"/>
            <w:vAlign w:val="bottom"/>
            <w:gridSpan w:val="15"/>
          </w:tcPr>
          <w:p>
            <w:pPr>
              <w:ind w:left="20"/>
              <w:spacing w:after="0"/>
              <w:rPr>
                <w:sz w:val="20"/>
                <w:szCs w:val="20"/>
                <w:color w:val="auto"/>
              </w:rPr>
            </w:pPr>
            <w:r>
              <w:rPr>
                <w:rFonts w:ascii="Arial" w:cs="Arial" w:eastAsia="Arial" w:hAnsi="Arial"/>
                <w:sz w:val="18"/>
                <w:szCs w:val="18"/>
                <w:b w:val="1"/>
                <w:bCs w:val="1"/>
                <w:i w:val="1"/>
                <w:iCs w:val="1"/>
                <w:color w:val="auto"/>
              </w:rPr>
              <w:t>Form 10-K Summary</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960" w:type="dxa"/>
            <w:vAlign w:val="bottom"/>
          </w:tcPr>
          <w:p>
            <w:pPr>
              <w:spacing w:after="0"/>
              <w:rPr>
                <w:sz w:val="24"/>
                <w:szCs w:val="24"/>
                <w:color w:val="auto"/>
              </w:rPr>
            </w:pPr>
          </w:p>
        </w:tc>
        <w:tc>
          <w:tcPr>
            <w:tcW w:w="5420" w:type="dxa"/>
            <w:vAlign w:val="bottom"/>
            <w:gridSpan w:val="13"/>
          </w:tcPr>
          <w:p>
            <w:pPr>
              <w:jc w:val="right"/>
              <w:ind w:right="58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40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AMKOR TECHNOLOGY, INC.</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31750</wp:posOffset>
            </wp:positionV>
            <wp:extent cx="2006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8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Stephen D. Kelley</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Date: February 22, 2019</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Stephen D. Kelley and Megan Faust, and each of them, his attorneys-in-fact, and agents, each with the power of substitution, for him and in his name, place and stead, in any and all capacities, to sign any and all amendments to this Report on Form 10-K,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conforming all that said attorneys-in-fact and agents of any of them, or his or their substitute or substitutes, may lawfully do or cause to be done by virtue hereof.</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center"/>
              <w:ind w:right="1151"/>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567"/>
        </w:trPr>
        <w:tc>
          <w:tcPr>
            <w:tcW w:w="1260" w:type="dxa"/>
            <w:vAlign w:val="bottom"/>
          </w:tcPr>
          <w:p>
            <w:pPr>
              <w:ind w:left="1100"/>
              <w:spacing w:after="0"/>
              <w:rPr>
                <w:sz w:val="20"/>
                <w:szCs w:val="20"/>
                <w:color w:val="auto"/>
              </w:rPr>
            </w:pPr>
            <w:r>
              <w:rPr>
                <w:rFonts w:ascii="Arial" w:cs="Arial" w:eastAsia="Arial" w:hAnsi="Arial"/>
                <w:sz w:val="18"/>
                <w:szCs w:val="18"/>
                <w:color w:val="auto"/>
                <w:w w:val="73"/>
              </w:rPr>
              <w:t>/s/</w:t>
            </w:r>
          </w:p>
        </w:tc>
        <w:tc>
          <w:tcPr>
            <w:tcW w:w="2520" w:type="dxa"/>
            <w:vAlign w:val="bottom"/>
          </w:tcPr>
          <w:p>
            <w:pPr>
              <w:jc w:val="center"/>
              <w:ind w:right="911"/>
              <w:spacing w:after="0"/>
              <w:rPr>
                <w:sz w:val="20"/>
                <w:szCs w:val="20"/>
                <w:color w:val="auto"/>
              </w:rPr>
            </w:pPr>
            <w:r>
              <w:rPr>
                <w:rFonts w:ascii="Arial" w:cs="Arial" w:eastAsia="Arial" w:hAnsi="Arial"/>
                <w:sz w:val="18"/>
                <w:szCs w:val="18"/>
                <w:color w:val="auto"/>
                <w:w w:val="91"/>
              </w:rPr>
              <w:t>Stephen D. Kelley</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President and Chief Executive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gridSpan w:val="2"/>
          </w:tcPr>
          <w:p>
            <w:pPr>
              <w:jc w:val="center"/>
              <w:spacing w:after="0"/>
              <w:rPr>
                <w:sz w:val="20"/>
                <w:szCs w:val="20"/>
                <w:color w:val="auto"/>
              </w:rPr>
            </w:pPr>
            <w:r>
              <w:rPr>
                <w:rFonts w:ascii="Arial" w:cs="Arial" w:eastAsia="Arial" w:hAnsi="Arial"/>
                <w:sz w:val="18"/>
                <w:szCs w:val="18"/>
                <w:color w:val="auto"/>
                <w:w w:val="92"/>
              </w:rPr>
              <w:t>Stephen D. Kelley</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1260" w:type="dxa"/>
            <w:vAlign w:val="bottom"/>
          </w:tcPr>
          <w:p>
            <w:pPr>
              <w:spacing w:after="0"/>
              <w:rPr>
                <w:sz w:val="24"/>
                <w:szCs w:val="24"/>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1"/>
              </w:rPr>
              <w:t>/s/ Megan Faust</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Corporate Vice President and Chief Financial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7"/>
        </w:trPr>
        <w:tc>
          <w:tcPr>
            <w:tcW w:w="1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89"/>
              </w:rPr>
              <w:t>Megan Faust</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1260" w:type="dxa"/>
            <w:vAlign w:val="bottom"/>
          </w:tcPr>
          <w:p>
            <w:pPr>
              <w:spacing w:after="0"/>
              <w:rPr>
                <w:sz w:val="24"/>
                <w:szCs w:val="24"/>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2"/>
              </w:rPr>
              <w:t>/s/ James J. Kim</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Executive Chairman</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7"/>
        </w:trPr>
        <w:tc>
          <w:tcPr>
            <w:tcW w:w="1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0"/>
              </w:rPr>
              <w:t>James J. Kim</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1260" w:type="dxa"/>
            <w:vAlign w:val="bottom"/>
          </w:tcPr>
          <w:p>
            <w:pPr>
              <w:spacing w:after="0"/>
              <w:rPr>
                <w:sz w:val="24"/>
                <w:szCs w:val="24"/>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4"/>
              </w:rPr>
              <w:t>/s/ John T. Kim</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Executive Vice Chairman</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7"/>
        </w:trPr>
        <w:tc>
          <w:tcPr>
            <w:tcW w:w="1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3"/>
              </w:rPr>
              <w:t>John T. Kim</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1260" w:type="dxa"/>
            <w:vAlign w:val="bottom"/>
          </w:tcPr>
          <w:p>
            <w:pPr>
              <w:spacing w:after="0"/>
              <w:rPr>
                <w:sz w:val="24"/>
                <w:szCs w:val="24"/>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1"/>
              </w:rPr>
              <w:t>/s/ Susan Y. Kim</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7"/>
        </w:trPr>
        <w:tc>
          <w:tcPr>
            <w:tcW w:w="1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89"/>
              </w:rPr>
              <w:t>Susan Y. Kim</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1260" w:type="dxa"/>
            <w:vAlign w:val="bottom"/>
          </w:tcPr>
          <w:p>
            <w:pPr>
              <w:ind w:left="1060"/>
              <w:spacing w:after="0"/>
              <w:rPr>
                <w:sz w:val="20"/>
                <w:szCs w:val="20"/>
                <w:color w:val="auto"/>
              </w:rPr>
            </w:pPr>
            <w:r>
              <w:rPr>
                <w:rFonts w:ascii="Arial" w:cs="Arial" w:eastAsia="Arial" w:hAnsi="Arial"/>
                <w:sz w:val="18"/>
                <w:szCs w:val="18"/>
                <w:color w:val="auto"/>
                <w:w w:val="94"/>
              </w:rPr>
              <w:t>/s/</w:t>
            </w:r>
          </w:p>
        </w:tc>
        <w:tc>
          <w:tcPr>
            <w:tcW w:w="2520" w:type="dxa"/>
            <w:vAlign w:val="bottom"/>
          </w:tcPr>
          <w:p>
            <w:pPr>
              <w:jc w:val="center"/>
              <w:ind w:right="911"/>
              <w:spacing w:after="0"/>
              <w:rPr>
                <w:sz w:val="20"/>
                <w:szCs w:val="20"/>
                <w:color w:val="auto"/>
              </w:rPr>
            </w:pPr>
            <w:r>
              <w:rPr>
                <w:rFonts w:ascii="Arial" w:cs="Arial" w:eastAsia="Arial" w:hAnsi="Arial"/>
                <w:sz w:val="18"/>
                <w:szCs w:val="18"/>
                <w:color w:val="auto"/>
                <w:w w:val="92"/>
              </w:rPr>
              <w:t>Douglas Alexander</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gridSpan w:val="2"/>
          </w:tcPr>
          <w:p>
            <w:pPr>
              <w:jc w:val="center"/>
              <w:spacing w:after="0"/>
              <w:rPr>
                <w:sz w:val="20"/>
                <w:szCs w:val="20"/>
                <w:color w:val="auto"/>
              </w:rPr>
            </w:pPr>
            <w:r>
              <w:rPr>
                <w:rFonts w:ascii="Arial" w:cs="Arial" w:eastAsia="Arial" w:hAnsi="Arial"/>
                <w:sz w:val="18"/>
                <w:szCs w:val="18"/>
                <w:color w:val="auto"/>
                <w:w w:val="90"/>
              </w:rPr>
              <w:t>Douglas Alexander</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gridSpan w:val="2"/>
          </w:tcPr>
          <w:p>
            <w:pPr>
              <w:jc w:val="center"/>
              <w:spacing w:after="0"/>
              <w:rPr>
                <w:sz w:val="20"/>
                <w:szCs w:val="20"/>
                <w:color w:val="auto"/>
              </w:rPr>
            </w:pPr>
            <w:r>
              <w:rPr>
                <w:rFonts w:ascii="Arial" w:cs="Arial" w:eastAsia="Arial" w:hAnsi="Arial"/>
                <w:sz w:val="18"/>
                <w:szCs w:val="18"/>
                <w:color w:val="auto"/>
                <w:w w:val="95"/>
              </w:rPr>
              <w:t>/s/ Roger A. Carolin</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7"/>
        </w:trPr>
        <w:tc>
          <w:tcPr>
            <w:tcW w:w="1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520" w:type="dxa"/>
            <w:vAlign w:val="bottom"/>
          </w:tcPr>
          <w:p>
            <w:pPr>
              <w:jc w:val="center"/>
              <w:ind w:right="1171"/>
              <w:spacing w:after="0"/>
              <w:rPr>
                <w:sz w:val="20"/>
                <w:szCs w:val="20"/>
                <w:color w:val="auto"/>
              </w:rPr>
            </w:pPr>
            <w:r>
              <w:rPr>
                <w:rFonts w:ascii="Arial" w:cs="Arial" w:eastAsia="Arial" w:hAnsi="Arial"/>
                <w:sz w:val="18"/>
                <w:szCs w:val="18"/>
                <w:color w:val="auto"/>
                <w:w w:val="94"/>
              </w:rPr>
              <w:t>Roger A. Carolin</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702"/>
        </w:trPr>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00" w:type="dxa"/>
            <w:vAlign w:val="bottom"/>
            <w:gridSpan w:val="2"/>
          </w:tcPr>
          <w:p>
            <w:pPr>
              <w:jc w:val="right"/>
              <w:ind w:right="349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567"/>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Winston J. Churchill</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Winston J. Churchill</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MaryFrances McCourt</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MaryFrances McCourt</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 Robert R. Morse</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2"/>
              </w:rPr>
              <w:t>Robert R. Morse</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David N. Watson</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David N. Watson</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918"/>
        </w:trPr>
        <w:tc>
          <w:tcPr>
            <w:tcW w:w="3780" w:type="dxa"/>
            <w:vAlign w:val="bottom"/>
          </w:tcPr>
          <w:p>
            <w:pPr>
              <w:spacing w:after="0"/>
              <w:rPr>
                <w:sz w:val="24"/>
                <w:szCs w:val="24"/>
                <w:color w:val="auto"/>
              </w:rPr>
            </w:pPr>
          </w:p>
        </w:tc>
        <w:tc>
          <w:tcPr>
            <w:tcW w:w="5600" w:type="dxa"/>
            <w:vAlign w:val="bottom"/>
            <w:gridSpan w:val="2"/>
          </w:tcPr>
          <w:p>
            <w:pPr>
              <w:jc w:val="right"/>
              <w:ind w:right="349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60" w:type="dxa"/>
            <w:vAlign w:val="bottom"/>
          </w:tcPr>
          <w:p>
            <w:pPr>
              <w:ind w:left="2020"/>
              <w:spacing w:after="0"/>
              <w:rPr>
                <w:sz w:val="20"/>
                <w:szCs w:val="20"/>
                <w:color w:val="auto"/>
              </w:rPr>
            </w:pPr>
            <w:r>
              <w:rPr>
                <w:rFonts w:ascii="Arial" w:cs="Arial" w:eastAsia="Arial" w:hAnsi="Arial"/>
                <w:sz w:val="18"/>
                <w:szCs w:val="18"/>
                <w:b w:val="1"/>
                <w:bCs w:val="1"/>
                <w:color w:val="auto"/>
                <w:w w:val="91"/>
              </w:rPr>
              <w:t>Exhibit 21.1</w:t>
            </w:r>
          </w:p>
        </w:tc>
      </w:tr>
      <w:tr>
        <w:trPr>
          <w:trHeight w:val="554"/>
        </w:trPr>
        <w:tc>
          <w:tcPr>
            <w:tcW w:w="8460" w:type="dxa"/>
            <w:vAlign w:val="bottom"/>
            <w:gridSpan w:val="2"/>
          </w:tcPr>
          <w:p>
            <w:pPr>
              <w:ind w:left="4460"/>
              <w:spacing w:after="0"/>
              <w:rPr>
                <w:sz w:val="20"/>
                <w:szCs w:val="20"/>
                <w:color w:val="auto"/>
              </w:rPr>
            </w:pPr>
            <w:r>
              <w:rPr>
                <w:rFonts w:ascii="Arial" w:cs="Arial" w:eastAsia="Arial" w:hAnsi="Arial"/>
                <w:sz w:val="18"/>
                <w:szCs w:val="18"/>
                <w:b w:val="1"/>
                <w:bCs w:val="1"/>
                <w:color w:val="auto"/>
              </w:rPr>
              <w:t>AMKOR TECHNOLOGY, INC.</w:t>
            </w:r>
          </w:p>
        </w:tc>
        <w:tc>
          <w:tcPr>
            <w:tcW w:w="2960" w:type="dxa"/>
            <w:vAlign w:val="bottom"/>
          </w:tcPr>
          <w:p>
            <w:pPr>
              <w:spacing w:after="0"/>
              <w:rPr>
                <w:sz w:val="24"/>
                <w:szCs w:val="24"/>
                <w:color w:val="auto"/>
              </w:rPr>
            </w:pPr>
          </w:p>
        </w:tc>
      </w:tr>
      <w:tr>
        <w:trPr>
          <w:trHeight w:val="338"/>
        </w:trPr>
        <w:tc>
          <w:tcPr>
            <w:tcW w:w="8460" w:type="dxa"/>
            <w:vAlign w:val="bottom"/>
            <w:gridSpan w:val="2"/>
          </w:tcPr>
          <w:p>
            <w:pPr>
              <w:ind w:left="4700"/>
              <w:spacing w:after="0"/>
              <w:rPr>
                <w:sz w:val="20"/>
                <w:szCs w:val="20"/>
                <w:color w:val="auto"/>
              </w:rPr>
            </w:pPr>
            <w:r>
              <w:rPr>
                <w:rFonts w:ascii="Arial" w:cs="Arial" w:eastAsia="Arial" w:hAnsi="Arial"/>
                <w:sz w:val="18"/>
                <w:szCs w:val="18"/>
                <w:b w:val="1"/>
                <w:bCs w:val="1"/>
                <w:color w:val="auto"/>
              </w:rPr>
              <w:t>LIST OF SUBSIDIARIES</w:t>
            </w:r>
          </w:p>
        </w:tc>
        <w:tc>
          <w:tcPr>
            <w:tcW w:w="2960" w:type="dxa"/>
            <w:vAlign w:val="bottom"/>
          </w:tcPr>
          <w:p>
            <w:pPr>
              <w:spacing w:after="0"/>
              <w:rPr>
                <w:sz w:val="24"/>
                <w:szCs w:val="24"/>
                <w:color w:val="auto"/>
              </w:rPr>
            </w:pPr>
          </w:p>
        </w:tc>
      </w:tr>
      <w:tr>
        <w:trPr>
          <w:trHeight w:val="399"/>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460" w:type="dxa"/>
            <w:vAlign w:val="bottom"/>
          </w:tcPr>
          <w:p>
            <w:pPr>
              <w:spacing w:after="0"/>
              <w:rPr>
                <w:sz w:val="24"/>
                <w:szCs w:val="24"/>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Jurisdiction of Organization</w:t>
            </w:r>
          </w:p>
        </w:tc>
      </w:tr>
      <w:tr>
        <w:trPr>
          <w:trHeight w:val="378"/>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Advanced Technology Taiwan, Inc.</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Taiwan</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Assembly &amp; Test (Shanghai) Co., Ltd.</w:t>
            </w: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Euroservices, S.A.S.</w:t>
            </w:r>
          </w:p>
        </w:tc>
        <w:tc>
          <w:tcPr>
            <w:tcW w:w="29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Holding, B.V.</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Netherlands</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Holding, B.V., Germany (A Branch of a Netherlands Company)</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Germany</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Korea, Inc.</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Korea</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Limited</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Cayman Islands</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Malaysia Sdn. Bhd.</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Malaysia</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Philippines, Inc. (A Branch of a Singapore Company)</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Philippines</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Singapore Investment Pte. Ltd.</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Singapore Holding Pte. Ltd.</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Taiwan Ltd.</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Taiwan</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Worldwide Services LLC</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ATEP - Amkor Technology Portugal, S.A.</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Portugal</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Guardian Assets, Inc.</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J-Devices Corporation</w:t>
            </w:r>
          </w:p>
        </w:tc>
        <w:tc>
          <w:tcPr>
            <w:tcW w:w="2960" w:type="dxa"/>
            <w:vAlign w:val="bottom"/>
          </w:tcPr>
          <w:p>
            <w:pPr>
              <w:jc w:val="center"/>
              <w:spacing w:after="0"/>
              <w:rPr>
                <w:sz w:val="20"/>
                <w:szCs w:val="20"/>
                <w:color w:val="auto"/>
              </w:rPr>
            </w:pPr>
            <w:r>
              <w:rPr>
                <w:rFonts w:ascii="Arial" w:cs="Arial" w:eastAsia="Arial" w:hAnsi="Arial"/>
                <w:sz w:val="18"/>
                <w:szCs w:val="18"/>
                <w:color w:val="auto"/>
                <w:w w:val="81"/>
              </w:rPr>
              <w:t>Japan</w:t>
            </w:r>
          </w:p>
        </w:tc>
      </w:tr>
    </w:tbl>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S-8 (Nos. 333-62891, 333-86161, 333-63430, 333-100814 and 333-149376) of Amkor Technology, Inc. of our report dated February 22, 2019,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Stephen D. Kelley, certify that:</w:t>
      </w:r>
    </w:p>
    <w:p>
      <w:pPr>
        <w:spacing w:after="0" w:line="185" w:lineRule="exact"/>
        <w:rPr>
          <w:sz w:val="20"/>
          <w:szCs w:val="20"/>
          <w:color w:val="auto"/>
        </w:rPr>
      </w:pPr>
    </w:p>
    <w:p>
      <w:pPr>
        <w:ind w:left="520" w:hanging="188"/>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Amkor Technology, Inc.;</w:t>
      </w:r>
    </w:p>
    <w:p>
      <w:pPr>
        <w:spacing w:after="0" w:line="184" w:lineRule="exact"/>
        <w:rPr>
          <w:rFonts w:ascii="Arial" w:cs="Arial" w:eastAsia="Arial" w:hAnsi="Arial"/>
          <w:sz w:val="18"/>
          <w:szCs w:val="18"/>
          <w:color w:val="auto"/>
        </w:rPr>
      </w:pPr>
    </w:p>
    <w:p>
      <w:pPr>
        <w:jc w:val="both"/>
        <w:ind w:left="500" w:right="20" w:hanging="168"/>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0" w:lineRule="exact"/>
        <w:rPr>
          <w:rFonts w:ascii="Arial" w:cs="Arial" w:eastAsia="Arial" w:hAnsi="Arial"/>
          <w:sz w:val="18"/>
          <w:szCs w:val="18"/>
          <w:color w:val="auto"/>
        </w:rPr>
      </w:pPr>
    </w:p>
    <w:p>
      <w:pPr>
        <w:ind w:left="500" w:hanging="168"/>
        <w:spacing w:after="0" w:line="308" w:lineRule="auto"/>
        <w:tabs>
          <w:tab w:leader="none" w:pos="519"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6" w:lineRule="exact"/>
        <w:rPr>
          <w:rFonts w:ascii="Arial" w:cs="Arial" w:eastAsia="Arial" w:hAnsi="Arial"/>
          <w:sz w:val="17"/>
          <w:szCs w:val="17"/>
          <w:color w:val="auto"/>
        </w:rPr>
      </w:pPr>
    </w:p>
    <w:p>
      <w:pPr>
        <w:jc w:val="both"/>
        <w:ind w:left="500" w:hanging="168"/>
        <w:spacing w:after="0" w:line="264" w:lineRule="auto"/>
        <w:tabs>
          <w:tab w:leader="none" w:pos="5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660" w:hanging="166"/>
        <w:spacing w:after="0" w:line="264" w:lineRule="auto"/>
        <w:tabs>
          <w:tab w:leader="none" w:pos="68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0" w:lineRule="exact"/>
        <w:rPr>
          <w:rFonts w:ascii="Arial" w:cs="Arial" w:eastAsia="Arial" w:hAnsi="Arial"/>
          <w:sz w:val="18"/>
          <w:szCs w:val="18"/>
          <w:color w:val="auto"/>
        </w:rPr>
      </w:pPr>
    </w:p>
    <w:p>
      <w:pPr>
        <w:jc w:val="both"/>
        <w:ind w:left="660" w:hanging="166"/>
        <w:spacing w:after="0" w:line="264" w:lineRule="auto"/>
        <w:tabs>
          <w:tab w:leader="none" w:pos="73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660" w:hanging="166"/>
        <w:spacing w:after="0" w:line="342" w:lineRule="auto"/>
        <w:tabs>
          <w:tab w:leader="none" w:pos="704"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83" w:lineRule="exact"/>
        <w:rPr>
          <w:rFonts w:ascii="Arial" w:cs="Arial" w:eastAsia="Arial" w:hAnsi="Arial"/>
          <w:sz w:val="16"/>
          <w:szCs w:val="16"/>
          <w:color w:val="auto"/>
        </w:rPr>
      </w:pPr>
    </w:p>
    <w:p>
      <w:pPr>
        <w:jc w:val="both"/>
        <w:ind w:left="660" w:hanging="166"/>
        <w:spacing w:after="0" w:line="264" w:lineRule="auto"/>
        <w:tabs>
          <w:tab w:leader="none" w:pos="712"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500" w:hanging="168"/>
        <w:spacing w:after="0" w:line="308" w:lineRule="auto"/>
        <w:tabs>
          <w:tab w:leader="none" w:pos="52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660" w:hanging="166"/>
        <w:spacing w:after="0" w:line="277" w:lineRule="auto"/>
        <w:tabs>
          <w:tab w:leader="none" w:pos="6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0" w:hanging="166"/>
        <w:spacing w:after="0" w:line="277" w:lineRule="auto"/>
        <w:tabs>
          <w:tab w:leader="none" w:pos="69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34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Stephen D. Kelley</w:t>
      </w:r>
    </w:p>
    <w:p>
      <w:pPr>
        <w:spacing w:after="0" w:line="86" w:lineRule="exact"/>
        <w:rPr>
          <w:sz w:val="20"/>
          <w:szCs w:val="20"/>
          <w:color w:val="auto"/>
        </w:rPr>
      </w:pPr>
    </w:p>
    <w:p>
      <w:pPr>
        <w:sectPr>
          <w:pgSz w:w="11900" w:h="16838" w:orient="portrait"/>
          <w:cols w:equalWidth="0" w:num="2">
            <w:col w:w="7040" w:space="46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86" w:lineRule="exact"/>
        <w:rPr>
          <w:sz w:val="20"/>
          <w:szCs w:val="20"/>
          <w:color w:val="auto"/>
        </w:rPr>
      </w:pPr>
    </w:p>
    <w:p>
      <w:pPr>
        <w:sectPr>
          <w:pgSz w:w="11900" w:h="16838" w:orient="portrait"/>
          <w:cols w:equalWidth="0" w:num="2">
            <w:col w:w="7160" w:space="34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22, 2019</w:t>
      </w:r>
    </w:p>
    <w:p>
      <w:pPr>
        <w:sectPr>
          <w:pgSz w:w="11900" w:h="16838" w:orient="portrait"/>
          <w:cols w:equalWidth="0" w:num="2">
            <w:col w:w="7160" w:space="340"/>
            <w:col w:w="3920"/>
          </w:cols>
          <w:pgMar w:left="240" w:top="580" w:right="23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185" w:lineRule="exact"/>
        <w:rPr>
          <w:sz w:val="20"/>
          <w:szCs w:val="20"/>
          <w:color w:val="auto"/>
        </w:rPr>
      </w:pPr>
    </w:p>
    <w:p>
      <w:pPr>
        <w:ind w:left="520" w:hanging="188"/>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Amkor Technology, Inc.;</w:t>
      </w:r>
    </w:p>
    <w:p>
      <w:pPr>
        <w:spacing w:after="0" w:line="184" w:lineRule="exact"/>
        <w:rPr>
          <w:rFonts w:ascii="Arial" w:cs="Arial" w:eastAsia="Arial" w:hAnsi="Arial"/>
          <w:sz w:val="18"/>
          <w:szCs w:val="18"/>
          <w:color w:val="auto"/>
        </w:rPr>
      </w:pPr>
    </w:p>
    <w:p>
      <w:pPr>
        <w:jc w:val="both"/>
        <w:ind w:left="500" w:right="20" w:hanging="168"/>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0" w:lineRule="exact"/>
        <w:rPr>
          <w:rFonts w:ascii="Arial" w:cs="Arial" w:eastAsia="Arial" w:hAnsi="Arial"/>
          <w:sz w:val="18"/>
          <w:szCs w:val="18"/>
          <w:color w:val="auto"/>
        </w:rPr>
      </w:pPr>
    </w:p>
    <w:p>
      <w:pPr>
        <w:ind w:left="500" w:hanging="168"/>
        <w:spacing w:after="0" w:line="308" w:lineRule="auto"/>
        <w:tabs>
          <w:tab w:leader="none" w:pos="519"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6" w:lineRule="exact"/>
        <w:rPr>
          <w:rFonts w:ascii="Arial" w:cs="Arial" w:eastAsia="Arial" w:hAnsi="Arial"/>
          <w:sz w:val="17"/>
          <w:szCs w:val="17"/>
          <w:color w:val="auto"/>
        </w:rPr>
      </w:pPr>
    </w:p>
    <w:p>
      <w:pPr>
        <w:jc w:val="both"/>
        <w:ind w:left="500" w:hanging="168"/>
        <w:spacing w:after="0" w:line="264" w:lineRule="auto"/>
        <w:tabs>
          <w:tab w:leader="none" w:pos="5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660" w:hanging="166"/>
        <w:spacing w:after="0" w:line="264" w:lineRule="auto"/>
        <w:tabs>
          <w:tab w:leader="none" w:pos="68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0" w:lineRule="exact"/>
        <w:rPr>
          <w:rFonts w:ascii="Arial" w:cs="Arial" w:eastAsia="Arial" w:hAnsi="Arial"/>
          <w:sz w:val="18"/>
          <w:szCs w:val="18"/>
          <w:color w:val="auto"/>
        </w:rPr>
      </w:pPr>
    </w:p>
    <w:p>
      <w:pPr>
        <w:jc w:val="both"/>
        <w:ind w:left="660" w:hanging="166"/>
        <w:spacing w:after="0" w:line="264" w:lineRule="auto"/>
        <w:tabs>
          <w:tab w:leader="none" w:pos="73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660" w:hanging="166"/>
        <w:spacing w:after="0" w:line="342" w:lineRule="auto"/>
        <w:tabs>
          <w:tab w:leader="none" w:pos="704"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83" w:lineRule="exact"/>
        <w:rPr>
          <w:rFonts w:ascii="Arial" w:cs="Arial" w:eastAsia="Arial" w:hAnsi="Arial"/>
          <w:sz w:val="16"/>
          <w:szCs w:val="16"/>
          <w:color w:val="auto"/>
        </w:rPr>
      </w:pPr>
    </w:p>
    <w:p>
      <w:pPr>
        <w:jc w:val="both"/>
        <w:ind w:left="660" w:hanging="166"/>
        <w:spacing w:after="0" w:line="264" w:lineRule="auto"/>
        <w:tabs>
          <w:tab w:leader="none" w:pos="712"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500" w:hanging="168"/>
        <w:spacing w:after="0" w:line="308" w:lineRule="auto"/>
        <w:tabs>
          <w:tab w:leader="none" w:pos="52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660" w:hanging="166"/>
        <w:spacing w:after="0" w:line="277" w:lineRule="auto"/>
        <w:tabs>
          <w:tab w:leader="none" w:pos="6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0" w:hanging="166"/>
        <w:spacing w:after="0" w:line="277" w:lineRule="auto"/>
        <w:tabs>
          <w:tab w:leader="none" w:pos="6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158"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Megan Faust</w:t>
      </w:r>
    </w:p>
    <w:p>
      <w:pPr>
        <w:spacing w:after="0" w:line="97" w:lineRule="exact"/>
        <w:rPr>
          <w:sz w:val="20"/>
          <w:szCs w:val="20"/>
          <w:color w:val="auto"/>
        </w:rPr>
      </w:pPr>
    </w:p>
    <w:p>
      <w:pPr>
        <w:sectPr>
          <w:pgSz w:w="11900" w:h="16838" w:orient="portrait"/>
          <w:cols w:equalWidth="0" w:num="2">
            <w:col w:w="7040" w:space="46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Corporate Vice President and Chief Financial Officer</w:t>
      </w:r>
    </w:p>
    <w:p>
      <w:pPr>
        <w:spacing w:after="0" w:line="86" w:lineRule="exact"/>
        <w:rPr>
          <w:sz w:val="20"/>
          <w:szCs w:val="20"/>
          <w:color w:val="auto"/>
        </w:rPr>
      </w:pPr>
    </w:p>
    <w:p>
      <w:pPr>
        <w:sectPr>
          <w:pgSz w:w="11900" w:h="16838" w:orient="portrait"/>
          <w:cols w:equalWidth="0" w:num="2">
            <w:col w:w="7160" w:space="34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22, 2019</w:t>
      </w:r>
    </w:p>
    <w:p>
      <w:pPr>
        <w:sectPr>
          <w:pgSz w:w="11900" w:h="16838" w:orient="portrait"/>
          <w:cols w:equalWidth="0" w:num="2">
            <w:col w:w="7160" w:space="340"/>
            <w:col w:w="3920"/>
          </w:cols>
          <w:pgMar w:left="240" w:top="580" w:right="23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26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 Stephen D. Kelley, certify, pursuant to 18 U.S.C. Section 1350, as adopted pursuant to Section 906 of the Sarbanes-Oxley Act of 2002, that the Annual Report of Amkor Technology, Inc. on Form 10-K for the year ended December 31, 2018 fully complies with the requirements of Section 13(a) or 15(d) of the Securities Exchange Act of 1934 and that information contained in such Form 10-K fairly presents in all material respects the financial condition and results of operations of Amkor Technology, Inc.</w:t>
      </w:r>
    </w:p>
    <w:p>
      <w:pPr>
        <w:spacing w:after="0" w:line="3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Stephen D. Kelley</w:t>
      </w:r>
    </w:p>
    <w:p>
      <w:pPr>
        <w:spacing w:after="0" w:line="86" w:lineRule="exact"/>
        <w:rPr>
          <w:sz w:val="20"/>
          <w:szCs w:val="20"/>
          <w:color w:val="auto"/>
        </w:rPr>
      </w:pPr>
    </w:p>
    <w:p>
      <w:pPr>
        <w:sectPr>
          <w:pgSz w:w="11900" w:h="16838" w:orient="portrait"/>
          <w:cols w:equalWidth="0" w:num="2">
            <w:col w:w="7040" w:space="46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86" w:lineRule="exact"/>
        <w:rPr>
          <w:sz w:val="20"/>
          <w:szCs w:val="20"/>
          <w:color w:val="auto"/>
        </w:rPr>
      </w:pPr>
    </w:p>
    <w:p>
      <w:pPr>
        <w:sectPr>
          <w:pgSz w:w="11900" w:h="16838" w:orient="portrait"/>
          <w:cols w:equalWidth="0" w:num="2">
            <w:col w:w="7160" w:space="34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22, 2019</w:t>
      </w:r>
    </w:p>
    <w:p>
      <w:pPr>
        <w:spacing w:after="0" w:line="200" w:lineRule="exact"/>
        <w:rPr>
          <w:sz w:val="20"/>
          <w:szCs w:val="20"/>
          <w:color w:val="auto"/>
        </w:rPr>
      </w:pPr>
    </w:p>
    <w:p>
      <w:pPr>
        <w:sectPr>
          <w:pgSz w:w="11900" w:h="16838" w:orient="portrait"/>
          <w:cols w:equalWidth="0" w:num="2">
            <w:col w:w="7160" w:space="340"/>
            <w:col w:w="3920"/>
          </w:cols>
          <w:pgMar w:left="240" w:top="580" w:right="239" w:bottom="1440" w:gutter="0" w:footer="0" w:header="0"/>
          <w:type w:val="continuous"/>
        </w:sectPr>
      </w:pP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 Megan Faust, certify, pursuant to 18 U.S.C. Section 1350, as adopted pursuant to Section 906 of the Sarbanes-Oxley Act of 2002, that the Annual Report of Amkor Technology, Inc. on Form 10-K for the year ended December 31, 2018 fully complies with the requirements of Section 13(a) or 15(d) of the Securities Exchange Act of 1934 and that information contained in such Form 10-K fairly presents in all material respects the financial condition and results of operations of Amkor Technology, Inc.</w:t>
      </w:r>
    </w:p>
    <w:p>
      <w:pPr>
        <w:spacing w:after="0" w:line="200" w:lineRule="exact"/>
        <w:rPr>
          <w:sz w:val="20"/>
          <w:szCs w:val="20"/>
          <w:color w:val="auto"/>
        </w:rPr>
      </w:pPr>
    </w:p>
    <w:p>
      <w:pPr>
        <w:spacing w:after="0" w:line="24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p>
      <w:pPr>
        <w:spacing w:after="0" w:line="158"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Megan Faust</w:t>
      </w:r>
    </w:p>
    <w:p>
      <w:pPr>
        <w:spacing w:after="0" w:line="97" w:lineRule="exact"/>
        <w:rPr>
          <w:sz w:val="20"/>
          <w:szCs w:val="20"/>
          <w:color w:val="auto"/>
        </w:rPr>
      </w:pPr>
    </w:p>
    <w:p>
      <w:pPr>
        <w:sectPr>
          <w:pgSz w:w="11900" w:h="16838" w:orient="portrait"/>
          <w:cols w:equalWidth="0" w:num="2">
            <w:col w:w="7040" w:space="46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Corporate Vice President and Chief Financial Officer</w:t>
      </w:r>
    </w:p>
    <w:p>
      <w:pPr>
        <w:spacing w:after="0" w:line="86" w:lineRule="exact"/>
        <w:rPr>
          <w:sz w:val="20"/>
          <w:szCs w:val="20"/>
          <w:color w:val="auto"/>
        </w:rPr>
      </w:pPr>
    </w:p>
    <w:p>
      <w:pPr>
        <w:sectPr>
          <w:pgSz w:w="11900" w:h="16838" w:orient="portrait"/>
          <w:cols w:equalWidth="0" w:num="2">
            <w:col w:w="7160" w:space="340"/>
            <w:col w:w="3920"/>
          </w:cols>
          <w:pgMar w:left="240" w:top="580" w:right="239" w:bottom="1440" w:gutter="0" w:footer="0" w:header="0"/>
          <w:type w:val="continuous"/>
        </w:sectPr>
      </w:pPr>
    </w:p>
    <w:p>
      <w:pPr>
        <w:ind w:left="678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22, 2019</w:t>
      </w:r>
    </w:p>
    <w:sectPr>
      <w:pgSz w:w="11900" w:h="16838" w:orient="portrait"/>
      <w:cols w:equalWidth="0" w:num="2">
        <w:col w:w="7160" w:space="340"/>
        <w:col w:w="39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22"/>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lowerLetter"/>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lowerLetter"/>
      <w:start w:val="4"/>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decimal"/>
      <w:start w:val="2"/>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3"/>
    </w:lvl>
  </w:abstractNum>
  <w:abstractNum w:abstractNumId="34">
    <w:nsid w:val="3855585C"/>
    <w:multiLevelType w:val="hybridMultilevel"/>
    <w:lvl w:ilvl="0">
      <w:lvlJc w:val="left"/>
      <w:lvlText w:val="%1."/>
      <w:numFmt w:val="decimal"/>
      <w:start w:val="4"/>
    </w:lvl>
  </w:abstractNum>
  <w:abstractNum w:abstractNumId="35">
    <w:nsid w:val="70A64E2A"/>
    <w:multiLevelType w:val="hybridMultilevel"/>
    <w:lvl w:ilvl="0">
      <w:lvlJc w:val="left"/>
      <w:lvlText w:val="(%1)"/>
      <w:numFmt w:val="lowerRoman"/>
      <w:start w:val="5"/>
    </w:lvl>
  </w:abstractNum>
  <w:abstractNum w:abstractNumId="36">
    <w:nsid w:val="6A2342EC"/>
    <w:multiLevelType w:val="hybridMultilevel"/>
    <w:lvl w:ilvl="0">
      <w:lvlJc w:val="left"/>
      <w:lvlText w:val="%1."/>
      <w:numFmt w:val="decimal"/>
      <w:start w:val="7"/>
    </w:lvl>
  </w:abstractNum>
  <w:abstractNum w:abstractNumId="37">
    <w:nsid w:val="2A487CB0"/>
    <w:multiLevelType w:val="hybridMultilevel"/>
    <w:lvl w:ilvl="0">
      <w:lvlJc w:val="left"/>
      <w:lvlText w:val="%1."/>
      <w:numFmt w:val="decimal"/>
      <w:start w:val="8"/>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2"/>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30" Type="http://schemas.openxmlformats.org/officeDocument/2006/relationships/hyperlink" Target="http://www.sec.gov/Archives/edgar/data/1047127/000089322004001612/w99531exv2w3.txt" TargetMode="External"/><Relationship Id="rId31" Type="http://schemas.openxmlformats.org/officeDocument/2006/relationships/hyperlink" Target="http://www.sec.gov/Archives/edgar/data/1047127/0000891618-97-004025.txt" TargetMode="External"/><Relationship Id="rId32" Type="http://schemas.openxmlformats.org/officeDocument/2006/relationships/hyperlink" Target="http://www.sec.gov/Archives/edgar/data/1047127/0000891618-98-001602.txt" TargetMode="External"/><Relationship Id="rId33" Type="http://schemas.openxmlformats.org/officeDocument/2006/relationships/hyperlink" Target="http://www.sec.gov/Archives/edgar/data/1047127/000104712714000006/amkr123113ex33.htm" TargetMode="External"/><Relationship Id="rId34" Type="http://schemas.openxmlformats.org/officeDocument/2006/relationships/hyperlink" Target="http://www.sec.gov/Archives/edgar/data/1047127/0000891618-98-001449.txt" TargetMode="External"/><Relationship Id="rId35" Type="http://schemas.openxmlformats.org/officeDocument/2006/relationships/hyperlink" Target="http://www.sec.gov/Archives/edgar/data/1047127/000119312512399384/d414169dex41.htm" TargetMode="External"/><Relationship Id="rId36" Type="http://schemas.openxmlformats.org/officeDocument/2006/relationships/hyperlink" Target="http://www.sec.gov/Archives/edgar/data/1047127/000095015309000248/p14626exv10w1.htm" TargetMode="External"/><Relationship Id="rId37" Type="http://schemas.openxmlformats.org/officeDocument/2006/relationships/hyperlink" Target="http://www.sec.gov/Archives/edgar/data/1047127/000104712717000013/ex101ceoagreement.htm" TargetMode="External"/><Relationship Id="rId38" Type="http://schemas.openxmlformats.org/officeDocument/2006/relationships/hyperlink" Target="http://www.sec.gov/Archives/edgar/data/1047127/000104712717000023/amkr33117ex102.htm" TargetMode="External"/><Relationship Id="rId39" Type="http://schemas.openxmlformats.org/officeDocument/2006/relationships/hyperlink" Target="http://www.sec.gov/Archives/edgar/data/1047127/000104712717000023/amkr33117ex103.htm" TargetMode="External"/><Relationship Id="rId40" Type="http://schemas.openxmlformats.org/officeDocument/2006/relationships/hyperlink" Target="http://www.sec.gov/Archives/edgar/data/1047127/000104712717000023/amkr33117ex104.htm" TargetMode="External"/><Relationship Id="rId41" Type="http://schemas.openxmlformats.org/officeDocument/2006/relationships/hyperlink" Target="http://www.sec.gov/Archives/edgar/data/1047127/000104712717000025/amkorarequityplanexhibit10.htm" TargetMode="External"/><Relationship Id="rId42" Type="http://schemas.openxmlformats.org/officeDocument/2006/relationships/hyperlink" Target="http://www.sec.gov/Archives/edgar/data/1047127/000104712717000025/amkorarexecutiveincentiveb.htm" TargetMode="External"/><Relationship Id="rId43" Type="http://schemas.openxmlformats.org/officeDocument/2006/relationships/hyperlink" Target="http://www.sec.gov/Archives/edgar/data/1047127/000119312518220776/d551484dex101.htm" TargetMode="External"/><Relationship Id="rId44" Type="http://schemas.openxmlformats.org/officeDocument/2006/relationships/hyperlink" Target="http://www.sec.gov/Archives/edgar/data/1047127/000119312518220776/d551484dex102.htm" TargetMode="External"/><Relationship Id="rId45" Type="http://schemas.openxmlformats.org/officeDocument/2006/relationships/hyperlink" Target="http://www.sec.gov/Archives/edgar/data/1047127/000119312518220776/d551484dex103.htm" TargetMode="External"/><Relationship Id="rId46" Type="http://schemas.openxmlformats.org/officeDocument/2006/relationships/hyperlink" Target="http://www.sec.gov/Archives/edgar/data/1047127/000119312518220776/d551484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2019-12-28T16:13:06Z</dcterms:created>
  <dcterms:modified xsi:type="dcterms:W3CDTF">2019-12-28T16:13:06Z</dcterms:modified>
</cp:coreProperties>
</file>