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523"/>
        <w:gridCol w:w="1479"/>
        <w:gridCol w:w="1479"/>
        <w:gridCol w:w="1479"/>
        <w:gridCol w:w="1479"/>
        <w:gridCol w:w="2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 the Quarterly Period Ended</w:t>
            </w:r>
          </w:p>
        </w:tc>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000-29472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AMKOR TECHNOLOGY,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8226" w:type="dxa"/>
        <w:jc w:val="left"/>
        <w:tblInd w:w="0" w:type="dxa"/>
        <w:tblLayout w:type="fixed"/>
        <w:tblCellMar>
          <w:top w:w="28" w:type="dxa"/>
          <w:left w:w="28" w:type="dxa"/>
          <w:bottom w:w="28" w:type="dxa"/>
          <w:right w:w="28" w:type="dxa"/>
        </w:tblCellMar>
      </w:tblPr>
      <w:tblGrid>
        <w:gridCol w:w="1562"/>
        <w:gridCol w:w="1371"/>
        <w:gridCol w:w="1387"/>
        <w:gridCol w:w="109"/>
        <w:gridCol w:w="109"/>
        <w:gridCol w:w="109"/>
        <w:gridCol w:w="109"/>
        <w:gridCol w:w="109"/>
        <w:gridCol w:w="109"/>
        <w:gridCol w:w="109"/>
        <w:gridCol w:w="109"/>
        <w:gridCol w:w="109"/>
        <w:gridCol w:w="854"/>
        <w:gridCol w:w="854"/>
        <w:gridCol w:w="1217"/>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23-1722724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2045 East Innovation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Tempe, AZ 85284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(480) 821-5000 </w:t>
      </w:r>
    </w:p>
    <w:p>
      <w:pPr>
        <w:pStyle w:val="TextBody"/>
        <w:bidi w:val="0"/>
        <w:spacing w:lineRule="auto" w:line="288" w:before="60" w:after="283"/>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352" w:type="dxa"/>
        <w:jc w:val="center"/>
        <w:tblInd w:w="0" w:type="dxa"/>
        <w:tblLayout w:type="fixed"/>
        <w:tblCellMar>
          <w:top w:w="28" w:type="dxa"/>
          <w:left w:w="28" w:type="dxa"/>
          <w:bottom w:w="28" w:type="dxa"/>
          <w:right w:w="28" w:type="dxa"/>
        </w:tblCellMar>
      </w:tblPr>
      <w:tblGrid>
        <w:gridCol w:w="1028"/>
        <w:gridCol w:w="898"/>
        <w:gridCol w:w="908"/>
        <w:gridCol w:w="499"/>
        <w:gridCol w:w="499"/>
        <w:gridCol w:w="501"/>
        <w:gridCol w:w="1174"/>
        <w:gridCol w:w="1174"/>
        <w:gridCol w:w="1671"/>
      </w:tblGrid>
      <w:tr>
        <w:trPr/>
        <w:tc>
          <w:tcPr>
            <w:tcW w:w="10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AMKR</w:t>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441"/>
        <w:gridCol w:w="441"/>
        <w:gridCol w:w="443"/>
        <w:gridCol w:w="109"/>
        <w:gridCol w:w="109"/>
        <w:gridCol w:w="109"/>
        <w:gridCol w:w="571"/>
        <w:gridCol w:w="571"/>
        <w:gridCol w:w="573"/>
        <w:gridCol w:w="109"/>
        <w:gridCol w:w="109"/>
        <w:gridCol w:w="109"/>
        <w:gridCol w:w="637"/>
        <w:gridCol w:w="637"/>
        <w:gridCol w:w="639"/>
        <w:gridCol w:w="109"/>
        <w:gridCol w:w="109"/>
        <w:gridCol w:w="109"/>
        <w:gridCol w:w="637"/>
        <w:gridCol w:w="637"/>
        <w:gridCol w:w="639"/>
        <w:gridCol w:w="109"/>
        <w:gridCol w:w="109"/>
        <w:gridCol w:w="1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registrant’s Common Stock as of April 21, 2026 was 247,872,518.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4"/>
        <w:gridCol w:w="254"/>
        <w:gridCol w:w="254"/>
        <w:gridCol w:w="2732"/>
        <w:gridCol w:w="2726"/>
        <w:gridCol w:w="2735"/>
        <w:gridCol w:w="346"/>
        <w:gridCol w:w="346"/>
        <w:gridCol w:w="518"/>
      </w:tblGrid>
      <w:tr>
        <w:trPr/>
        <w:tc>
          <w:tcPr>
            <w:tcW w:w="2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69817c53ebf4d3ca51518a34a55e638_10">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3">
              <w:r>
                <w:rPr>
                  <w:rStyle w:val="InternetLink"/>
                  <w:rFonts w:ascii="Times New Roman;serif" w:hAnsi="Times New Roman;serif"/>
                  <w:b w:val="false"/>
                  <w:strike w:val="false"/>
                  <w:dstrike w:val="false"/>
                  <w:color w:val="000000"/>
                  <w:sz w:val="20"/>
                  <w:u w:val="none"/>
                  <w:effect w:val="none"/>
                </w:rPr>
                <w:t>Item 1.</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3">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3">
              <w:r>
                <w:rPr>
                  <w:rStyle w:val="InternetLink"/>
                  <w:rFonts w:ascii="Times New Roman;serif" w:hAnsi="Times New Roman;serif"/>
                  <w:b w:val="false"/>
                  <w:strike w:val="false"/>
                  <w:dstrike w:val="false"/>
                  <w:color w:val="000000"/>
                  <w:sz w:val="20"/>
                  <w:u w:val="none"/>
                  <w:effect w:val="none"/>
                </w:rPr>
                <w:t>3</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6">
              <w:r>
                <w:rPr>
                  <w:rStyle w:val="InternetLink"/>
                  <w:rFonts w:ascii="Times New Roman;serif" w:hAnsi="Times New Roman;serif"/>
                  <w:b w:val="false"/>
                  <w:strike w:val="false"/>
                  <w:dstrike w:val="false"/>
                  <w:color w:val="000000"/>
                  <w:sz w:val="20"/>
                  <w:u w:val="none"/>
                  <w:effect w:val="none"/>
                </w:rPr>
                <w:t xml:space="preserve">Consolidated Statements of Income - </w:t>
              </w:r>
            </w:hyperlink>
            <w:r>
              <w:rPr>
                <w:rFonts w:ascii="Times New Roman;serif" w:hAnsi="Times New Roman;serif"/>
                <w:b w:val="false"/>
                <w:color w:val="000000"/>
                <w:sz w:val="20"/>
              </w:rPr>
              <w:t>Three Months Ended March 31, 2026</w:t>
            </w:r>
            <w:hyperlink w:anchor="i969817c53ebf4d3ca51518a34a55e638_1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6">
              <w:r>
                <w:rPr>
                  <w:rStyle w:val="InternetLink"/>
                  <w:rFonts w:ascii="Times New Roman;serif" w:hAnsi="Times New Roman;serif"/>
                  <w:b w:val="false"/>
                  <w:strike w:val="false"/>
                  <w:dstrike w:val="false"/>
                  <w:color w:val="000000"/>
                  <w:sz w:val="20"/>
                  <w:u w:val="none"/>
                  <w:effect w:val="none"/>
                </w:rPr>
                <w:t>3</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69817c53ebf4d3ca51518a34a55e638_19">
              <w:r>
                <w:rPr>
                  <w:rStyle w:val="InternetLink"/>
                  <w:rFonts w:ascii="Times New Roman;serif" w:hAnsi="Times New Roman;serif"/>
                  <w:b w:val="false"/>
                  <w:strike w:val="false"/>
                  <w:dstrike w:val="false"/>
                  <w:color w:val="000000"/>
                  <w:sz w:val="20"/>
                  <w:u w:val="none"/>
                  <w:effect w:val="none"/>
                </w:rPr>
                <w:t xml:space="preserve">Consolidated Statements of Comprehensive Income - </w:t>
              </w:r>
            </w:hyperlink>
            <w:r>
              <w:rPr>
                <w:rFonts w:ascii="Times New Roman;serif" w:hAnsi="Times New Roman;serif"/>
                <w:b w:val="false"/>
                <w:color w:val="000000"/>
                <w:sz w:val="20"/>
              </w:rPr>
              <w:t>Three Months Ended March 31, 2026</w:t>
            </w:r>
            <w:hyperlink w:anchor="i969817c53ebf4d3ca51518a34a55e638_1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9">
              <w:r>
                <w:rPr>
                  <w:rStyle w:val="InternetLink"/>
                  <w:rFonts w:ascii="Times New Roman;serif" w:hAnsi="Times New Roman;serif"/>
                  <w:b w:val="false"/>
                  <w:strike w:val="false"/>
                  <w:dstrike w:val="false"/>
                  <w:color w:val="000000"/>
                  <w:sz w:val="20"/>
                  <w:u w:val="none"/>
                  <w:effect w:val="none"/>
                </w:rPr>
                <w:t>4</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22">
              <w:r>
                <w:rPr>
                  <w:rStyle w:val="InternetLink"/>
                  <w:rFonts w:ascii="Times New Roman;serif" w:hAnsi="Times New Roman;serif"/>
                  <w:b w:val="false"/>
                  <w:strike w:val="false"/>
                  <w:dstrike w:val="false"/>
                  <w:color w:val="000000"/>
                  <w:sz w:val="20"/>
                  <w:u w:val="none"/>
                  <w:effect w:val="none"/>
                </w:rPr>
                <w:t xml:space="preserve">Consolidated Balance Sheets - </w:t>
              </w:r>
            </w:hyperlink>
            <w:r>
              <w:rPr>
                <w:rFonts w:ascii="Times New Roman;serif" w:hAnsi="Times New Roman;serif"/>
                <w:b w:val="false"/>
                <w:color w:val="000000"/>
                <w:sz w:val="20"/>
              </w:rPr>
              <w:t>March 31, 2026</w:t>
            </w:r>
            <w:hyperlink w:anchor="i969817c53ebf4d3ca51518a34a55e638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22">
              <w:r>
                <w:rPr>
                  <w:rStyle w:val="InternetLink"/>
                  <w:rFonts w:ascii="Times New Roman;serif" w:hAnsi="Times New Roman;serif"/>
                  <w:b w:val="false"/>
                  <w:strike w:val="false"/>
                  <w:dstrike w:val="false"/>
                  <w:color w:val="000000"/>
                  <w:sz w:val="20"/>
                  <w:u w:val="none"/>
                  <w:effect w:val="none"/>
                </w:rPr>
                <w:t>5</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69817c53ebf4d3ca51518a34a55e638_25">
              <w:r>
                <w:rPr>
                  <w:rStyle w:val="InternetLink"/>
                  <w:rFonts w:ascii="Times New Roman;serif" w:hAnsi="Times New Roman;serif"/>
                  <w:b w:val="false"/>
                  <w:strike w:val="false"/>
                  <w:dstrike w:val="false"/>
                  <w:color w:val="000000"/>
                  <w:sz w:val="20"/>
                  <w:u w:val="none"/>
                  <w:effect w:val="none"/>
                </w:rPr>
                <w:t xml:space="preserve">Consolidated Statements of Stockholders’ Equity - </w:t>
              </w:r>
            </w:hyperlink>
            <w:r>
              <w:rPr>
                <w:rFonts w:ascii="Times New Roman;serif" w:hAnsi="Times New Roman;serif"/>
                <w:b w:val="false"/>
                <w:color w:val="000000"/>
                <w:sz w:val="20"/>
              </w:rPr>
              <w:t>Three Months Ended March 31, 2026</w:t>
            </w:r>
            <w:hyperlink w:anchor="i969817c53ebf4d3ca51518a34a55e638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25">
              <w:r>
                <w:rPr>
                  <w:rStyle w:val="InternetLink"/>
                  <w:rFonts w:ascii="Times New Roman;serif" w:hAnsi="Times New Roman;serif"/>
                  <w:b w:val="false"/>
                  <w:strike w:val="false"/>
                  <w:dstrike w:val="false"/>
                  <w:color w:val="000000"/>
                  <w:sz w:val="20"/>
                  <w:u w:val="none"/>
                  <w:effect w:val="none"/>
                </w:rPr>
                <w:t>6</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69817c53ebf4d3ca51518a34a55e638_28">
              <w:r>
                <w:rPr>
                  <w:rStyle w:val="InternetLink"/>
                  <w:rFonts w:ascii="Times New Roman;serif" w:hAnsi="Times New Roman;serif"/>
                  <w:b w:val="false"/>
                  <w:strike w:val="false"/>
                  <w:dstrike w:val="false"/>
                  <w:color w:val="000000"/>
                  <w:sz w:val="20"/>
                  <w:u w:val="none"/>
                  <w:effect w:val="none"/>
                </w:rPr>
                <w:t xml:space="preserve">Condensed Consolidated Statements of Cash Flows - </w:t>
              </w:r>
            </w:hyperlink>
            <w:r>
              <w:rPr>
                <w:rFonts w:ascii="Times New Roman;serif" w:hAnsi="Times New Roman;serif"/>
                <w:b w:val="false"/>
                <w:color w:val="000000"/>
                <w:sz w:val="20"/>
              </w:rPr>
              <w:t>Three Months Ended March 31, 2026</w:t>
            </w:r>
            <w:hyperlink w:anchor="i969817c53ebf4d3ca51518a34a55e638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28">
              <w:r>
                <w:rPr>
                  <w:rStyle w:val="InternetLink"/>
                  <w:rFonts w:ascii="Times New Roman;serif" w:hAnsi="Times New Roman;serif"/>
                  <w:b w:val="false"/>
                  <w:strike w:val="false"/>
                  <w:dstrike w:val="false"/>
                  <w:color w:val="000000"/>
                  <w:sz w:val="20"/>
                  <w:u w:val="none"/>
                  <w:effect w:val="none"/>
                </w:rPr>
                <w:t>7</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31">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31">
              <w:r>
                <w:rPr>
                  <w:rStyle w:val="InternetLink"/>
                  <w:rFonts w:ascii="Times New Roman;serif" w:hAnsi="Times New Roman;serif"/>
                  <w:b w:val="false"/>
                  <w:strike w:val="false"/>
                  <w:dstrike w:val="false"/>
                  <w:color w:val="000000"/>
                  <w:sz w:val="20"/>
                  <w:u w:val="none"/>
                  <w:effect w:val="none"/>
                </w:rPr>
                <w:t>8</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91">
              <w:r>
                <w:rPr>
                  <w:rStyle w:val="InternetLink"/>
                  <w:rFonts w:ascii="Times New Roman;serif" w:hAnsi="Times New Roman;serif"/>
                  <w:b w:val="false"/>
                  <w:strike w:val="false"/>
                  <w:dstrike w:val="false"/>
                  <w:color w:val="000000"/>
                  <w:sz w:val="20"/>
                  <w:u w:val="none"/>
                  <w:effect w:val="none"/>
                </w:rPr>
                <w:t>Item 2.</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91">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91">
              <w:r>
                <w:rPr>
                  <w:rStyle w:val="InternetLink"/>
                  <w:rFonts w:ascii="Times New Roman;serif" w:hAnsi="Times New Roman;serif"/>
                  <w:b w:val="false"/>
                  <w:strike w:val="false"/>
                  <w:dstrike w:val="false"/>
                  <w:color w:val="000000"/>
                  <w:sz w:val="20"/>
                  <w:u w:val="none"/>
                  <w:effect w:val="none"/>
                </w:rPr>
                <w:t>22</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09">
              <w:r>
                <w:rPr>
                  <w:rStyle w:val="InternetLink"/>
                  <w:rFonts w:ascii="Times New Roman;serif" w:hAnsi="Times New Roman;serif"/>
                  <w:b w:val="false"/>
                  <w:strike w:val="false"/>
                  <w:dstrike w:val="false"/>
                  <w:color w:val="000000"/>
                  <w:sz w:val="20"/>
                  <w:u w:val="none"/>
                  <w:effect w:val="none"/>
                </w:rPr>
                <w:t>Item 3.</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09">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09">
              <w:r>
                <w:rPr>
                  <w:rStyle w:val="InternetLink"/>
                  <w:rFonts w:ascii="Times New Roman;serif" w:hAnsi="Times New Roman;serif"/>
                  <w:b w:val="false"/>
                  <w:strike w:val="false"/>
                  <w:dstrike w:val="false"/>
                  <w:color w:val="000000"/>
                  <w:sz w:val="20"/>
                  <w:u w:val="none"/>
                  <w:effect w:val="none"/>
                </w:rPr>
                <w:t>29</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12">
              <w:r>
                <w:rPr>
                  <w:rStyle w:val="InternetLink"/>
                  <w:rFonts w:ascii="Times New Roman;serif" w:hAnsi="Times New Roman;serif"/>
                  <w:b w:val="false"/>
                  <w:strike w:val="false"/>
                  <w:dstrike w:val="false"/>
                  <w:color w:val="000000"/>
                  <w:sz w:val="20"/>
                  <w:u w:val="none"/>
                  <w:effect w:val="none"/>
                </w:rPr>
                <w:t>Item 4.</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12">
              <w:r>
                <w:rPr>
                  <w:rStyle w:val="InternetLink"/>
                  <w:rFonts w:ascii="Times New Roman;serif" w:hAnsi="Times New Roman;serif"/>
                  <w:b w:val="false"/>
                  <w:strike w:val="false"/>
                  <w:dstrike w:val="false"/>
                  <w:color w:val="000000"/>
                  <w:sz w:val="20"/>
                  <w:u w:val="none"/>
                  <w:effect w:val="none"/>
                </w:rPr>
                <w:t>Controls and Procedures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12">
              <w:r>
                <w:rPr>
                  <w:rStyle w:val="InternetLink"/>
                  <w:rFonts w:ascii="Times New Roman;serif" w:hAnsi="Times New Roman;serif"/>
                  <w:b w:val="false"/>
                  <w:strike w:val="false"/>
                  <w:dstrike w:val="false"/>
                  <w:color w:val="000000"/>
                  <w:sz w:val="20"/>
                  <w:u w:val="none"/>
                  <w:effect w:val="none"/>
                </w:rPr>
                <w:t>31</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69817c53ebf4d3ca51518a34a55e638_115">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18">
              <w:r>
                <w:rPr>
                  <w:rStyle w:val="InternetLink"/>
                  <w:rFonts w:ascii="Times New Roman;serif" w:hAnsi="Times New Roman;serif"/>
                  <w:b w:val="false"/>
                  <w:strike w:val="false"/>
                  <w:dstrike w:val="false"/>
                  <w:color w:val="000000"/>
                  <w:sz w:val="20"/>
                  <w:u w:val="none"/>
                  <w:effect w:val="none"/>
                </w:rPr>
                <w:t>Item 1.</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18">
              <w:r>
                <w:rPr>
                  <w:rStyle w:val="InternetLink"/>
                  <w:rFonts w:ascii="Times New Roman;serif" w:hAnsi="Times New Roman;serif"/>
                  <w:b w:val="false"/>
                  <w:strike w:val="false"/>
                  <w:dstrike w:val="false"/>
                  <w:color w:val="000000"/>
                  <w:sz w:val="20"/>
                  <w:u w:val="none"/>
                  <w:effect w:val="none"/>
                </w:rPr>
                <w:t>Legal Proceedings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18">
              <w:r>
                <w:rPr>
                  <w:rStyle w:val="InternetLink"/>
                  <w:rFonts w:ascii="Times New Roman;serif" w:hAnsi="Times New Roman;serif"/>
                  <w:b w:val="false"/>
                  <w:strike w:val="false"/>
                  <w:dstrike w:val="false"/>
                  <w:color w:val="000000"/>
                  <w:sz w:val="20"/>
                  <w:u w:val="none"/>
                  <w:effect w:val="none"/>
                </w:rPr>
                <w:t>32</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21">
              <w:r>
                <w:rPr>
                  <w:rStyle w:val="InternetLink"/>
                  <w:rFonts w:ascii="Times New Roman;serif" w:hAnsi="Times New Roman;serif"/>
                  <w:b w:val="false"/>
                  <w:strike w:val="false"/>
                  <w:dstrike w:val="false"/>
                  <w:color w:val="000000"/>
                  <w:sz w:val="20"/>
                  <w:u w:val="none"/>
                  <w:effect w:val="none"/>
                </w:rPr>
                <w:t>Item 1A.</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21">
              <w:r>
                <w:rPr>
                  <w:rStyle w:val="InternetLink"/>
                  <w:rFonts w:ascii="Times New Roman;serif" w:hAnsi="Times New Roman;serif"/>
                  <w:b w:val="false"/>
                  <w:strike w:val="false"/>
                  <w:dstrike w:val="false"/>
                  <w:color w:val="000000"/>
                  <w:sz w:val="20"/>
                  <w:u w:val="none"/>
                  <w:effect w:val="none"/>
                </w:rPr>
                <w:t>Risk Factors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21">
              <w:r>
                <w:rPr>
                  <w:rStyle w:val="InternetLink"/>
                  <w:rFonts w:ascii="Times New Roman;serif" w:hAnsi="Times New Roman;serif"/>
                  <w:b w:val="false"/>
                  <w:strike w:val="false"/>
                  <w:dstrike w:val="false"/>
                  <w:color w:val="000000"/>
                  <w:sz w:val="20"/>
                  <w:u w:val="none"/>
                  <w:effect w:val="none"/>
                </w:rPr>
                <w:t>32</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24">
              <w:r>
                <w:rPr>
                  <w:rStyle w:val="InternetLink"/>
                  <w:rFonts w:ascii="Times New Roman;serif" w:hAnsi="Times New Roman;serif"/>
                  <w:b w:val="false"/>
                  <w:strike w:val="false"/>
                  <w:dstrike w:val="false"/>
                  <w:color w:val="000000"/>
                  <w:sz w:val="20"/>
                  <w:u w:val="none"/>
                  <w:effect w:val="none"/>
                </w:rPr>
                <w:t>Item 2.</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24">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24">
              <w:r>
                <w:rPr>
                  <w:rStyle w:val="InternetLink"/>
                  <w:rFonts w:ascii="Times New Roman;serif" w:hAnsi="Times New Roman;serif"/>
                  <w:b w:val="false"/>
                  <w:strike w:val="false"/>
                  <w:dstrike w:val="false"/>
                  <w:color w:val="000000"/>
                  <w:sz w:val="20"/>
                  <w:u w:val="none"/>
                  <w:effect w:val="none"/>
                </w:rPr>
                <w:t>51</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27">
              <w:r>
                <w:rPr>
                  <w:rStyle w:val="InternetLink"/>
                  <w:rFonts w:ascii="Times New Roman;serif" w:hAnsi="Times New Roman;serif"/>
                  <w:b w:val="false"/>
                  <w:strike w:val="false"/>
                  <w:dstrike w:val="false"/>
                  <w:color w:val="000000"/>
                  <w:sz w:val="20"/>
                  <w:u w:val="none"/>
                  <w:effect w:val="none"/>
                </w:rPr>
                <w:t>Item 3.</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27">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27">
              <w:r>
                <w:rPr>
                  <w:rStyle w:val="InternetLink"/>
                  <w:rFonts w:ascii="Times New Roman;serif" w:hAnsi="Times New Roman;serif"/>
                  <w:b w:val="false"/>
                  <w:strike w:val="false"/>
                  <w:dstrike w:val="false"/>
                  <w:color w:val="000000"/>
                  <w:sz w:val="20"/>
                  <w:u w:val="none"/>
                  <w:effect w:val="none"/>
                </w:rPr>
                <w:t>51</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30">
              <w:r>
                <w:rPr>
                  <w:rStyle w:val="InternetLink"/>
                  <w:rFonts w:ascii="Times New Roman;serif" w:hAnsi="Times New Roman;serif"/>
                  <w:b w:val="false"/>
                  <w:strike w:val="false"/>
                  <w:dstrike w:val="false"/>
                  <w:color w:val="000000"/>
                  <w:sz w:val="20"/>
                  <w:u w:val="none"/>
                  <w:effect w:val="none"/>
                </w:rPr>
                <w:t>Item 4.</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30">
              <w:r>
                <w:rPr>
                  <w:rStyle w:val="InternetLink"/>
                  <w:rFonts w:ascii="Times New Roman;serif" w:hAnsi="Times New Roman;serif"/>
                  <w:b w:val="false"/>
                  <w:strike w:val="false"/>
                  <w:dstrike w:val="false"/>
                  <w:color w:val="000000"/>
                  <w:sz w:val="20"/>
                  <w:u w:val="none"/>
                  <w:effect w:val="none"/>
                </w:rPr>
                <w:t>Mine Safety Disclosures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30">
              <w:r>
                <w:rPr>
                  <w:rStyle w:val="InternetLink"/>
                  <w:rFonts w:ascii="Times New Roman;serif" w:hAnsi="Times New Roman;serif"/>
                  <w:b w:val="false"/>
                  <w:strike w:val="false"/>
                  <w:dstrike w:val="false"/>
                  <w:color w:val="000000"/>
                  <w:sz w:val="20"/>
                  <w:u w:val="none"/>
                  <w:effect w:val="none"/>
                </w:rPr>
                <w:t>51</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33">
              <w:r>
                <w:rPr>
                  <w:rStyle w:val="InternetLink"/>
                  <w:rFonts w:ascii="Times New Roman;serif" w:hAnsi="Times New Roman;serif"/>
                  <w:b w:val="false"/>
                  <w:strike w:val="false"/>
                  <w:dstrike w:val="false"/>
                  <w:color w:val="000000"/>
                  <w:sz w:val="20"/>
                  <w:u w:val="none"/>
                  <w:effect w:val="none"/>
                </w:rPr>
                <w:t>Item 5.</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33">
              <w:r>
                <w:rPr>
                  <w:rStyle w:val="InternetLink"/>
                  <w:rFonts w:ascii="Times New Roman;serif" w:hAnsi="Times New Roman;serif"/>
                  <w:b w:val="false"/>
                  <w:strike w:val="false"/>
                  <w:dstrike w:val="false"/>
                  <w:color w:val="000000"/>
                  <w:sz w:val="20"/>
                  <w:u w:val="none"/>
                  <w:effect w:val="none"/>
                </w:rPr>
                <w:t>Other Information</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33">
              <w:r>
                <w:rPr>
                  <w:rStyle w:val="InternetLink"/>
                  <w:rFonts w:ascii="Times New Roman;serif" w:hAnsi="Times New Roman;serif"/>
                  <w:b w:val="false"/>
                  <w:strike w:val="false"/>
                  <w:dstrike w:val="false"/>
                  <w:color w:val="000000"/>
                  <w:sz w:val="20"/>
                  <w:u w:val="none"/>
                  <w:effect w:val="none"/>
                </w:rPr>
                <w:t>51</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39">
              <w:r>
                <w:rPr>
                  <w:rStyle w:val="InternetLink"/>
                  <w:rFonts w:ascii="Times New Roman;serif" w:hAnsi="Times New Roman;serif"/>
                  <w:b w:val="false"/>
                  <w:strike w:val="false"/>
                  <w:dstrike w:val="false"/>
                  <w:color w:val="000000"/>
                  <w:sz w:val="20"/>
                  <w:u w:val="none"/>
                  <w:effect w:val="none"/>
                </w:rPr>
                <w:t>Item 6.</w:t>
              </w:r>
            </w:hyperlink>
          </w:p>
        </w:tc>
        <w:tc>
          <w:tcPr>
            <w:tcW w:w="81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39">
              <w:r>
                <w:rPr>
                  <w:rStyle w:val="InternetLink"/>
                  <w:rFonts w:ascii="Times New Roman;serif" w:hAnsi="Times New Roman;serif"/>
                  <w:b w:val="false"/>
                  <w:strike w:val="false"/>
                  <w:dstrike w:val="false"/>
                  <w:color w:val="000000"/>
                  <w:sz w:val="20"/>
                  <w:u w:val="none"/>
                  <w:effect w:val="none"/>
                </w:rPr>
                <w:t>Exhibits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39">
              <w:r>
                <w:rPr>
                  <w:rStyle w:val="InternetLink"/>
                  <w:rFonts w:ascii="Times New Roman;serif" w:hAnsi="Times New Roman;serif"/>
                  <w:b w:val="false"/>
                  <w:strike w:val="false"/>
                  <w:dstrike w:val="false"/>
                  <w:color w:val="000000"/>
                  <w:sz w:val="20"/>
                  <w:u w:val="none"/>
                  <w:effect w:val="none"/>
                </w:rPr>
                <w:t>52</w:t>
              </w:r>
            </w:hyperlink>
          </w:p>
        </w:tc>
      </w:tr>
      <w:tr>
        <w:trPr/>
        <w:tc>
          <w:tcPr>
            <w:tcW w:w="899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69817c53ebf4d3ca51518a34a55e638_142">
              <w:r>
                <w:rPr>
                  <w:rStyle w:val="InternetLink"/>
                  <w:rFonts w:ascii="Times New Roman;serif" w:hAnsi="Times New Roman;serif"/>
                  <w:b w:val="false"/>
                  <w:strike w:val="false"/>
                  <w:dstrike w:val="false"/>
                  <w:color w:val="000000"/>
                  <w:sz w:val="20"/>
                  <w:u w:val="none"/>
                  <w:effect w:val="none"/>
                </w:rPr>
                <w:t>Signatures</w:t>
              </w:r>
            </w:hyperlink>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817c53ebf4d3ca51518a34a55e638_142">
              <w:r>
                <w:rPr>
                  <w:rStyle w:val="InternetLink"/>
                  <w:rFonts w:ascii="Times New Roman;serif" w:hAnsi="Times New Roman;serif"/>
                  <w:b w:val="false"/>
                  <w:strike w:val="false"/>
                  <w:dstrike w:val="false"/>
                  <w:color w:val="000000"/>
                  <w:sz w:val="20"/>
                  <w:u w:val="none"/>
                  <w:effect w:val="none"/>
                </w:rPr>
                <w:t>53</w:t>
              </w:r>
            </w:hyperlink>
          </w:p>
        </w:tc>
      </w:tr>
    </w:tbl>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“Form 10-Q”) contains forward-looking statements within the meaning of the federal securities laws, including, but not limited to, statements regarding (1) the amount, timing and focus of our expected capital investments in 2026, (2) our ability to fund our operating activities and financial requirements for the next twelve months, (3) the effect of changes in revenue levels and capacity utilization on our gross margin, (4) the impact of natural disasters and other calamities, health conditions or pandemics, political instability, hostilities or other disruptions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and our technology leadership and potential growth in our end markets, (18) projects to install or integrate new information technology systems or upgrade our existing systems, (19) our expected revenue recognition, (20) the anticipated benefits from our manufacturing facility in Bac Ninh, Vietnam (the “Vietnam Facility”), (21) the anticipated schedule for construction of our new facility in Arizona, United States (the “Arizona Facility”), (22) the receipt of government awards and incentives and the conditions and obligations thereto, (23) the effects of business, economic, political, legal and regulatory impacts, conflicts or natural disasters on our global operations, (24) the impact of interest rate changes on our investment portfolio and (25) other statements that are not historical facts. You are cautioned not to place undue reliance on forward-looking statements, which are often characterized by terminology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2025 (the “2025 Form 10-K”) and from time to time in our other reports filed with or furnished to the Securities and Exchange Commission (“SEC”). You should carefully consider the trends, risks and uncertainties described in this Form 10-Q, the 2025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977" w:type="dxa"/>
        <w:jc w:val="left"/>
        <w:tblInd w:w="0" w:type="dxa"/>
        <w:tblLayout w:type="fixed"/>
        <w:tblCellMar>
          <w:top w:w="28" w:type="dxa"/>
          <w:left w:w="28" w:type="dxa"/>
          <w:bottom w:w="28" w:type="dxa"/>
          <w:right w:w="28" w:type="dxa"/>
        </w:tblCellMar>
      </w:tblPr>
      <w:tblGrid>
        <w:gridCol w:w="1934"/>
        <w:gridCol w:w="1281"/>
        <w:gridCol w:w="1300"/>
        <w:gridCol w:w="215"/>
        <w:gridCol w:w="998"/>
        <w:gridCol w:w="111"/>
        <w:gridCol w:w="111"/>
        <w:gridCol w:w="111"/>
        <w:gridCol w:w="111"/>
        <w:gridCol w:w="215"/>
        <w:gridCol w:w="998"/>
        <w:gridCol w:w="111"/>
        <w:gridCol w:w="109"/>
        <w:gridCol w:w="109"/>
        <w:gridCol w:w="109"/>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per common share:</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per common share amounts:</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43"/>
        <w:gridCol w:w="2141"/>
        <w:gridCol w:w="2162"/>
        <w:gridCol w:w="260"/>
        <w:gridCol w:w="890"/>
        <w:gridCol w:w="134"/>
        <w:gridCol w:w="134"/>
        <w:gridCol w:w="134"/>
        <w:gridCol w:w="134"/>
        <w:gridCol w:w="260"/>
        <w:gridCol w:w="890"/>
        <w:gridCol w:w="134"/>
        <w:gridCol w:w="109"/>
        <w:gridCol w:w="109"/>
        <w:gridCol w:w="109"/>
        <w:gridCol w:w="162"/>
      </w:tblGrid>
      <w:tr>
        <w:trPr/>
        <w:tc>
          <w:tcPr>
            <w:tcW w:w="244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c>
          <w:tcPr>
            <w:tcW w:w="489" w:type="dxa"/>
            <w:gridSpan w:val="4"/>
            <w:tcBorders/>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unrealized gains (losses) on available-for-sale debt investments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unrealized components of defined benefit pension plans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82,410 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Amkor</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7"/>
        <w:gridCol w:w="2218"/>
        <w:gridCol w:w="2164"/>
        <w:gridCol w:w="211"/>
        <w:gridCol w:w="976"/>
        <w:gridCol w:w="109"/>
        <w:gridCol w:w="109"/>
        <w:gridCol w:w="109"/>
        <w:gridCol w:w="109"/>
        <w:gridCol w:w="225"/>
        <w:gridCol w:w="1042"/>
        <w:gridCol w:w="166"/>
      </w:tblGrid>
      <w:tr>
        <w:trPr/>
        <w:tc>
          <w:tcPr>
            <w:tcW w:w="276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1,378,347 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Short-term investments (amortized cost of $729,328 and $612,344 in 2026 and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613,038 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1,354,825 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437,797 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100,754 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3,884,761 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3,870,808 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right of use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93,449 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67,776 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201,512 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8,298,634 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8,136,309 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EQUITY</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 and 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162,430 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912,766 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243,543 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operating lease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23,140 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370,093 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1,711,972 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1,282,816 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and severance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69,218 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48,549 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517,467 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3,729,492 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3,630,022 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15)</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Preferred stock, $0.001 par value, 10,000 shares authorized, designated Series A, none issued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Common stock, $0.001 par value, 500,000 shares authorized; 294,394 and 293,756 shares issued; and 247,828 and 247,303 shares outstanding in 2026 and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2,054,051 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2,689,683 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2,627,038 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Treasury stock, at cost, 46,566 and 46,453 shares in 2026 and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Amkor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4,533,511 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4,471,106 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 in subsidiaries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4,569,142 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4,506,287 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8,298,634 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8,136,309 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916" w:type="dxa"/>
        <w:jc w:val="left"/>
        <w:tblInd w:w="0" w:type="dxa"/>
        <w:tblLayout w:type="fixed"/>
        <w:tblCellMar>
          <w:top w:w="28" w:type="dxa"/>
          <w:left w:w="28" w:type="dxa"/>
          <w:bottom w:w="28" w:type="dxa"/>
          <w:right w:w="28" w:type="dxa"/>
        </w:tblCellMar>
      </w:tblPr>
      <w:tblGrid>
        <w:gridCol w:w="610"/>
        <w:gridCol w:w="220"/>
        <w:gridCol w:w="221"/>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9"/>
        <w:gridCol w:w="596"/>
        <w:gridCol w:w="121"/>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293,756 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(46,453)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4,506,287 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($0.08352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(20,706)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294,394 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2,060,642 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2,689,683 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(46,566)</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(232,385)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4,533,511 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35,631 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4,569,142 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2916" w:type="dxa"/>
        <w:jc w:val="center"/>
        <w:tblInd w:w="0" w:type="dxa"/>
        <w:tblLayout w:type="fixed"/>
        <w:tblCellMar>
          <w:top w:w="28" w:type="dxa"/>
          <w:left w:w="28" w:type="dxa"/>
          <w:bottom w:w="28" w:type="dxa"/>
          <w:right w:w="28" w:type="dxa"/>
        </w:tblCellMar>
      </w:tblPr>
      <w:tblGrid>
        <w:gridCol w:w="610"/>
        <w:gridCol w:w="220"/>
        <w:gridCol w:w="221"/>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9"/>
        <w:gridCol w:w="596"/>
        <w:gridCol w:w="121"/>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293,052 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4,183,165 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($0.08269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293,482 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2,036,608 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2,335,830 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(46,427)</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(226,352)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4,156,410 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4,190,590 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9"/>
        <w:gridCol w:w="2274"/>
        <w:gridCol w:w="2281"/>
        <w:gridCol w:w="214"/>
        <w:gridCol w:w="995"/>
        <w:gridCol w:w="110"/>
        <w:gridCol w:w="110"/>
        <w:gridCol w:w="110"/>
        <w:gridCol w:w="110"/>
        <w:gridCol w:w="214"/>
        <w:gridCol w:w="995"/>
        <w:gridCol w:w="163"/>
      </w:tblGrid>
      <w:tr>
        <w:trPr/>
        <w:tc>
          <w:tcPr>
            <w:tcW w:w="2629"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 and non-cash items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(157,492)</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property, plant and equipment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(79,897)</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foreign exchange forward contracts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foreign exchange forward contracts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(15,992)</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short-term investments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(169,720)</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investments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147,825 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(334,719)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finance lease obligations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fluctuations on cash, cash equivalents and restricted cash</w:t>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(256,961)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1,134,312 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1,189,162 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1,058,328 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included in capital expenditures payable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unpaid</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operating lease liabilities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finance lease liabilities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acquired through exchange and derecognition of right of use assets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and incentive receivables recognized for qualified capital expenditures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Interim Financial Statements </w:t>
      </w:r>
    </w:p>
    <w:p>
      <w:pPr>
        <w:pStyle w:val="TextBody"/>
        <w:bidi w:val="0"/>
        <w:spacing w:lineRule="auto" w:line="288" w:before="0" w:after="180"/>
        <w:jc w:val="both"/>
        <w:rPr/>
      </w:pPr>
      <w:r>
        <w:rPr>
          <w:rFonts w:ascii="Times New Roman;serif" w:hAnsi="Times New Roman;serif"/>
          <w:b w:val="false"/>
          <w:i/>
          <w:color w:val="000000"/>
          <w:sz w:val="20"/>
        </w:rPr>
        <w:t xml:space="preserve">Basis of Presentation. </w:t>
      </w:r>
      <w:r>
        <w:rPr>
          <w:rFonts w:ascii="Times New Roman;serif" w:hAnsi="Times New Roman;serif"/>
          <w:b w:val="false"/>
          <w:color w:val="000000"/>
          <w:sz w:val="20"/>
        </w:rPr>
        <w:t>The Consolidated Financial Statements and related disclosures as of March 31, 2026, and for the three months ended March 31, 2026 and 2025, contained in this Form 10-Q (the “Consolidated Financial Statements”) are unaudited pursuant to the rules and regulations of the SEC. The December 31, 2025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2025 Form 10-K. The results of operations for the three months ended March 31, 2026 are not necessarily indicative of the results to be expected for the full year ending December 31, 2026. Unless the context otherwise requires, all references to “Amkor,” “we,” “us” or “our” are to Amkor Technology, Inc. and its wholly and majority-owned subsidiaries. Certain prior year amounts have been recast to conform to current year presentation.</w:t>
      </w:r>
    </w:p>
    <w:p>
      <w:pPr>
        <w:pStyle w:val="TextBody"/>
        <w:bidi w:val="0"/>
        <w:spacing w:lineRule="auto" w:line="288" w:before="0" w:after="180"/>
        <w:jc w:val="both"/>
        <w:rPr/>
      </w:pPr>
      <w:r>
        <w:rPr>
          <w:rFonts w:ascii="Times New Roman;serif" w:hAnsi="Times New Roman;serif"/>
          <w:b w:val="false"/>
          <w:i/>
          <w:color w:val="000000"/>
          <w:sz w:val="20"/>
        </w:rPr>
        <w:t xml:space="preserve">Use of Estimates. </w:t>
      </w:r>
      <w:r>
        <w:rPr>
          <w:rFonts w:ascii="Times New Roman;serif" w:hAnsi="Times New Roman;serif"/>
          <w:b w:val="false"/>
          <w:color w:val="000000"/>
          <w:sz w:val="20"/>
        </w:rPr>
        <w:t>The Consolidated Financial Statements have been prepared in conformity with U.S. GAAP, using management’s best estimates and 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pStyle w:val="TextBody"/>
        <w:bidi w:val="0"/>
        <w:spacing w:lineRule="auto" w:line="276" w:before="0" w:after="180"/>
        <w:jc w:val="both"/>
        <w:rPr/>
      </w:pPr>
      <w:r>
        <w:rPr>
          <w:rFonts w:ascii="Times New Roman;serif" w:hAnsi="Times New Roman;serif"/>
          <w:b w:val="false"/>
          <w:i/>
          <w:color w:val="000000"/>
          <w:sz w:val="20"/>
        </w:rPr>
        <w:t>Restricted Cash.</w:t>
      </w:r>
      <w:r>
        <w:rPr>
          <w:color w:val="000000"/>
        </w:rPr>
        <w:t xml:space="preserve"> </w:t>
      </w:r>
      <w:r>
        <w:rPr>
          <w:rFonts w:ascii="Times New Roman;serif" w:hAnsi="Times New Roman;serif"/>
          <w:b w:val="false"/>
          <w:color w:val="000000"/>
          <w:sz w:val="20"/>
        </w:rPr>
        <w:t>Restricted cash mainly consists of collateral to fulfill construction requirements and funds to be used exclusively for labor costs.</w:t>
      </w:r>
    </w:p>
    <w:p>
      <w:pPr>
        <w:pStyle w:val="TextBody"/>
        <w:bidi w:val="0"/>
        <w:spacing w:lineRule="auto" w:line="276" w:before="0" w:after="180"/>
        <w:jc w:val="both"/>
        <w:rPr/>
      </w:pP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Total long-term finance lease liabilities as of March 31, 2026 and December 31, 2025 were $94.6 million and $105.0 million, respectively.</w:t>
      </w:r>
    </w:p>
    <w:p>
      <w:pPr>
        <w:pStyle w:val="TextBody"/>
        <w:bidi w:val="0"/>
        <w:spacing w:lineRule="auto" w:line="276" w:before="0" w:after="180"/>
        <w:jc w:val="both"/>
        <w:rPr/>
      </w:pPr>
      <w:r>
        <w:rPr>
          <w:rFonts w:ascii="Times New Roman;serif" w:hAnsi="Times New Roman;serif"/>
          <w:b w:val="false"/>
          <w:i/>
          <w:color w:val="000000"/>
          <w:sz w:val="20"/>
        </w:rPr>
        <w:t xml:space="preserve">Goodwill. </w:t>
      </w:r>
      <w:r>
        <w:rPr>
          <w:rFonts w:ascii="Times New Roman;serif" w:hAnsi="Times New Roman;serif"/>
          <w:b w:val="false"/>
          <w:color w:val="000000"/>
          <w:sz w:val="20"/>
        </w:rPr>
        <w:t>The balance of goodwill in the Consolidated Balance Sheets contained in this Form 10-Q reflects adjustments for foreign currency translation.</w:t>
      </w:r>
    </w:p>
    <w:p>
      <w:pPr>
        <w:pStyle w:val="TextBody"/>
        <w:bidi w:val="0"/>
        <w:spacing w:lineRule="auto" w:line="288" w:before="0" w:after="180"/>
        <w:jc w:val="both"/>
        <w:rPr/>
      </w:pPr>
      <w:r>
        <w:rPr>
          <w:rFonts w:ascii="Times New Roman;serif" w:hAnsi="Times New Roman;serif"/>
          <w:b w:val="false"/>
          <w:i/>
          <w:color w:val="000000"/>
          <w:sz w:val="20"/>
        </w:rPr>
        <w:t>Unbilled Receivables</w:t>
      </w:r>
      <w:r>
        <w:rPr>
          <w:rFonts w:ascii="Times New Roman;serif" w:hAnsi="Times New Roman;serif"/>
          <w:b w:val="false"/>
          <w:color w:val="000000"/>
          <w:sz w:val="20"/>
        </w:rPr>
        <w:t>. Total unbilled receivables as of March 31, 2026 and December 31, 2025 were $276.3 million and $294.1 million, respectively.</w:t>
      </w:r>
    </w:p>
    <w:p>
      <w:pPr>
        <w:pStyle w:val="TextBody"/>
        <w:bidi w:val="0"/>
        <w:spacing w:lineRule="auto" w:line="276" w:before="0" w:after="180"/>
        <w:jc w:val="both"/>
        <w:rPr/>
      </w:pP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Contract liabilities were $392.4 million and $390.8 million as of March 31, 2026 and December 31, 2025, respectively. As of March 31, 2026 and December 31, 2025, the short-term portions of the liabilities were $81.8 million and $69.6 million, respectively. Of the remaining contract liability balance as of March 31, 2026, $283.8 million is expected to be recognized in revenue over the next 1-5 years, and $26.8 million over the next 5-10 years. Revenue recognized during the three months ended March 31, 2026 and 2025 that was included in the contract liabilities balance at the beginning of the period was $16.8 million and $15.2 million, respectively. As of March 31, 2026, $100.0 million of standby letters of credit were issued and outstanding related to customer advance payments received.</w:t>
      </w:r>
    </w:p>
    <w:p>
      <w:pPr>
        <w:pStyle w:val="TextBody"/>
        <w:bidi w:val="0"/>
        <w:spacing w:lineRule="auto" w:line="288" w:before="0" w:after="180"/>
        <w:jc w:val="both"/>
        <w:rPr/>
      </w:pPr>
      <w:r>
        <w:rPr>
          <w:rFonts w:ascii="Times New Roman;serif" w:hAnsi="Times New Roman;serif"/>
          <w:b w:val="false"/>
          <w:i/>
          <w:color w:val="000000"/>
          <w:sz w:val="20"/>
        </w:rPr>
        <w:t xml:space="preserve">Grant Accounting. </w:t>
      </w:r>
      <w:r>
        <w:rPr>
          <w:rFonts w:ascii="Times New Roman;serif" w:hAnsi="Times New Roman;serif"/>
          <w:b w:val="false"/>
          <w:color w:val="000000"/>
          <w:sz w:val="20"/>
        </w:rPr>
        <w:t>From time to time, we may receive grants from governmental agencies. We recognize grants in our financial statements when there is reasonable assurance that we will comply with conditions attached to the grants and the grants will be received. Investment tax credits and grants receivable recorded reduce the carrying amounts of the qualifying property, plant and equipment in our Consolidated Balance Sheets. The following table presents investment tax credits and grants receivable as of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057" w:type="dxa"/>
        <w:jc w:val="left"/>
        <w:tblInd w:w="0" w:type="dxa"/>
        <w:tblLayout w:type="fixed"/>
        <w:tblCellMar>
          <w:top w:w="28" w:type="dxa"/>
          <w:left w:w="28" w:type="dxa"/>
          <w:bottom w:w="28" w:type="dxa"/>
          <w:right w:w="28" w:type="dxa"/>
        </w:tblCellMar>
      </w:tblPr>
      <w:tblGrid>
        <w:gridCol w:w="1060"/>
        <w:gridCol w:w="931"/>
        <w:gridCol w:w="934"/>
        <w:gridCol w:w="255"/>
        <w:gridCol w:w="873"/>
        <w:gridCol w:w="132"/>
        <w:gridCol w:w="109"/>
        <w:gridCol w:w="109"/>
        <w:gridCol w:w="109"/>
        <w:gridCol w:w="300"/>
        <w:gridCol w:w="1026"/>
        <w:gridCol w:w="219"/>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tax credits recorded in:</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receivable recorded in:</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i/>
          <w:color w:val="000000"/>
          <w:sz w:val="20"/>
        </w:rPr>
        <w:t xml:space="preserve">Recently Issued Standards.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which was subsequently amended and clarified. ASU 2024-03 requires disaggregation of key expense categories such as inventory purchases, employee compensation, depreciation and intangible asset amortization in the financial statements. ASU 2024-03 is effective for annual reporting periods beginning after December 15, 2026, and interim periods within annual reporting periods beginning after December 15, 2027. Early adoption is permitted. Adoption of this ASU should be applied either prospectively after the effective date or retrospectively to any or all periods presented in the financial statements. We are currently evaluating the impact of this new standard on our financial statements, which is expected to result in enhanced disclosures.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w:t>
      </w:r>
      <w:r>
        <w:rPr>
          <w:color w:val="000000"/>
        </w:rPr>
        <w:t xml:space="preserve"> </w:t>
      </w:r>
      <w:r>
        <w:rPr>
          <w:rFonts w:ascii="Times New Roman;serif" w:hAnsi="Times New Roman;serif"/>
          <w:b w:val="false"/>
          <w:color w:val="000000"/>
          <w:sz w:val="20"/>
        </w:rPr>
        <w:t>(“ASU 2025-06”).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We are currently evaluating the impact of this new standard on our financial statements and disclosures.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w:t>
      </w:r>
      <w:r>
        <w:rPr>
          <w:color w:val="000000"/>
        </w:rPr>
        <w:t xml:space="preserve"> </w:t>
      </w:r>
      <w:r>
        <w:rPr>
          <w:rFonts w:ascii="Times New Roman;serif" w:hAnsi="Times New Roman;serif"/>
          <w:b w:val="false"/>
          <w:color w:val="000000"/>
          <w:sz w:val="20"/>
        </w:rPr>
        <w:t>(“ASU 2025-10”). ASU 2025-10 provides guidance on the accounting for government grants received by a business entity, including grants related to assets and grants related to income. ASU 2025-10 is effective for annual reporting periods beginning after December 15, 2028, and interim periods within those annual reporting periods. Early adoption is permitted as of the beginning of an annual reporting period. Adoption of this ASU should be applied using the following transition methods: (i) a modified prospective approach for government grants that are entered into on or after, or not complete as of, the effective date; (ii) a modified retrospective approach for government grants that are entered into on or after, or not complete as of, the beginning of earliest period presented; or (iii) a retrospective approach for all government grants. We are currently evaluating the impact of this new standard on our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2.</w:t>
      </w:r>
      <w:r>
        <w:rPr>
          <w:color w:val="000000"/>
        </w:rPr>
        <w:t>    </w:t>
      </w:r>
      <w:r>
        <w:rPr>
          <w:rFonts w:ascii="Times New Roman;serif" w:hAnsi="Times New Roman;serif"/>
          <w:b/>
          <w:color w:val="000000"/>
          <w:sz w:val="20"/>
        </w:rPr>
        <w:t>Business Segments, Product Groups and End Markets</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profit or loss and significant segment expenses for our single operating segment:</w:t>
      </w:r>
    </w:p>
    <w:tbl>
      <w:tblPr>
        <w:tblW w:w="6417" w:type="dxa"/>
        <w:jc w:val="left"/>
        <w:tblInd w:w="0" w:type="dxa"/>
        <w:tblLayout w:type="fixed"/>
        <w:tblCellMar>
          <w:top w:w="28" w:type="dxa"/>
          <w:left w:w="28" w:type="dxa"/>
          <w:bottom w:w="28" w:type="dxa"/>
          <w:right w:w="28" w:type="dxa"/>
        </w:tblCellMar>
      </w:tblPr>
      <w:tblGrid>
        <w:gridCol w:w="1067"/>
        <w:gridCol w:w="934"/>
        <w:gridCol w:w="954"/>
        <w:gridCol w:w="215"/>
        <w:gridCol w:w="998"/>
        <w:gridCol w:w="111"/>
        <w:gridCol w:w="111"/>
        <w:gridCol w:w="111"/>
        <w:gridCol w:w="111"/>
        <w:gridCol w:w="215"/>
        <w:gridCol w:w="998"/>
        <w:gridCol w:w="111"/>
        <w:gridCol w:w="109"/>
        <w:gridCol w:w="109"/>
        <w:gridCol w:w="109"/>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cost of sales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901,773 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 of sales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cost of sales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Other segment items include interest income, foreign currency (gain) loss, net and other (income) expense.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other balances included in net income or that are regularly provided to the Chief Operating Decision Maker (CODM):</w:t>
      </w:r>
    </w:p>
    <w:tbl>
      <w:tblPr>
        <w:tblW w:w="6763" w:type="dxa"/>
        <w:jc w:val="left"/>
        <w:tblInd w:w="0" w:type="dxa"/>
        <w:tblLayout w:type="fixed"/>
        <w:tblCellMar>
          <w:top w:w="28" w:type="dxa"/>
          <w:left w:w="28" w:type="dxa"/>
          <w:bottom w:w="28" w:type="dxa"/>
          <w:right w:w="28" w:type="dxa"/>
        </w:tblCellMar>
      </w:tblPr>
      <w:tblGrid>
        <w:gridCol w:w="1195"/>
        <w:gridCol w:w="1047"/>
        <w:gridCol w:w="1057"/>
        <w:gridCol w:w="261"/>
        <w:gridCol w:w="893"/>
        <w:gridCol w:w="135"/>
        <w:gridCol w:w="135"/>
        <w:gridCol w:w="135"/>
        <w:gridCol w:w="135"/>
        <w:gridCol w:w="261"/>
        <w:gridCol w:w="893"/>
        <w:gridCol w:w="135"/>
        <w:gridCol w:w="109"/>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232" w:type="dxa"/>
        <w:jc w:val="left"/>
        <w:tblInd w:w="0" w:type="dxa"/>
        <w:tblLayout w:type="fixed"/>
        <w:tblCellMar>
          <w:top w:w="28" w:type="dxa"/>
          <w:left w:w="28" w:type="dxa"/>
          <w:bottom w:w="28" w:type="dxa"/>
          <w:right w:w="28" w:type="dxa"/>
        </w:tblCellMar>
      </w:tblPr>
      <w:tblGrid>
        <w:gridCol w:w="385"/>
        <w:gridCol w:w="338"/>
        <w:gridCol w:w="341"/>
        <w:gridCol w:w="211"/>
        <w:gridCol w:w="976"/>
        <w:gridCol w:w="109"/>
        <w:gridCol w:w="109"/>
        <w:gridCol w:w="109"/>
        <w:gridCol w:w="109"/>
        <w:gridCol w:w="243"/>
        <w:gridCol w:w="1125"/>
        <w:gridCol w:w="17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8,136,309 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net sales by product group:</w:t>
      </w:r>
    </w:p>
    <w:tbl>
      <w:tblPr>
        <w:tblW w:w="5561" w:type="dxa"/>
        <w:jc w:val="center"/>
        <w:tblInd w:w="0" w:type="dxa"/>
        <w:tblLayout w:type="fixed"/>
        <w:tblCellMar>
          <w:top w:w="28" w:type="dxa"/>
          <w:left w:w="28" w:type="dxa"/>
          <w:bottom w:w="28" w:type="dxa"/>
          <w:right w:w="28" w:type="dxa"/>
        </w:tblCellMar>
      </w:tblPr>
      <w:tblGrid>
        <w:gridCol w:w="759"/>
        <w:gridCol w:w="668"/>
        <w:gridCol w:w="672"/>
        <w:gridCol w:w="215"/>
        <w:gridCol w:w="998"/>
        <w:gridCol w:w="111"/>
        <w:gridCol w:w="111"/>
        <w:gridCol w:w="111"/>
        <w:gridCol w:w="111"/>
        <w:gridCol w:w="215"/>
        <w:gridCol w:w="998"/>
        <w:gridCol w:w="111"/>
        <w:gridCol w:w="109"/>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products (1)</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Mainstream products (2)</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1,684,701 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1,321,575 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Advanced products include flip chip, memory and wafer-level processing and related test services.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Mainstream products include all other wirebond packaging and related test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1"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end market consist of the following:</w:t>
      </w:r>
    </w:p>
    <w:tbl>
      <w:tblPr>
        <w:tblW w:w="9854" w:type="dxa"/>
        <w:jc w:val="center"/>
        <w:tblInd w:w="0" w:type="dxa"/>
        <w:tblLayout w:type="fixed"/>
        <w:tblCellMar>
          <w:top w:w="28" w:type="dxa"/>
          <w:left w:w="28" w:type="dxa"/>
          <w:bottom w:w="28" w:type="dxa"/>
          <w:right w:w="28" w:type="dxa"/>
        </w:tblCellMar>
      </w:tblPr>
      <w:tblGrid>
        <w:gridCol w:w="2314"/>
        <w:gridCol w:w="2036"/>
        <w:gridCol w:w="2040"/>
        <w:gridCol w:w="249"/>
        <w:gridCol w:w="249"/>
        <w:gridCol w:w="620"/>
        <w:gridCol w:w="249"/>
        <w:gridCol w:w="249"/>
        <w:gridCol w:w="249"/>
        <w:gridCol w:w="249"/>
        <w:gridCol w:w="249"/>
        <w:gridCol w:w="620"/>
        <w:gridCol w:w="109"/>
        <w:gridCol w:w="109"/>
        <w:gridCol w:w="109"/>
        <w:gridCol w:w="154"/>
      </w:tblGrid>
      <w:tr>
        <w:trPr/>
        <w:tc>
          <w:tcPr>
            <w:tcW w:w="231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 (smartphones, tablets)</w:t>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Computing (data center, infrastructure, PC/laptop, storage)</w:t>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industrial and other (ADAS, electrification, infotainment, safety)</w:t>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(AR &amp; gaming, connected home, home electronics, wearables)</w:t>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3.</w:t>
      </w:r>
      <w:r>
        <w:rPr>
          <w:color w:val="000000"/>
        </w:rPr>
        <w:t>    </w:t>
      </w:r>
      <w:r>
        <w:rPr>
          <w:rFonts w:ascii="Times New Roman;serif" w:hAnsi="Times New Roman;serif"/>
          <w:b/>
          <w:color w:val="000000"/>
          <w:sz w:val="20"/>
        </w:rPr>
        <w:t>Other Income and Expense</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 and expense consist of the following:</w:t>
      </w:r>
    </w:p>
    <w:tbl>
      <w:tblPr>
        <w:tblW w:w="6298" w:type="dxa"/>
        <w:jc w:val="left"/>
        <w:tblInd w:w="0" w:type="dxa"/>
        <w:tblLayout w:type="fixed"/>
        <w:tblCellMar>
          <w:top w:w="28" w:type="dxa"/>
          <w:left w:w="28" w:type="dxa"/>
          <w:bottom w:w="28" w:type="dxa"/>
          <w:right w:w="28" w:type="dxa"/>
        </w:tblCellMar>
      </w:tblPr>
      <w:tblGrid>
        <w:gridCol w:w="1027"/>
        <w:gridCol w:w="899"/>
        <w:gridCol w:w="908"/>
        <w:gridCol w:w="246"/>
        <w:gridCol w:w="928"/>
        <w:gridCol w:w="127"/>
        <w:gridCol w:w="127"/>
        <w:gridCol w:w="127"/>
        <w:gridCol w:w="127"/>
        <w:gridCol w:w="246"/>
        <w:gridCol w:w="928"/>
        <w:gridCol w:w="127"/>
        <w:gridCol w:w="109"/>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4.    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of $12.3 million for the three months ended March 31, 2026 reflects income taxes, foreign withholding taxes, minimum taxes and certain tax credits.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Unrecognized tax benefits represent reserves for potential tax deficiencies or reductions in tax benefits that could result from federal, state or foreign tax audits. Gross unrecognized tax benefits were $36.8 million and $36.1 million as of March 31, 2026 and December 31, 2025, respectively. As of March 31, 2026, $34.4 million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tax returns that are open to examination in various jurisdictions for tax years 2013-2025. The open years contain matters that could be subject to differing interpretations of applicable tax laws and regulations related to the amount and/or timing of income, deductions and tax credits. There can be no assurance that the outcome of examinations will be favorable. In certain circumstances where we elect to appeal the results of an examination, we may be required to make tax assessment payments to proceed with the administrative appeal process. Current examinations include 2021 and 2023 Philippine income tax returns, 2022-2024 Japan income tax returns and 2020-2021 California income tax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5.    Earnings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Diluted EPS is computed based on the weighted-average number of common shares outstanding plus the effect of dilutive potential common shares outstanding during the period. Dilutive potential common shares include outstanding stock options, performance-vested restricted stock units (“PSUs”) and time-vested restricted stock units (“RSUs”).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EPS:</w:t>
      </w:r>
    </w:p>
    <w:tbl>
      <w:tblPr>
        <w:tblW w:w="8984" w:type="dxa"/>
        <w:jc w:val="left"/>
        <w:tblInd w:w="0" w:type="dxa"/>
        <w:tblLayout w:type="fixed"/>
        <w:tblCellMar>
          <w:top w:w="28" w:type="dxa"/>
          <w:left w:w="28" w:type="dxa"/>
          <w:bottom w:w="28" w:type="dxa"/>
          <w:right w:w="28" w:type="dxa"/>
        </w:tblCellMar>
      </w:tblPr>
      <w:tblGrid>
        <w:gridCol w:w="2000"/>
        <w:gridCol w:w="1758"/>
        <w:gridCol w:w="1762"/>
        <w:gridCol w:w="261"/>
        <w:gridCol w:w="893"/>
        <w:gridCol w:w="135"/>
        <w:gridCol w:w="135"/>
        <w:gridCol w:w="135"/>
        <w:gridCol w:w="135"/>
        <w:gridCol w:w="261"/>
        <w:gridCol w:w="893"/>
        <w:gridCol w:w="135"/>
        <w:gridCol w:w="109"/>
        <w:gridCol w:w="109"/>
        <w:gridCol w:w="109"/>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 xml:space="preserve">(In thousands, </w:t>
              <w:br/>
              <w:t>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common stockholders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diluted</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249,570 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per common share:</w:t>
            </w:r>
          </w:p>
        </w:tc>
        <w:tc>
          <w:tcPr>
            <w:tcW w:w="12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shares of common stock that were excluded from diluted EPS because the effect of including these potential shares was anti-dilutive:</w:t>
      </w:r>
    </w:p>
    <w:tbl>
      <w:tblPr>
        <w:tblW w:w="5155" w:type="dxa"/>
        <w:jc w:val="left"/>
        <w:tblInd w:w="0" w:type="dxa"/>
        <w:tblLayout w:type="fixed"/>
        <w:tblCellMar>
          <w:top w:w="28" w:type="dxa"/>
          <w:left w:w="28" w:type="dxa"/>
          <w:bottom w:w="28" w:type="dxa"/>
          <w:right w:w="28" w:type="dxa"/>
        </w:tblCellMar>
      </w:tblPr>
      <w:tblGrid>
        <w:gridCol w:w="614"/>
        <w:gridCol w:w="540"/>
        <w:gridCol w:w="541"/>
        <w:gridCol w:w="331"/>
        <w:gridCol w:w="331"/>
        <w:gridCol w:w="331"/>
        <w:gridCol w:w="331"/>
        <w:gridCol w:w="331"/>
        <w:gridCol w:w="331"/>
        <w:gridCol w:w="331"/>
        <w:gridCol w:w="331"/>
        <w:gridCol w:w="331"/>
        <w:gridCol w:w="109"/>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Accumulated Other Comprehensive Income (Loss)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(loss), net of tax, consist of the following:</w:t>
      </w:r>
    </w:p>
    <w:tbl>
      <w:tblPr>
        <w:tblW w:w="10205" w:type="dxa"/>
        <w:jc w:val="center"/>
        <w:tblInd w:w="0" w:type="dxa"/>
        <w:tblLayout w:type="fixed"/>
        <w:tblCellMar>
          <w:top w:w="28" w:type="dxa"/>
          <w:left w:w="28" w:type="dxa"/>
          <w:bottom w:w="28" w:type="dxa"/>
          <w:right w:w="28" w:type="dxa"/>
        </w:tblCellMar>
      </w:tblPr>
      <w:tblGrid>
        <w:gridCol w:w="1060"/>
        <w:gridCol w:w="885"/>
        <w:gridCol w:w="889"/>
        <w:gridCol w:w="560"/>
        <w:gridCol w:w="1679"/>
        <w:gridCol w:w="291"/>
        <w:gridCol w:w="109"/>
        <w:gridCol w:w="109"/>
        <w:gridCol w:w="109"/>
        <w:gridCol w:w="272"/>
        <w:gridCol w:w="932"/>
        <w:gridCol w:w="140"/>
        <w:gridCol w:w="109"/>
        <w:gridCol w:w="109"/>
        <w:gridCol w:w="109"/>
        <w:gridCol w:w="306"/>
        <w:gridCol w:w="960"/>
        <w:gridCol w:w="158"/>
        <w:gridCol w:w="109"/>
        <w:gridCol w:w="109"/>
        <w:gridCol w:w="109"/>
        <w:gridCol w:w="211"/>
        <w:gridCol w:w="721"/>
        <w:gridCol w:w="160"/>
      </w:tblGrid>
      <w:tr>
        <w:trPr/>
        <w:tc>
          <w:tcPr>
            <w:tcW w:w="10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Debt Investments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December 31, 2025</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March 31, 2026</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0"/>
        <w:gridCol w:w="885"/>
        <w:gridCol w:w="889"/>
        <w:gridCol w:w="665"/>
        <w:gridCol w:w="1519"/>
        <w:gridCol w:w="345"/>
        <w:gridCol w:w="109"/>
        <w:gridCol w:w="109"/>
        <w:gridCol w:w="109"/>
        <w:gridCol w:w="272"/>
        <w:gridCol w:w="932"/>
        <w:gridCol w:w="140"/>
        <w:gridCol w:w="109"/>
        <w:gridCol w:w="109"/>
        <w:gridCol w:w="109"/>
        <w:gridCol w:w="306"/>
        <w:gridCol w:w="960"/>
        <w:gridCol w:w="158"/>
        <w:gridCol w:w="109"/>
        <w:gridCol w:w="109"/>
        <w:gridCol w:w="109"/>
        <w:gridCol w:w="211"/>
        <w:gridCol w:w="721"/>
        <w:gridCol w:w="161"/>
      </w:tblGrid>
      <w:tr>
        <w:trPr/>
        <w:tc>
          <w:tcPr>
            <w:tcW w:w="10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Debt Investments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December 31, 2024</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March 31, 2025</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Amounts reclassified out of accumulated other comprehensive income (loss) are included as other (income) expense, net (Note 3). </w:t>
      </w:r>
    </w:p>
    <w:p>
      <w:pPr>
        <w:pStyle w:val="TextBody"/>
        <w:bidi w:val="0"/>
        <w:spacing w:lineRule="auto" w:line="288" w:before="0" w:after="180"/>
        <w:ind w:left="0" w:right="0" w:hanging="360"/>
        <w:jc w:val="both"/>
        <w:rPr/>
      </w:pPr>
      <w:r>
        <w:rPr>
          <w:rFonts w:ascii="Times New Roman;serif" w:hAnsi="Times New Roman;serif"/>
          <w:b w:val="false"/>
          <w:color w:val="000000"/>
          <w:sz w:val="20"/>
        </w:rPr>
        <w:t>(2)    Amounts reclassified out of accumulated other comprehensive income (loss) are included as a component of net periodic pension cost (Note 12) or other (income) expense, net (Note 3)</w:t>
      </w:r>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both"/>
        <w:rPr/>
      </w:pPr>
      <w:r>
        <w:rPr>
          <w:rFonts w:ascii="Times New Roman;serif" w:hAnsi="Times New Roman;serif"/>
          <w:b w:val="false"/>
          <w:color w:val="000000"/>
          <w:sz w:val="20"/>
          <w:shd w:fill="FFFFFF" w:val="clear"/>
        </w:rPr>
        <w:t>(3)    Foreign currency translation includes the gain (loss) from net investment hedges (</w:t>
      </w:r>
      <w:r>
        <w:rPr>
          <w:rFonts w:ascii="Times New Roman;serif" w:hAnsi="Times New Roman;serif"/>
          <w:b w:val="false"/>
          <w:color w:val="000000"/>
          <w:sz w:val="20"/>
        </w:rPr>
        <w:t>Note 13</w:t>
      </w:r>
      <w:r>
        <w:rPr>
          <w:rFonts w:ascii="Times New Roman;serif" w:hAnsi="Times New Roman;serif"/>
          <w:b w:val="false"/>
          <w:color w:val="000000"/>
          <w:sz w:val="20"/>
          <w:shd w:fill="FFFFFF" w:val="clear"/>
        </w:rPr>
        <w:t>).</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7.    Investments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of our available-for-sale debt investments as of March 31, 2026 are available to fund current operations and are recorded at fair value (Note 14).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equivalents and available-for-sale debt investments:</w:t>
      </w:r>
    </w:p>
    <w:tbl>
      <w:tblPr>
        <w:tblW w:w="10205" w:type="dxa"/>
        <w:jc w:val="center"/>
        <w:tblInd w:w="0" w:type="dxa"/>
        <w:tblLayout w:type="fixed"/>
        <w:tblCellMar>
          <w:top w:w="28" w:type="dxa"/>
          <w:left w:w="28" w:type="dxa"/>
          <w:bottom w:w="28" w:type="dxa"/>
          <w:right w:w="28" w:type="dxa"/>
        </w:tblCellMar>
      </w:tblPr>
      <w:tblGrid>
        <w:gridCol w:w="859"/>
        <w:gridCol w:w="452"/>
        <w:gridCol w:w="420"/>
        <w:gridCol w:w="213"/>
        <w:gridCol w:w="837"/>
        <w:gridCol w:w="110"/>
        <w:gridCol w:w="109"/>
        <w:gridCol w:w="109"/>
        <w:gridCol w:w="109"/>
        <w:gridCol w:w="276"/>
        <w:gridCol w:w="612"/>
        <w:gridCol w:w="144"/>
        <w:gridCol w:w="109"/>
        <w:gridCol w:w="109"/>
        <w:gridCol w:w="109"/>
        <w:gridCol w:w="246"/>
        <w:gridCol w:w="758"/>
        <w:gridCol w:w="127"/>
        <w:gridCol w:w="109"/>
        <w:gridCol w:w="109"/>
        <w:gridCol w:w="109"/>
        <w:gridCol w:w="216"/>
        <w:gridCol w:w="845"/>
        <w:gridCol w:w="111"/>
        <w:gridCol w:w="109"/>
        <w:gridCol w:w="109"/>
        <w:gridCol w:w="109"/>
        <w:gridCol w:w="211"/>
        <w:gridCol w:w="826"/>
        <w:gridCol w:w="109"/>
        <w:gridCol w:w="109"/>
        <w:gridCol w:w="109"/>
        <w:gridCol w:w="109"/>
        <w:gridCol w:w="211"/>
        <w:gridCol w:w="826"/>
        <w:gridCol w:w="161"/>
      </w:tblGrid>
      <w:tr>
        <w:trPr/>
        <w:tc>
          <w:tcPr>
            <w:tcW w:w="85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74"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demand notes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380,969 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demand notes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991,766 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989,756 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615,361 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51"/>
        <w:gridCol w:w="422"/>
        <w:gridCol w:w="388"/>
        <w:gridCol w:w="211"/>
        <w:gridCol w:w="976"/>
        <w:gridCol w:w="109"/>
        <w:gridCol w:w="109"/>
        <w:gridCol w:w="109"/>
        <w:gridCol w:w="109"/>
        <w:gridCol w:w="260"/>
        <w:gridCol w:w="577"/>
        <w:gridCol w:w="136"/>
        <w:gridCol w:w="109"/>
        <w:gridCol w:w="109"/>
        <w:gridCol w:w="109"/>
        <w:gridCol w:w="262"/>
        <w:gridCol w:w="601"/>
        <w:gridCol w:w="136"/>
        <w:gridCol w:w="109"/>
        <w:gridCol w:w="109"/>
        <w:gridCol w:w="109"/>
        <w:gridCol w:w="211"/>
        <w:gridCol w:w="977"/>
        <w:gridCol w:w="109"/>
        <w:gridCol w:w="109"/>
        <w:gridCol w:w="109"/>
        <w:gridCol w:w="109"/>
        <w:gridCol w:w="211"/>
        <w:gridCol w:w="826"/>
        <w:gridCol w:w="109"/>
        <w:gridCol w:w="109"/>
        <w:gridCol w:w="109"/>
        <w:gridCol w:w="109"/>
        <w:gridCol w:w="211"/>
        <w:gridCol w:w="826"/>
        <w:gridCol w:w="161"/>
      </w:tblGrid>
      <w:tr>
        <w:trPr/>
        <w:tc>
          <w:tcPr>
            <w:tcW w:w="85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44"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demand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demand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491,960 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556,388 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(2)For the three months ended March 31, 2026 and 2025, we sold cash equivalent investments for proceeds of $2.0 million and $2.0 million, respectively, and realized no gain or loss on such sales.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following table summarizes the contractual maturities of our cash equivalents and available-for-sale debt investments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w:t>
      </w:r>
    </w:p>
    <w:tbl>
      <w:tblPr>
        <w:tblW w:w="7186" w:type="dxa"/>
        <w:jc w:val="left"/>
        <w:tblInd w:w="0" w:type="dxa"/>
        <w:tblLayout w:type="fixed"/>
        <w:tblCellMar>
          <w:top w:w="28" w:type="dxa"/>
          <w:left w:w="28" w:type="dxa"/>
          <w:bottom w:w="28" w:type="dxa"/>
          <w:right w:w="28" w:type="dxa"/>
        </w:tblCellMar>
      </w:tblPr>
      <w:tblGrid>
        <w:gridCol w:w="1167"/>
        <w:gridCol w:w="1026"/>
        <w:gridCol w:w="1031"/>
        <w:gridCol w:w="109"/>
        <w:gridCol w:w="109"/>
        <w:gridCol w:w="109"/>
        <w:gridCol w:w="229"/>
        <w:gridCol w:w="898"/>
        <w:gridCol w:w="118"/>
        <w:gridCol w:w="109"/>
        <w:gridCol w:w="109"/>
        <w:gridCol w:w="109"/>
        <w:gridCol w:w="211"/>
        <w:gridCol w:w="826"/>
        <w:gridCol w:w="109"/>
        <w:gridCol w:w="109"/>
        <w:gridCol w:w="109"/>
        <w:gridCol w:w="109"/>
        <w:gridCol w:w="109"/>
        <w:gridCol w:w="109"/>
        <w:gridCol w:w="109"/>
        <w:gridCol w:w="109"/>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 year through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and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991,766 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Actual maturities can differ from contractual maturities due to various factors including whether the issuers have the right to call or prepay obligations without call or prepayment penalties, and we view our available-for-sale debt investments as available for current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amortized cost and the fair market value of our held-to-maturity government bonds (Level 1) maturing within a year were $3.9 million for both periods.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Factoring of Accounts Receivable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months ended March 31, 2026 and 2025, we sold receivables totaling $20.9 million and $9.4 million, respectively, net of discounts and fees, which were insignificant for the respective periods.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9.    Property, Plant and Equipment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consist of the following:</w:t>
      </w:r>
    </w:p>
    <w:tbl>
      <w:tblPr>
        <w:tblW w:w="6858" w:type="dxa"/>
        <w:jc w:val="left"/>
        <w:tblInd w:w="0" w:type="dxa"/>
        <w:tblLayout w:type="fixed"/>
        <w:tblCellMar>
          <w:top w:w="28" w:type="dxa"/>
          <w:left w:w="28" w:type="dxa"/>
          <w:bottom w:w="28" w:type="dxa"/>
          <w:right w:w="28" w:type="dxa"/>
        </w:tblCellMar>
      </w:tblPr>
      <w:tblGrid>
        <w:gridCol w:w="1336"/>
        <w:gridCol w:w="1171"/>
        <w:gridCol w:w="1183"/>
        <w:gridCol w:w="211"/>
        <w:gridCol w:w="976"/>
        <w:gridCol w:w="109"/>
        <w:gridCol w:w="109"/>
        <w:gridCol w:w="109"/>
        <w:gridCol w:w="109"/>
        <w:gridCol w:w="243"/>
        <w:gridCol w:w="1125"/>
        <w:gridCol w:w="177"/>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247,450 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2,353,344 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7,946,040 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other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computer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229,769 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11,263,430 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(7,392,622)</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3,870,808 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depreciation expense:</w:t>
      </w:r>
    </w:p>
    <w:tbl>
      <w:tblPr>
        <w:tblW w:w="5338" w:type="dxa"/>
        <w:jc w:val="left"/>
        <w:tblInd w:w="0" w:type="dxa"/>
        <w:tblLayout w:type="fixed"/>
        <w:tblCellMar>
          <w:top w:w="28" w:type="dxa"/>
          <w:left w:w="28" w:type="dxa"/>
          <w:bottom w:w="28" w:type="dxa"/>
          <w:right w:w="28" w:type="dxa"/>
        </w:tblCellMar>
      </w:tblPr>
      <w:tblGrid>
        <w:gridCol w:w="679"/>
        <w:gridCol w:w="597"/>
        <w:gridCol w:w="599"/>
        <w:gridCol w:w="240"/>
        <w:gridCol w:w="941"/>
        <w:gridCol w:w="124"/>
        <w:gridCol w:w="124"/>
        <w:gridCol w:w="124"/>
        <w:gridCol w:w="124"/>
        <w:gridCol w:w="240"/>
        <w:gridCol w:w="941"/>
        <w:gridCol w:w="124"/>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7"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10.    Accrued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7180" w:type="dxa"/>
        <w:jc w:val="left"/>
        <w:tblInd w:w="0" w:type="dxa"/>
        <w:tblLayout w:type="fixed"/>
        <w:tblCellMar>
          <w:top w:w="28" w:type="dxa"/>
          <w:left w:w="28" w:type="dxa"/>
          <w:bottom w:w="28" w:type="dxa"/>
          <w:right w:w="28" w:type="dxa"/>
        </w:tblCellMar>
      </w:tblPr>
      <w:tblGrid>
        <w:gridCol w:w="1465"/>
        <w:gridCol w:w="1290"/>
        <w:gridCol w:w="1295"/>
        <w:gridCol w:w="232"/>
        <w:gridCol w:w="908"/>
        <w:gridCol w:w="119"/>
        <w:gridCol w:w="109"/>
        <w:gridCol w:w="109"/>
        <w:gridCol w:w="109"/>
        <w:gridCol w:w="273"/>
        <w:gridCol w:w="1072"/>
        <w:gridCol w:w="199"/>
      </w:tblGrid>
      <w:tr>
        <w:trPr/>
        <w:tc>
          <w:tcPr>
            <w:tcW w:w="14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147,910 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customer advances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69,611 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32,845 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finance lease liability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44,046 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severance plan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59,713 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370,093 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11.    Debt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Short-term borrowings and long-term debt consist of the following:</w:t>
      </w:r>
    </w:p>
    <w:tbl>
      <w:tblPr>
        <w:tblW w:w="10205" w:type="dxa"/>
        <w:jc w:val="left"/>
        <w:tblInd w:w="0" w:type="dxa"/>
        <w:tblLayout w:type="fixed"/>
        <w:tblCellMar>
          <w:top w:w="28" w:type="dxa"/>
          <w:left w:w="28" w:type="dxa"/>
          <w:bottom w:w="28" w:type="dxa"/>
          <w:right w:w="28" w:type="dxa"/>
        </w:tblCellMar>
      </w:tblPr>
      <w:tblGrid>
        <w:gridCol w:w="2557"/>
        <w:gridCol w:w="2244"/>
        <w:gridCol w:w="2252"/>
        <w:gridCol w:w="211"/>
        <w:gridCol w:w="976"/>
        <w:gridCol w:w="109"/>
        <w:gridCol w:w="109"/>
        <w:gridCol w:w="109"/>
        <w:gridCol w:w="109"/>
        <w:gridCol w:w="240"/>
        <w:gridCol w:w="1112"/>
        <w:gridCol w:w="177"/>
      </w:tblGrid>
      <w:tr>
        <w:trPr/>
        <w:tc>
          <w:tcPr>
            <w:tcW w:w="255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of Amkor Technology, Inc.: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5.875% Senior notes, due October 2033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2025 Revolving Credit Facility, applicable bank rate plus 1.75%, due May 2030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A Loans, applicable bank rate plus 1.75%, 5.45% as of March 31, 2026, due May 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of subsidiaries: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Amkor Technology Korea, Inc.: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 fixed rate at 3.95%, due May 2027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2.12%, due December 2028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Amkor Technology Japan, Inc.: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term loans, variable rate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1.23%, due December 2026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1.59%, due December 2027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1.80%, due December 2028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 fixed rate at 2.05%, due December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 fixed rate at 2.42%, due December 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1,456,171 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deferred debt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borrowings and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(162,430)</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1,282,816 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 May 2025, we entered into a $1.0 billion senior secured revolving credit facility (the “2025 Revolving Credit Facility”) guaranteed by Amkor Technology Singapore Holding Pte. Ltd. (“ATSH”) and Guardian Assets, Inc. (“Guardian”). The maximum borrowing capacity under the 2025 Revolving Credit Facility is $1.0 billion. The 2025 Revolving Credit Facility includes an uncommitted optional accordion of up to $200.0 million, which may be incurred in the form of revolving commitment increases or term loans. As of March 31, 2026, $1.0 billion was available for future borrowings under the 2025 Revolving Credit Facility.</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 May 2024, we entered into a ₩80.0 billion (approximately $59 million) term loan agreement with the option to borrow and re-borrow the funds up to six times per year through May 2027. Principal is payable at maturity, and interest is payable monthly at a fixed rate of 3.95%. As of March 31, 2026, ₩80.0 billion, or approximately $53 million, was available to be drawn.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(3)We entered into various short-term term loans which mature semiannually. Principal and interest are payable in monthly installments. As of March 31, 2026, $3.2 million was available to be drawn.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debt is collateralized by the land, buildings, equipment and capital stock of subsidiaries. As of March 31, 2026, the collateralized debt balance was $924.5 million, of which $625.6 million of assets and subsidiary capital stock were pledged as collateral.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debt of Amkor Technology, Inc. is structurally subordinated in right of payment to all existing and future debt and other liabilities of our subsidiaries. From time to time, Amkor Technology, Inc., ATSH and Guardian guarantee certain indebtedness. The agreements governing our indebtedness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all debt covenants at March 31, 2026.</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Pension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Defined Benefit Pension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W w:w="6045" w:type="dxa"/>
        <w:jc w:val="left"/>
        <w:tblInd w:w="0" w:type="dxa"/>
        <w:tblLayout w:type="fixed"/>
        <w:tblCellMar>
          <w:top w:w="28" w:type="dxa"/>
          <w:left w:w="28" w:type="dxa"/>
          <w:bottom w:w="28" w:type="dxa"/>
          <w:right w:w="28" w:type="dxa"/>
        </w:tblCellMar>
      </w:tblPr>
      <w:tblGrid>
        <w:gridCol w:w="933"/>
        <w:gridCol w:w="820"/>
        <w:gridCol w:w="827"/>
        <w:gridCol w:w="286"/>
        <w:gridCol w:w="836"/>
        <w:gridCol w:w="148"/>
        <w:gridCol w:w="148"/>
        <w:gridCol w:w="148"/>
        <w:gridCol w:w="148"/>
        <w:gridCol w:w="286"/>
        <w:gridCol w:w="836"/>
        <w:gridCol w:w="148"/>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gain</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expense</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pension cost other than the service cost component are included in other (income) expense, net in our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9" name="Frame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Defined Contribution Pension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sponsor defined contribution pension plans in Korea, Malaysia, Taiwan and the U.S. The following table summarizes our defined contribution expense: </w:t>
      </w:r>
    </w:p>
    <w:tbl>
      <w:tblPr>
        <w:tblW w:w="5998" w:type="dxa"/>
        <w:jc w:val="center"/>
        <w:tblInd w:w="0" w:type="dxa"/>
        <w:tblLayout w:type="fixed"/>
        <w:tblCellMar>
          <w:top w:w="28" w:type="dxa"/>
          <w:left w:w="28" w:type="dxa"/>
          <w:bottom w:w="28" w:type="dxa"/>
          <w:right w:w="28" w:type="dxa"/>
        </w:tblCellMar>
      </w:tblPr>
      <w:tblGrid>
        <w:gridCol w:w="917"/>
        <w:gridCol w:w="806"/>
        <w:gridCol w:w="811"/>
        <w:gridCol w:w="273"/>
        <w:gridCol w:w="934"/>
        <w:gridCol w:w="141"/>
        <w:gridCol w:w="141"/>
        <w:gridCol w:w="141"/>
        <w:gridCol w:w="141"/>
        <w:gridCol w:w="273"/>
        <w:gridCol w:w="798"/>
        <w:gridCol w:w="141"/>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expense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13.    Derivatives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hedge certain net investment positions in foreign subsidiaries. To accomplish this, we enter into foreign currency forward contracts, generally settled monthly, that are designated as hedges of net investments.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our foreign exchange forward contracts consisted of the following:</w:t>
      </w:r>
    </w:p>
    <w:tbl>
      <w:tblPr>
        <w:tblW w:w="10205" w:type="dxa"/>
        <w:jc w:val="center"/>
        <w:tblInd w:w="0" w:type="dxa"/>
        <w:tblLayout w:type="fixed"/>
        <w:tblCellMar>
          <w:top w:w="28" w:type="dxa"/>
          <w:left w:w="28" w:type="dxa"/>
          <w:bottom w:w="28" w:type="dxa"/>
          <w:right w:w="28" w:type="dxa"/>
        </w:tblCellMar>
      </w:tblPr>
      <w:tblGrid>
        <w:gridCol w:w="822"/>
        <w:gridCol w:w="645"/>
        <w:gridCol w:w="523"/>
        <w:gridCol w:w="213"/>
        <w:gridCol w:w="834"/>
        <w:gridCol w:w="110"/>
        <w:gridCol w:w="109"/>
        <w:gridCol w:w="109"/>
        <w:gridCol w:w="109"/>
        <w:gridCol w:w="243"/>
        <w:gridCol w:w="711"/>
        <w:gridCol w:w="125"/>
        <w:gridCol w:w="109"/>
        <w:gridCol w:w="109"/>
        <w:gridCol w:w="109"/>
        <w:gridCol w:w="398"/>
        <w:gridCol w:w="328"/>
        <w:gridCol w:w="330"/>
        <w:gridCol w:w="109"/>
        <w:gridCol w:w="109"/>
        <w:gridCol w:w="109"/>
        <w:gridCol w:w="213"/>
        <w:gridCol w:w="834"/>
        <w:gridCol w:w="110"/>
        <w:gridCol w:w="109"/>
        <w:gridCol w:w="109"/>
        <w:gridCol w:w="109"/>
        <w:gridCol w:w="237"/>
        <w:gridCol w:w="731"/>
        <w:gridCol w:w="122"/>
        <w:gridCol w:w="109"/>
        <w:gridCol w:w="109"/>
        <w:gridCol w:w="109"/>
        <w:gridCol w:w="302"/>
        <w:gridCol w:w="302"/>
        <w:gridCol w:w="437"/>
      </w:tblGrid>
      <w:tr>
        <w:trPr/>
        <w:tc>
          <w:tcPr>
            <w:tcW w:w="82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5"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color w:val="000000"/>
                <w:sz w:val="20"/>
              </w:rPr>
            </w:pPr>
            <w:r>
              <w:rPr>
                <w:rFonts w:ascii="Times New Roman;serif" w:hAnsi="Times New Roman;serif"/>
                <w:b/>
                <w:color w:val="000000"/>
                <w:sz w:val="20"/>
              </w:rPr>
              <w:t>Forward contracts not designated as hedging instruments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dollar</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Korean won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 peso</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dollar</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forward contracts not designated as hedging instruments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397,791 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415,223 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3"/>
        <w:gridCol w:w="727"/>
        <w:gridCol w:w="652"/>
        <w:gridCol w:w="213"/>
        <w:gridCol w:w="834"/>
        <w:gridCol w:w="110"/>
        <w:gridCol w:w="109"/>
        <w:gridCol w:w="109"/>
        <w:gridCol w:w="109"/>
        <w:gridCol w:w="250"/>
        <w:gridCol w:w="597"/>
        <w:gridCol w:w="129"/>
        <w:gridCol w:w="109"/>
        <w:gridCol w:w="109"/>
        <w:gridCol w:w="109"/>
        <w:gridCol w:w="399"/>
        <w:gridCol w:w="329"/>
        <w:gridCol w:w="330"/>
        <w:gridCol w:w="109"/>
        <w:gridCol w:w="109"/>
        <w:gridCol w:w="109"/>
        <w:gridCol w:w="213"/>
        <w:gridCol w:w="834"/>
        <w:gridCol w:w="110"/>
        <w:gridCol w:w="109"/>
        <w:gridCol w:w="109"/>
        <w:gridCol w:w="109"/>
        <w:gridCol w:w="259"/>
        <w:gridCol w:w="572"/>
        <w:gridCol w:w="133"/>
        <w:gridCol w:w="109"/>
        <w:gridCol w:w="109"/>
        <w:gridCol w:w="109"/>
        <w:gridCol w:w="303"/>
        <w:gridCol w:w="303"/>
        <w:gridCol w:w="440"/>
      </w:tblGrid>
      <w:tr>
        <w:trPr/>
        <w:tc>
          <w:tcPr>
            <w:tcW w:w="83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3"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color w:val="000000"/>
                <w:sz w:val="20"/>
              </w:rPr>
            </w:pPr>
            <w:r>
              <w:rPr>
                <w:rFonts w:ascii="Times New Roman;serif" w:hAnsi="Times New Roman;serif"/>
                <w:b/>
                <w:color w:val="000000"/>
                <w:sz w:val="20"/>
              </w:rPr>
              <w:t>Forward contracts designated as net investment hedging instruments</w:t>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forward contracts designated as net investment hedging instruments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20"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we incurred a net loss of $3.6 million and $2.9 million, respectively, due to the impact of derivatives not designated as hedging instruments, which includes the forward costs, and the revaluation of the related hedged items.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gain or loss recognized on our derivatives designated as net investment hedging instruments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535"/>
        <w:gridCol w:w="1350"/>
        <w:gridCol w:w="1355"/>
        <w:gridCol w:w="1007"/>
        <w:gridCol w:w="918"/>
        <w:gridCol w:w="921"/>
        <w:gridCol w:w="109"/>
        <w:gridCol w:w="109"/>
        <w:gridCol w:w="109"/>
        <w:gridCol w:w="255"/>
        <w:gridCol w:w="746"/>
        <w:gridCol w:w="131"/>
        <w:gridCol w:w="131"/>
        <w:gridCol w:w="131"/>
        <w:gridCol w:w="131"/>
        <w:gridCol w:w="255"/>
        <w:gridCol w:w="818"/>
        <w:gridCol w:w="194"/>
      </w:tblGrid>
      <w:tr>
        <w:trPr/>
        <w:tc>
          <w:tcPr>
            <w:tcW w:w="153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4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on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between forward rate and spot rate of the forward contracts</w:t>
            </w:r>
          </w:p>
        </w:tc>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forward contracts</w:t>
            </w:r>
          </w:p>
        </w:tc>
        <w:tc>
          <w:tcPr>
            <w:tcW w:w="2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14.    Fair Value Measurements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derivative financial instruments are valued using quoted market prices for similar assets. Counterparties to these derivative contracts are highly rated financial institutions.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measure certain assets and liabilities, including property, plant and equipment and goodwill, at fair value on a nonrecurring basis.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We measure the fair value of our debt for disclosure purposes. The following table presents the fair value of our debt:</w:t>
      </w:r>
    </w:p>
    <w:tbl>
      <w:tblPr>
        <w:tblW w:w="10205" w:type="dxa"/>
        <w:jc w:val="left"/>
        <w:tblInd w:w="0" w:type="dxa"/>
        <w:tblLayout w:type="fixed"/>
        <w:tblCellMar>
          <w:top w:w="28" w:type="dxa"/>
          <w:left w:w="28" w:type="dxa"/>
          <w:bottom w:w="28" w:type="dxa"/>
          <w:right w:w="28" w:type="dxa"/>
        </w:tblCellMar>
      </w:tblPr>
      <w:tblGrid>
        <w:gridCol w:w="1465"/>
        <w:gridCol w:w="1258"/>
        <w:gridCol w:w="127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6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(Level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493,457 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 and term loans (Level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951,789 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1,445,246 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1"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15.    Commitments and Contingencies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generally warrant that our services will be performed in a professional and workmanlike manner and in compliance with our customers’ specifications. We accrue costs for known warranty issues. Historically, our warranty costs have been immaterial.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on our business, liquidity, results of operations, financial condition or cash flows. Our evaluation of the potential impact of these claims and legal proceedings could change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enter into various contracts related to the construction and development of our manufacturing facilities. As of March 31, 2026, the remaining commitments under these contracts were approximately $468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2"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Amkor is the world’s largest U.S. headquartered outsourced semiconductor assembly and test provider (“OSAT”). We are an industry leader in developing and commercializing advanced packaging and test technologies, which we believe provide substantial value to our customers. Our primary financial objective is profitable sales growth. To achieve this goal, we are focused on leveraging our technology leadership and innovation, providing our customers with a geographically diverse manufacturing footprint, partnering with lead customers in the key markets of high-performance computing (“HPC”) and artificial intelligence (“AI”), automotive, Internet-of-Things (“IoT”) and mobile communications, selectively growing our scale and scope through strategic investments and optimizing utilization of existing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Amkor is a global leader in advanced semiconductor packaging and test technologies. Our technology leadership encompasses areas such as high density fan-out (“HDFO”), 2.5D integration, advanced flip chip, fine pitch bumping, wafer-level processing and advanced system-in-package (“SiP”) solutions which support the industry’s drive toward smaller form factors, higher integration, improved performance and lower power consumption. We provide turnkey solutions that include package design, wafer bump, wafer probe, wafer back-grind, packaging, burn-in, system level and final test and drop shipment services. Our extensive line of packaging and test services covers analog, digital, logic, mixed signal, memory, sensors and radio frequency devices. This breadth of services allows customers to limit the number of suppliers and focus their resources on semiconductor design and wafer fabrication. Our commitment to technology leadership is reinforced by ongoing investment in research and development, and we intend to continue to leverage our investments in advanced technology to meet the demand for these services in key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Amkor’s broad and strategically located manufacturing footprint is a key differentiator, enabling us to deliver flexible, resilient and cost-effective solutions to customers worldwide. With facilities located in key manufacturing regions in Asia and Europe, we provide customers with multiple options to mitigate risk, diversify supply chains and support regionalization initiatives. As a U.S. headquartered OSAT, we are expanding our manufacturing footprint with the construction of a new facility in Arizona. Construction began in the second half of 2025, and we believe that this investment will strengthen our ability to serve customers seeking to regionalize their supply chains and will enhance our participation in U.S. semiconductor initiatives. In addition, we continue to scale production in our Vietnam facility, which opened in 2024, further increasing our capacity and operational flexibility in Asia. Our scale and geographic diversity allow us to qualify production at multiple sites, optimize asset utilization and absorb large orders with quick turnaround times.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Amkor has built long-standing relationships with most of the world’s leading semiconductor companies over the last five decades. Our operational excellence, high quality, reliability and predictability have been key to attracting and retaining customers. Our collaborative approach enables us to work closely with customers and suppliers to co-develop proprietary process technologies, accelerate time-to-market, improve quality and lower costs. We work closely with lead customers to deliver advanced packaging solutions tailored to evolving industry needs.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High performance computing supporting artificial intelligence and increasing demand for improved networking speed and storage within data centers, cloud computing, PCs and laptops are driving increasing demand for semiconductors and advanced packaging in the computing end market. Increasing semiconductor content in automobiles is driving demand for advanced packaging to enable safety features such as advanced driver assistance systems (“ADAS”), in-car computing, radar and digital cockpit features such as infotainment displays and telematics. Increasing battery voltage, higher voltage power converters, onboard chargers, automotive inverter components and microcontrollers also require innovative power packaging solutions. Hearables, watches and augmented and virtual reality devices integrate multiple functions, such as processors, sensors and connectivity devices, into small form factors, which requires innovation in advanced packaging. We have a strong position across multiple device functionalities within premium and high-tier smartphones. We are collaborating with industry leaders as smartphones transition to include artificial intelligence and drive semiconductor growth through the adoption of new wireless standards, integration of a broad range of applications, enhanced features and higher performance requirements to support increased data processing. The trend to greater functionality drives miniaturization and innovation enabled by advanced packaging.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supplier in the semiconductor industry, our business is cyclical and impacted by broad economic factors. Historical trends indicate there has been a strong correlation between worldwide gross domestic product levels, consumer spending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and semiconductor industry cycles. The semiconductor industry has experienced significant and sometimes prolonged cyclical upturns and downturns in the past. We cannot predict the timing, strength or duration of any correction, economic slowdown, recession or subsequent economic recovery.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 other investments and servicing principal and interest obligations with respect to our debt, from cash flows from our operations, existing cash and cash equivalents, borrowings under available debt facilities and/or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 As of March 31, 2026, we had cash and cash equivalents and short-term investments of $1,121.2 million and $727.3 million,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and cash flows have historically fluctuated significantly from quarter to quarter due to many factors, including the seasonality of our business, the cyclical nature of the semiconductor industry and other factors discussed in the “Risk Factors” section in Part II, Item 1A of this Form 10-Q. We continue to monitor the recent changes in global trade policy, including tariffs and related trade actions announced by the U.S. and other countries. The degree to which such tariffs and other related actions impact our business, financial condition and results of operations will depend on future developments, which are uncertain. We will continue to make prudent investments, and we will closely manage capacity expansion and control costs in response to any changes in market conditions.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Financial 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sales increased $363.1 million, or 27.5%, to $1,684.7 million for the three months ended March 31, 2026 compared to $1,321.6 million for the three months ended March 31, 2025, primarily due to growth across all end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margin for the three months ended March 31, 2026 increased to 14.2% compared to 11.9% for the three months ended March 31, 2025. The increase in gross margin was primarily due to higher factory utilization driven by the increase in net sales, partially offset by an increase in the proportion of products sold with higher material content and increased overhead and employee compensation costs.</w:t>
      </w:r>
    </w:p>
    <w:p>
      <w:pPr>
        <w:pStyle w:val="TextBody"/>
        <w:bidi w:val="0"/>
        <w:spacing w:lineRule="auto" w:line="288" w:before="0" w:after="180"/>
        <w:jc w:val="both"/>
        <w:rPr/>
      </w:pPr>
      <w:r>
        <w:rPr>
          <w:rFonts w:ascii="Times New Roman;serif" w:hAnsi="Times New Roman;serif"/>
          <w:b w:val="false"/>
          <w:color w:val="000000"/>
          <w:sz w:val="20"/>
        </w:rPr>
        <w:t xml:space="preserve">Operating income margin for the three months ended March 31, 2026 increased to 6.0% compared to 2.4% for the three months ended March 31, 2025, </w:t>
      </w:r>
      <w:r>
        <w:rPr>
          <w:rFonts w:ascii="Times New Roman;serif" w:hAnsi="Times New Roman;serif"/>
          <w:b w:val="false"/>
          <w:color w:val="000000"/>
          <w:sz w:val="20"/>
          <w:shd w:fill="FFFFFF" w:val="clear"/>
        </w:rPr>
        <w:t xml:space="preserve">primarily due to the increase </w:t>
      </w:r>
      <w:r>
        <w:rPr>
          <w:rFonts w:ascii="Times New Roman;serif" w:hAnsi="Times New Roman;serif"/>
          <w:b w:val="false"/>
          <w:color w:val="000000"/>
          <w:sz w:val="20"/>
        </w:rPr>
        <w:t>in our gross margin discussed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totaled $224.6 million for the three months ended March 31, 2026 compared to $79.9 million for the three months ended March 31, 2025. Our spending was primarily focused on investments in advanced packaging and test equipment and the Arizona Facility.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$145.1 million for the three months ended March 31, 2026 compared to $24.1 million for the three months ended March 31, 2025. This increase was primarily due to higher operating profits and changes in working capital.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operating data as a percentage of net sales for the periods indicated:</w:t>
      </w:r>
    </w:p>
    <w:tbl>
      <w:tblPr>
        <w:tblW w:w="6105" w:type="dxa"/>
        <w:jc w:val="left"/>
        <w:tblInd w:w="0" w:type="dxa"/>
        <w:tblLayout w:type="fixed"/>
        <w:tblCellMar>
          <w:top w:w="28" w:type="dxa"/>
          <w:left w:w="28" w:type="dxa"/>
          <w:bottom w:w="28" w:type="dxa"/>
          <w:right w:w="28" w:type="dxa"/>
        </w:tblCellMar>
      </w:tblPr>
      <w:tblGrid>
        <w:gridCol w:w="952"/>
        <w:gridCol w:w="838"/>
        <w:gridCol w:w="759"/>
        <w:gridCol w:w="278"/>
        <w:gridCol w:w="278"/>
        <w:gridCol w:w="599"/>
        <w:gridCol w:w="255"/>
        <w:gridCol w:w="255"/>
        <w:gridCol w:w="255"/>
        <w:gridCol w:w="278"/>
        <w:gridCol w:w="278"/>
        <w:gridCol w:w="599"/>
        <w:gridCol w:w="109"/>
        <w:gridCol w:w="109"/>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manufacturing costs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Amkor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Sales</w:t>
      </w:r>
    </w:p>
    <w:tbl>
      <w:tblPr>
        <w:tblW w:w="6778" w:type="dxa"/>
        <w:jc w:val="left"/>
        <w:tblInd w:w="0" w:type="dxa"/>
        <w:tblLayout w:type="fixed"/>
        <w:tblCellMar>
          <w:top w:w="28" w:type="dxa"/>
          <w:left w:w="28" w:type="dxa"/>
          <w:bottom w:w="28" w:type="dxa"/>
          <w:right w:w="28" w:type="dxa"/>
        </w:tblCellMar>
      </w:tblPr>
      <w:tblGrid>
        <w:gridCol w:w="276"/>
        <w:gridCol w:w="243"/>
        <w:gridCol w:w="246"/>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256"/>
        <w:gridCol w:w="109"/>
        <w:gridCol w:w="109"/>
        <w:gridCol w:w="109"/>
        <w:gridCol w:w="109"/>
        <w:gridCol w:w="109"/>
        <w:gridCol w:w="109"/>
        <w:gridCol w:w="109"/>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6"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net sales for the three months ended March 31, 2026 compared to the three months ended March 31, 2025 was primarily due to growth across all end markets. The communications and automotive and industrial end markets grew 42% and 28%, respectively, for the three months ended March 31, 2026 compared to 2025, primarily driven by increased supported content in premium tier smartphones and growth in ADAS and industrial applications, respectively. The computing and consumer end markets grew 19% and 4%, respectively, for the three months ended March 31, 2026 compared to 2025, primarily driven by strength in datacenter and traditional consumer products,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5921" w:type="dxa"/>
        <w:jc w:val="left"/>
        <w:tblInd w:w="0" w:type="dxa"/>
        <w:tblLayout w:type="fixed"/>
        <w:tblCellMar>
          <w:top w:w="28" w:type="dxa"/>
          <w:left w:w="28" w:type="dxa"/>
          <w:bottom w:w="28" w:type="dxa"/>
          <w:right w:w="28" w:type="dxa"/>
        </w:tblCellMar>
      </w:tblPr>
      <w:tblGrid>
        <w:gridCol w:w="396"/>
        <w:gridCol w:w="348"/>
        <w:gridCol w:w="350"/>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699" w:type="dxa"/>
            <w:gridSpan w:val="6"/>
            <w:tcBorders/>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and gross margin increased for the three months ended March 31, 2026 compared to the three months ended March 31, 2025, primarily due to higher factory utilization driven by the increase in net sales, partially offset by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increase in the proportion of products sold with higher material content and increased overhead and employee compensation costs.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tbl>
      <w:tblPr>
        <w:tblW w:w="8023" w:type="dxa"/>
        <w:jc w:val="left"/>
        <w:tblInd w:w="0" w:type="dxa"/>
        <w:tblLayout w:type="fixed"/>
        <w:tblCellMar>
          <w:top w:w="28" w:type="dxa"/>
          <w:left w:w="28" w:type="dxa"/>
          <w:bottom w:w="28" w:type="dxa"/>
          <w:right w:w="28" w:type="dxa"/>
        </w:tblCellMar>
      </w:tblPr>
      <w:tblGrid>
        <w:gridCol w:w="923"/>
        <w:gridCol w:w="812"/>
        <w:gridCol w:w="81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256"/>
        <w:gridCol w:w="109"/>
        <w:gridCol w:w="109"/>
        <w:gridCol w:w="109"/>
        <w:gridCol w:w="109"/>
        <w:gridCol w:w="109"/>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6"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Selling, general and administrative expenses increased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 xml:space="preserve">three months ended March 31, 2025, primarily due to increased employee compensation and software-related costs.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7452" w:type="dxa"/>
        <w:jc w:val="left"/>
        <w:tblInd w:w="0" w:type="dxa"/>
        <w:tblLayout w:type="fixed"/>
        <w:tblCellMar>
          <w:top w:w="28" w:type="dxa"/>
          <w:left w:w="28" w:type="dxa"/>
          <w:bottom w:w="28" w:type="dxa"/>
          <w:right w:w="28" w:type="dxa"/>
        </w:tblCellMar>
      </w:tblPr>
      <w:tblGrid>
        <w:gridCol w:w="728"/>
        <w:gridCol w:w="640"/>
        <w:gridCol w:w="642"/>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24"/>
        <w:gridCol w:w="226"/>
        <w:gridCol w:w="256"/>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for the three months ended March 31, 2026 compared to the three months ended March 31, 2025, primarily due to projects moving into production, partially offset by development projects in new advanced packaging technologies.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and Expense</w:t>
      </w:r>
    </w:p>
    <w:tbl>
      <w:tblPr>
        <w:tblW w:w="7961" w:type="dxa"/>
        <w:jc w:val="center"/>
        <w:tblInd w:w="0" w:type="dxa"/>
        <w:tblLayout w:type="fixed"/>
        <w:tblCellMar>
          <w:top w:w="28" w:type="dxa"/>
          <w:left w:w="28" w:type="dxa"/>
          <w:bottom w:w="28" w:type="dxa"/>
          <w:right w:w="28" w:type="dxa"/>
        </w:tblCellMar>
      </w:tblPr>
      <w:tblGrid>
        <w:gridCol w:w="877"/>
        <w:gridCol w:w="773"/>
        <w:gridCol w:w="779"/>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9"/>
        <w:gridCol w:w="271"/>
        <w:gridCol w:w="256"/>
        <w:gridCol w:w="109"/>
        <w:gridCol w:w="109"/>
        <w:gridCol w:w="109"/>
        <w:gridCol w:w="109"/>
        <w:gridCol w:w="109"/>
        <w:gridCol w:w="109"/>
        <w:gridCol w:w="109"/>
        <w:gridCol w:w="154"/>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total other expense, net have remained consistent between the three months ended March 31, 2026 and the three months ended March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5540" w:type="dxa"/>
        <w:jc w:val="left"/>
        <w:tblInd w:w="0" w:type="dxa"/>
        <w:tblLayout w:type="fixed"/>
        <w:tblCellMar>
          <w:top w:w="28" w:type="dxa"/>
          <w:left w:w="28" w:type="dxa"/>
          <w:bottom w:w="28" w:type="dxa"/>
          <w:right w:w="28" w:type="dxa"/>
        </w:tblCellMar>
      </w:tblPr>
      <w:tblGrid>
        <w:gridCol w:w="548"/>
        <w:gridCol w:w="482"/>
        <w:gridCol w:w="484"/>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which includes foreign withholding taxes, minimum taxes and certain tax credits, reflects the applicable tax rates in effect in the various countries where our income is earned and is subject to volatility depending on the relative mix of earnings in each location. Income tax expense increased for the three months ended March 31, 2026 compared to the three months ended March 31, 2025, primarily due to an increase in income before income taxes.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our subsidiaries in Singapore and Vietnam operated under various conditional reduced tax rates. The conditional reduced tax rates granted to certain operations in Korea expired during 2025. As these conditional reduced tax rates expire, income earned in these jurisdictions will be subject to higher statutory income tax rates, which may cause our effective tax rate to increase.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4 to our Consolidated Financial Statements in Part 1, Item 1 of this Form 10-Q for additional information about our income tax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II, Item 1A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 </w:t>
      </w:r>
    </w:p>
    <w:p>
      <w:pPr>
        <w:pStyle w:val="TextBody"/>
        <w:bidi w:val="0"/>
        <w:spacing w:lineRule="auto" w:line="288" w:before="0" w:after="180"/>
        <w:jc w:val="both"/>
        <w:rPr/>
      </w:pPr>
      <w:r>
        <w:rPr>
          <w:rFonts w:ascii="Times New Roman;serif" w:hAnsi="Times New Roman;serif"/>
          <w:b w:val="false"/>
          <w:color w:val="000000"/>
          <w:sz w:val="20"/>
        </w:rPr>
        <w:t>As of March 31, 2026, we had cash and cash e</w:t>
      </w:r>
      <w:r>
        <w:rPr>
          <w:rFonts w:ascii="Times New Roman;serif" w:hAnsi="Times New Roman;serif"/>
          <w:b w:val="false"/>
          <w:color w:val="000000"/>
          <w:sz w:val="20"/>
          <w:shd w:fill="FFFFFF" w:val="clear"/>
        </w:rPr>
        <w:t>quivalents and short-term investments of $1,848.5 million. Included in our cash and short-term investments balances as of March 31, 2026 is</w:t>
      </w:r>
      <w:r>
        <w:rPr>
          <w:color w:val="000000"/>
        </w:rPr>
        <w:t xml:space="preserve"> </w:t>
      </w:r>
      <w:r>
        <w:rPr>
          <w:rFonts w:ascii="Times New Roman;serif" w:hAnsi="Times New Roman;serif"/>
          <w:b w:val="false"/>
          <w:color w:val="000000"/>
          <w:sz w:val="20"/>
        </w:rPr>
        <w:t xml:space="preserve">$1,400.4 million held offshore by our foreign subsidiaries. We have the ability to access cash held offshore by our foreign subsidiaries primarily through the repayment of intercompany debt obligations. If we were to distribute this offshore cash to the United States as dividends from our foreign subsidiaries, the dividends generally would not be subject to U.S. federal income tax, but the distributions may be subject to foreign withholding and state 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three months ended March 31, 2026 and 2025, we sold receivables totaling $20.9 million and $9.4 million, respectively, net of discounts and fees, which were insignificant for the respective periods.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2024, we signed a Direct Funding Agreement with the U.S. Department of Commerce (the “Commerce Department”) for the award of up to $407 million in government incentives pursuant to the CHIPS Act, and no funds have been received to date. The award requires us to achieve construction and production milestones over the next several years. In addition, we are eligible to receive a 35% investment tax credit on qualified investments in U.S. semiconductor manufacturing under the CHIPS Act and the One Big Beautiful Bill Act (“OBBBA”). For additional information, please refer to Note 1 to our Consolidated Financial Statements in Part I, Item 1 of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maximum amount available to draw under the 2025 Revolving Credit Facility is $1.0 billion. The 2025 Revolving Credit Facility includes an uncommitted optional accordion of up to $200.0 million, which may be incurred in the form of revolving commitment increases or term loans. As of March 31, 2026, we had availability of $1.0 billion under the 2025 Revolving Credit Facility. As of March 31, 2026, our foreign subsidiaries also had $55.9 million available to be borrowed under term loan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debt of $1,414.2 million, with $157.0 million payable within 12 months. As of March 31, 2026, the interest payment obligations, based on stated coupon rates for fixed rate debt and interest rates applicable at March 31, 2026 for variable rate debt, were $357.2 million during the remaining term of the debt. Interest payment obligations payable within 12 months were $64.8 million. We were in compliance with all debt covenants as of March 31, 2026, and we expect to remain in compliance with these covenants for at least the next 12 months. For additional information regarding our debt arrangements, please refer to Note 11 to our Consolidated Financial Statements in Part 1, Item 1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debt agreements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debt of Amkor Technology, Inc. is structurally subordinated in right of payment to all existing and future debt and other liabilities of our subsidiaries. From time to time, Amkor Technology, Inc., ATSH and Guardian guarantee certain indebtedness.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lease certain machinery and equipment, office space and manufacturing facilities. As of March 31, 2026, our total remaining operating lease obligations and finance lease obligations were $78.5 million and $154.7 million, respectively, with $26.5 million and $47.7 million payable within 12 months, respectively. The lease obligations represent our future minimum lease payments including interest payments.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had off-balance sheet purchase obligations for capital expenditures, long-term supply contracts and other contractual commitments. As of March 31, 2026, the purchase obligations were $1,034.1 million, with $947.2 million payable within 12 months.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enter into customer advance payment agreements from time to time, some of which require standby letters of credit. As of March 31, 2026, we expect to receive approximately $300 million of advance payments over a two-year period, all of which will require standby letters of credit upon receipt. For additional information regarding our customer advance payments, please refer to Note 1 to our Consolidated Financial Statements in Part I, Item 1 of this Form 10-Q.</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Returns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paid total quarterly cash dividends of $20.7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make significant capital expenditures in order to service the demand of our customers. During the three months ended March 31, 2026, our capital expenditures totaled $224.6 million, which are primarily focused on investments in advanced packaging and test equipment and the Arizona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our 2026 capital expenditures will be approximately $2.5 billion to $3.0 billion. The increase from 2025 is primarily due to the construction of the Arizona Facility. Ultimately, the amount of our 2026 capital expenditures will depend on several factors including, among others, the timing and implementation of any capital projects under review, including the progress of construction of the Arizona Facility,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operating, investing and financing activities for the three months ended March 31, 2026 and 2025, was as follows:</w:t>
      </w:r>
    </w:p>
    <w:tbl>
      <w:tblPr>
        <w:tblW w:w="4767" w:type="dxa"/>
        <w:jc w:val="left"/>
        <w:tblInd w:w="0" w:type="dxa"/>
        <w:tblLayout w:type="fixed"/>
        <w:tblCellMar>
          <w:top w:w="28" w:type="dxa"/>
          <w:left w:w="28" w:type="dxa"/>
          <w:bottom w:w="28" w:type="dxa"/>
          <w:right w:w="28" w:type="dxa"/>
        </w:tblCellMar>
      </w:tblPr>
      <w:tblGrid>
        <w:gridCol w:w="630"/>
        <w:gridCol w:w="553"/>
        <w:gridCol w:w="557"/>
        <w:gridCol w:w="249"/>
        <w:gridCol w:w="978"/>
        <w:gridCol w:w="129"/>
        <w:gridCol w:w="129"/>
        <w:gridCol w:w="129"/>
        <w:gridCol w:w="129"/>
        <w:gridCol w:w="249"/>
        <w:gridCol w:w="853"/>
        <w:gridCol w:w="182"/>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24,149 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(63,054)</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i/>
          <w:color w:val="000000"/>
          <w:sz w:val="20"/>
        </w:rPr>
        <w:t xml:space="preserve">Operating activities: </w:t>
      </w:r>
      <w:r>
        <w:rPr>
          <w:color w:val="000000"/>
        </w:rPr>
        <w:t> </w:t>
      </w:r>
      <w:r>
        <w:rPr>
          <w:rFonts w:ascii="Times New Roman;serif" w:hAnsi="Times New Roman;serif"/>
          <w:b w:val="false"/>
          <w:color w:val="000000"/>
          <w:sz w:val="20"/>
        </w:rPr>
        <w:t>Our cash flow provided by operating activities for the three months ended March 31, 2026 increased by $120.9 million compared to the three months ended March 31, 2025, primarily due to higher operating profits and changes in working capital.</w:t>
      </w:r>
    </w:p>
    <w:p>
      <w:pPr>
        <w:pStyle w:val="TextBody"/>
        <w:bidi w:val="0"/>
        <w:spacing w:lineRule="auto" w:line="288" w:before="0" w:after="180"/>
        <w:jc w:val="both"/>
        <w:rPr/>
      </w:pPr>
      <w:r>
        <w:rPr>
          <w:rFonts w:ascii="Times New Roman;serif" w:hAnsi="Times New Roman;serif"/>
          <w:b w:val="false"/>
          <w:i/>
          <w:color w:val="000000"/>
          <w:sz w:val="20"/>
          <w:shd w:fill="FFFFFF" w:val="clear"/>
        </w:rPr>
        <w:t xml:space="preserve">Investing activities: </w:t>
      </w:r>
      <w:r>
        <w:rPr>
          <w:color w:val="000000"/>
          <w:shd w:fill="FFFFFF" w:val="clear"/>
        </w:rPr>
        <w:t> </w:t>
      </w:r>
      <w:r>
        <w:rPr>
          <w:rFonts w:ascii="Times New Roman;serif" w:hAnsi="Times New Roman;serif"/>
          <w:b w:val="false"/>
          <w:color w:val="000000"/>
          <w:sz w:val="20"/>
          <w:shd w:fill="FFFFFF" w:val="clear"/>
        </w:rPr>
        <w:t xml:space="preserve">Our cash flow used in investing activities for the </w:t>
      </w:r>
      <w:r>
        <w:rPr>
          <w:rFonts w:ascii="Times New Roman;serif" w:hAnsi="Times New Roman;serif"/>
          <w:b w:val="false"/>
          <w:color w:val="000000"/>
          <w:sz w:val="20"/>
        </w:rPr>
        <w:t>three months ended March 31, 2026 increased by $271.7 million compared to the three months ended March 31, 2025, primarily due to higher payments for property, plant and equipment and net payments for short-term investments in the current year. Payments for property, plant and equipment can fluctuate based on the timing of purchase, receipt and acceptance of equipment.</w:t>
      </w:r>
    </w:p>
    <w:p>
      <w:pPr>
        <w:pStyle w:val="TextBody"/>
        <w:bidi w:val="0"/>
        <w:spacing w:lineRule="auto" w:line="288" w:before="0" w:after="180"/>
        <w:jc w:val="both"/>
        <w:rPr/>
      </w:pPr>
      <w:r>
        <w:rPr>
          <w:rFonts w:ascii="Times New Roman;serif" w:hAnsi="Times New Roman;serif"/>
          <w:b w:val="false"/>
          <w:i/>
          <w:color w:val="000000"/>
          <w:sz w:val="20"/>
        </w:rPr>
        <w:t xml:space="preserve">Financing activities: </w:t>
      </w:r>
      <w:r>
        <w:rPr>
          <w:color w:val="000000"/>
        </w:rPr>
        <w:t> </w:t>
      </w:r>
      <w:r>
        <w:rPr>
          <w:rFonts w:ascii="Times New Roman;serif" w:hAnsi="Times New Roman;serif"/>
          <w:b w:val="false"/>
          <w:color w:val="000000"/>
          <w:sz w:val="20"/>
        </w:rPr>
        <w:t xml:space="preserve">The changes in financing activities for the three months ended March 31, 2026 compared to the three months ended March 31, 2025 were primarily due to the timing of our quarterly dividend payment for the respective periods.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8516" w:type="dxa"/>
        <w:jc w:val="left"/>
        <w:tblInd w:w="0" w:type="dxa"/>
        <w:tblLayout w:type="fixed"/>
        <w:tblCellMar>
          <w:top w:w="28" w:type="dxa"/>
          <w:left w:w="28" w:type="dxa"/>
          <w:bottom w:w="28" w:type="dxa"/>
          <w:right w:w="28" w:type="dxa"/>
        </w:tblCellMar>
      </w:tblPr>
      <w:tblGrid>
        <w:gridCol w:w="1987"/>
        <w:gridCol w:w="1749"/>
        <w:gridCol w:w="1754"/>
        <w:gridCol w:w="242"/>
        <w:gridCol w:w="950"/>
        <w:gridCol w:w="125"/>
        <w:gridCol w:w="125"/>
        <w:gridCol w:w="125"/>
        <w:gridCol w:w="125"/>
        <w:gridCol w:w="242"/>
        <w:gridCol w:w="915"/>
        <w:gridCol w:w="177"/>
      </w:tblGrid>
      <w:tr>
        <w:trPr/>
        <w:tc>
          <w:tcPr>
            <w:tcW w:w="1987"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24,149 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property, plant and equipment</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(79,897)</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and grants for property, plant and equipment</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(71,285)</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(49,981)</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recently adopted and recently issued accounting standards, please refer to Note 1 to our Consolidated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Risk Sensitivity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primarily related to foreign currency and interest rate fluctuations. In the normal course of business, we employ established policies and procedures to manage the exposure to fluctuations in foreign currency values and changes in interest rates.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2026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three months ended March 31, 2026 would have been approximately $12 million lower, due to the remeasurement of monetary assets and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have foreign currency exchange rate exposure on our results of operations. For the three months ended March 31, 2026, approximately 90% of our net sales were denominated in U.S. dollars. Our remaining net sales were principally denominated in Japanese yen. For the three months ended March 31, 2026, approximately 60%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2026 to assess the potential impact of fluctuations in exchange rates for all foreign denominated sales and operating expenses. Assuming that all foreign currencies appreciated 10% against the U.S. dollar, our operating income for the three months ended March 31, 2026 would have been approximately $42 million lower.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gain of $1.1 million and $3.9 million for the three months ended March 31, 2026 and 2025, respectively, and was recognized as an adjustment to equity through other comprehensive income (loss).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decreasing in value if market interest rates increase and increasing in value if market interest rates decrease. Due to the relatively short-term nature of our investment portfolio, we believe that an immediate change in interest rates will not have a material impact on the fair value of our available-for-sale debt investments. For information regarding our available-for-sale debt investments, see Note 7 to our Consolidated Financial Statements in Part I, Item 1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interest rates, maturities and fair value of our fixed and variable rate debt as of March 31, 2026:</w:t>
      </w:r>
    </w:p>
    <w:tbl>
      <w:tblPr>
        <w:tblW w:w="12562" w:type="dxa"/>
        <w:jc w:val="left"/>
        <w:tblInd w:w="0" w:type="dxa"/>
        <w:tblLayout w:type="fixed"/>
        <w:tblCellMar>
          <w:top w:w="28" w:type="dxa"/>
          <w:left w:w="28" w:type="dxa"/>
          <w:bottom w:w="28" w:type="dxa"/>
          <w:right w:w="28" w:type="dxa"/>
        </w:tblCellMar>
      </w:tblPr>
      <w:tblGrid>
        <w:gridCol w:w="470"/>
        <w:gridCol w:w="162"/>
        <w:gridCol w:w="164"/>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2026 - 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in thousands)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927,627 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496,875 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maturities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133,373 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144,657 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137,374 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65,323 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443,775 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1,424,502 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1,411,470 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the fair value of our long-term debt, see Note 14 to our Consolidated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management, including our Chief Executive Officer and our Chief Financial Officer, of the effectiveness of the design and operation of our disclosure controls and procedures as of March 31, 2026 and concluded those disclosure controls and procedures were effective as of that date.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March 31, 2026. There have been no changes in our internal control over financial reporting that occurred during the three months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legal proceedings is set forth in Note 15 to our Consolidated Financial Statements in Part I, Item 1 of this Form 10-Q and in Note 17 to the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Item 1A. </w:t>
      </w:r>
      <w:r>
        <w:rPr>
          <w:color w:val="000000"/>
        </w:rPr>
        <w:t>    </w:t>
      </w:r>
      <w:r>
        <w:rPr>
          <w:rFonts w:ascii="Times New Roman;serif" w:hAnsi="Times New Roman;serif"/>
          <w:b/>
          <w:i/>
          <w:color w:val="000000"/>
          <w:sz w:val="20"/>
        </w:rPr>
        <w:t>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pStyle w:val="TextBody"/>
        <w:bidi w:val="0"/>
        <w:spacing w:lineRule="auto" w:line="247" w:before="0" w:after="18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Business, Operations and Industry</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the cyclical and volatile semiconductor industry and vulnerability to industry downturns and declines in global economic and financial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costs, quality, availability and delivery times of raw materials, components and equipment;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operating results and cash flows;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competition with established competitors in the packaging and test business, the internal capabilities of integrated device manufacturers (“IDMs”), and other competitors, including foundries and contract manufacturers;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substantial investments in equipment and facilities to support the demand of our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warranty claims, product return and liability risks, and the risk of negative publicity if our products fail, as well as the risk of litigation incident to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difficulty achieving the relatively high-capacity utilization rates necessary to realize satisfactory gross margins given our high percentage of fixed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absence of backlog and the short-term nature of our customers’ commitments;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historical downward pressure on the prices of our packaging and test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downturn or lower sales to customers in the automotive industry;</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key customers or concentration of customers in certain end markets, such as mobile communications and automotive;</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difficulty funding our liquidity needs;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challenges with integrating diverse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International Sales and Operations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international factories and operations, and risks relating to trade restrictions and regional conflict, including restrictive trade barriers, export controls, tariffs, customs and duties.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Cybersecurity, Data Privacy and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develop new proprietary technology, protect our proprietary technology, operate without infringing the proprietary rights of others, and implement new technologies;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continuing development and implementation of changes to, and maintenance and security of, our information technology systems.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Indebtedness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restrictive covenants in the indentures and agreements governing our current and future indebtedness;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our substantial indebtedness; </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the effect of interest rate increases on our variable rate indebtedness;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fluctuations in interest rates and changes in credit risk.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the ability of certain of our stockholders to effectively determine or substantially influence the outcome of matters requiring stockholder approval;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the possibility that we may decrease or suspend our quarterly dividend.</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Human Capital and Management</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difficulty attracting, retaining or replacing qualified personnel.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Regulatory, Legal and Tax Challenges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maintaining an effective system of internal controls;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changes in tax laws, taxing authorities not agreeing with our interpretation of applicable tax laws, including whether we continue to qualify for conditional reduced tax rates, or any requirements to establish or adjust valuation allowances on deferred tax assets;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environmental, health and safety liabilities and expenditures;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conditions and obligations in connection with the receipt of government awards and incentives.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natural disasters and other calamities, health conditions or pandemics, political instability, hostilities or other disruptions.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Business, Operations and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packaging and test services are used in volatile industries, and industry downturns and declines in global economic and financial conditions could harm our performance.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business is, and will continue to be, dependent on the requirements of semiconductor companies for outsourced packaging and test services, any downturn in the semiconductor industry or any other industry that uses a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number of semiconductor devices, such as communications, computing, automotive and industrial or consumer electronics, could have a material adverse effect on our business and operating results. During downturns, we have experienced, among other things, reduced demand, excess capacity and reduced sales. For example, in recent years, the macroeconomic environment has experienced uncertainty related to evolving tariff and trade policies, geopolitical tensions, inflationary pressures, labor market shortages and disputes, changes in interest rates, supply chain disruptions, foreign currency fluctuations and periods of volatility in global capital markets.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may suffer if the cost, quality or supply of materials or equipment changes adversely.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geopolitical events, including the ongoing conflicts in the Middle East and tensions between China and Taiwan, could disrupt global supply chains and adversely affect the availability and cost of materials and equipment, and furthermore, fire, severe weather, earthquakes, flooding and tsunamis in the past have impacted the supply of specialty chemicals, substrates, silicon wafers, equipment and other supplies to the electronics industry.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including memory and silicon wafers. Shortages or disruptions in our customers’ supply channels, including any disruptions arising out of the conflicts in Ukraine and Israel and the Middle East or other future conflicts, could have a material adverse effect on our business, financial condition, results of operations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rely on raw materials, including steel and other construction materials, in connection with construction and expansion projects, such as our Arizona Facility. Any shortages or delays in procuring such construction materials can materially delay construction milestones, which could have a material adverse effect on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operating results and cash flows have varied and may vary significantly as a result of factors that we cannot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demand for semiconductors and conditions in the semiconductor industry generally, as well as by specific customers, such as inventory reductions by our customers impacting demand in key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cost, quality, availability and delivery times of raw materials, components, equipment and labor;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inflation, including wage inflation, and fluctuations in energy prices and commodity prices, including gold, silver, copper and other precious metals;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our major growth objectives, including transitioning second-wave customers to advanced packages and increasing our share of the automotive and industrial end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our capacity and capacity utilization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interest rates and currency exchange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average selling prices which can occur quickly due to the absence of long-term agreements on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mix of the semiconductor packaging and test services that we sell;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expenditures in anticipation of future orders;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effective tax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availability and cost of financing;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leverage and debt covenants;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intellectual property transactions and disputes;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warranty and product liability claims and the impact of quality excursions and customer disputes and returns;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associated with legal claims, indemnification obligations, judgments and settlements;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political instability, conflicts (such as the ongoing war between Russia and Ukraine, conflicts in the Middle East, tensions between China and Taiwan and recent U.S. military action in Venezuela) and government shutdowns, civil disturbances and international events;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environmental or natural disasters such as earthquakes, typhoons and volcanic eruptions;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pandemics or other widespread illnesses that may impact our labor force, operations, liquidity, supply chain and end-user demand for products which incorporate semiconductors;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of acquisitions and divestitures and difficulties integrating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qualified personnel to support our global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penetrate new end markets or expand our business in existing end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dependence on key customers or concentration of customers in certain end markets, such as mobile communications and automotive;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restructuring charges, asset write-offs and impairments.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recent years, the U.S. Bureau of Industry and Security has announced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compete against established competitors in the packaging and test business as well as internal capabilities of IDMs and face competition from foundries and contract manufacturers.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face competition from foundries,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services, our business could be adversely affected if the customer also engages that foundry for related packaging and test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competition from contract manufacturers and electronic manufacturing service providers, many of which are larger than us, have lower cost structures, and may be willing or able to sell their services at lower margins. These competitors have increased and could increase pricing and competitive pressures.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assure you that we will be able to compete successfully in the future against our existing or potential competitors, that our customers will not rely on internal sources, foundries or contract manufacturers for packaging and test services or that our business, liquidity, results of operations, financial condition or cash flows will not be materially and adversely affected by such increased competition.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make substantial investments in equipment and facilities to support the demand of our customers, which may materially and adversely affect our business if the demand of our customers does not develop as we expect or is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began delivering advanced packages from the Vietnam Facility in the third quarter of 2024, and we began construction of our Arizona Facility in the second half of 2025. While manufacturing has begun at the Vietnam Facility and construction has begun on our Arizona Facility, there can be no assurance that the actual scope, costs or benefits of these projects will be consistent with our current expectations.</w:t>
      </w:r>
    </w:p>
    <w:p>
      <w:pPr>
        <w:pStyle w:val="TextBody"/>
        <w:bidi w:val="0"/>
        <w:spacing w:lineRule="auto" w:line="276" w:before="0" w:after="180"/>
        <w:jc w:val="both"/>
        <w:rPr/>
      </w:pPr>
      <w:r>
        <w:rPr>
          <w:rFonts w:ascii="Times New Roman;serif" w:hAnsi="Times New Roman;serif"/>
          <w:b/>
          <w:i/>
          <w:color w:val="000000"/>
          <w:sz w:val="20"/>
        </w:rPr>
        <w:t>We may face warranty claims, product return and liability risks, economic damage claims and negative publicity if our packages fail</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packages are incorporated into a number of end products. If our packages fail, our business may be exposed to warranty claims, product return and liability risks, economic damage claims and negative publicity.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Due to our high percentage of fixed costs, we may be unable to maintain satisfactory gross margins if we are unable to achieve relatively high-capacity utilization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lack of contractually committed customer demand may materially and adversely affect our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Historically, there has been downward pressure on the prices of our packaging and test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Packaging and test processes are complex, and our production yields and customer relationships may suffer from defects in the services we provide or if we do not successfully implement new technologies.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contaminants in the manufacturing environment;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human error;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equipment malfunction;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changing processes to address environmental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defective raw materials;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defective plating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 significant portion of our revenue is derived from customers in the automotive industry. A downturn or lower sales to customers in the automotive industry could materially affect our business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loss of certain customers or reduced orders or pricing from existing customers may have a material adverse effect on our operations and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72% of our net sales for the year ended December 31, 2025.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have difficulty funding liquidity needs.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Servicing our current and future customers requires that we incur significant operating expenses and continue to make significant capital expenditures and other investments, and the amount of our capital expenditures for 2026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face challenges as we integrate diverse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the scope, geographic diversity and complexity of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conforming an acquired company’s standards, practices, systems and controls with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increasing complexity from combining recent acquisitions of an acquired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unexpected losses of key employees or customers of an acquired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difficulties in the assimilation of acquired operations, technologies or products;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diversion of management and other resources from other parts of our operations and adverse effects on existing business relationships with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these activities, we may: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incur costs associated with personnel reductions and voluntary retirement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record restructuring charges to cover costs associated with facility consolidations and related cost reduction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use a significant portion of our available cash;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substantial debt;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issue equity securities, which may dilute the ownership of current stockholders;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or assume known or unknown contingent liabilities;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large, immediate accounting write offs and face antitrust or other regulatory inquiries or 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pStyle w:val="TextBody"/>
        <w:bidi w:val="0"/>
        <w:spacing w:lineRule="auto" w:line="247" w:before="0" w:after="180"/>
        <w:jc w:val="both"/>
        <w:rPr/>
      </w:pPr>
      <w:r>
        <w:rPr>
          <w:rFonts w:ascii="Times New Roman;serif" w:hAnsi="Times New Roman;serif"/>
          <w:b/>
          <w:i/>
          <w:color w:val="000000"/>
          <w:sz w:val="20"/>
        </w:rPr>
        <w:t>Risks Related to Our International Sales and Operation</w:t>
      </w:r>
      <w:r>
        <w:rPr>
          <w:rFonts w:ascii="Times New Roman;serif" w:hAnsi="Times New Roman;serif"/>
          <w:b/>
          <w:color w:val="000000"/>
          <w:sz w:val="20"/>
        </w:rPr>
        <w:t>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Our factories and operations, and those of our customers and vendors, are located in various foreign jurisdictions, which exposes us to risks arising from international trade restrictions and regional conflict.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provide packaging and test services through our factories and other operations located in China, Japan, Korea, Malaysia, the Philippines, Portugal, Singapore, Taiwan and Vietnam. A significant portion of our property, plant and equipment is located outside of the United States, and many of our customers and the vendors in our supply chain are also located outside the United States.  The following are some of the risks we face in doing business internationally: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international trade disputes, geopolitical tensions, increasing protectionism and economic nationalism leading to increasing export restrictions, trade barriers, tariffs, and other changes in trade policy, or reactionary measures in response thereto, including retaliatory tariffs, legal challenges or currency manipulation;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rules, regulations and policies within China and other countries that may favor domestic companies over non-domestic companies, including customer- or government-supported efforts to promote the development and growth of local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and safety concerns, including widespread outbreak of infectious diseases and governmental responses thereto;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consumer demand resulting from current or expected inflation or other variations in local economies;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rules, regulations and policies imposed by U.S. or foreign governments in areas such as data privacy, cybersecurity, antitrust and competition, tax, currency and banking, labor, environmental, and health and safety;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payment of dividends and other payments by non-U.S. subsidiaries may be subject to prohibitions, limitations or taxes in local jurisdictions;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currency exchange rates, particularly the U.S. dollar to Japanese yen exchange rate for our operations in Japan;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political and social conditions, and the potential for civil unrest, terrorism or other hostilities (such as the ongoing war between Russia and Ukraine, conflicts in the Middle East, tensions between China and Taiwan and recent U.S. military action in Venezuela);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disruptions or delays in shipments caused by customs brokers or government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difficulties in attracting and retaining qualified personnel and managing foreign operations, including foreign labor disruptions;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difficulty in enforcing contractual rights and protecting our intellectual property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potentially adverse tax consequences resulting from tax laws in the United States and in other jurisdictions;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local business and cultural factors that differ from our normal standards and practices, including business practices that we are prohibited from engaging in by the U.S. Foreign Corrupt Practices Act and other anti-corruption laws and regulations.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including retaliatory tariffs, legal challenges or currency manipulation,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Amkor’s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Over the course of 2025, the United States government announced multiple tariff changes for goods imported into the United States from numerous countries, as well as product-based sectoral tariffs. The U.S. government also announced various export control changes. Some countries countered with tariffs, export control changes or other actions, and the U.S. entered into broad trade negotiations with many countries. Many of the U.S. actions, as well as those of other countries, were subsequently paused or revised. These developments, or the perception that any of them could occur, may have a material adverse effect on global economic conditions and the stability of global financial markets, and may significantly reduce global trade. We cannot predict what further actions may ultimately be taken by the U.S. with respect to tariffs, export restrictions or other trade measures, what products or entities may be subject to such actions, or what actions may be taken by other countries in response to these U.S. actions. Any of these factors could depress economic activity, restrict our access to suppliers or customers and adversely affect the semiconductor supply chain. Imposed tariffs may affect end-user demand in each geography where our customers sell their products and services, which may materially and adversely affect demand for our services, our operating results and our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significant facilities and other investments in Korea, and there have been heightened security concerns in recent years stemming from North Korea’s nuclear weapon and long-range missile programs as well as its military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actions in the region. Furthermore, there has been a history of conflict and tension within and among other countries in the region.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Global pandemics and the spread of infectious diseases may impact our operations and the operations of our customers and suppliers as a result of illness, quarantines, facility closures and travel and logistics restrictions in connection with such outbreaks. National, regional and local governments may implement public health measures to mitigate the spread of such outbreaks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Cybersecurity, Data Privacy and Intellectual Property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will suffer if we are not able to develop new proprietary technology, protect our proprietary technology and operate without infringing the proprietary rights of others.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competitors may develop, patent or gain access to know-how and technology similar or superior to our own. The semiconductor industry is characterized by frequent claims regarding the infringement of patent and other intellectual property rights. If any third party makes an enforceable infringement claim against us or our customers, we could be required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discontinue the use of certain processes or cease to provide the services at issue, which could curtail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pay substantial damages;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 non-infringing technologies, which may not be feasible;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acquire licenses to such technology, which may not be available on commercially reasonable terms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risks in connection with the continuing development and implementation of changes to, and maintenance and security of, our information technology systems.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failures or vulnerabilities in the systems of third-parties (including those with access to our systems or data, such as customers or vendors), computer viruses, attacks by computer hackers, ransomware, phishing or other cybersecurity attacks, telecommunication failures, user errors, malfeasance or catastrophic events. Threat actors may utilize emerging technologies, such as AI and machine learning, to compromise our information technology systems. Such events have occurred in the past and may occur in the future. Cybersecurity breaches could result in unauthorized disclosure of confidential information, disruptions to our operations and/or impacts to a third party with which we have a relationship, such as a customer or vendor, which could result in reputational, competitive, operational or other business harms as well as financial costs and regulatory action.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 but are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delays in the design and implementation of the system;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may exceed our plans and expectations;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we are in the process of implementing a new enterprise resource planning (ERP) system. Large-scale technology implementations of this nature are inherently complex and involve significant investment in human and financial resources. Implementation of the new ERP system and related systems could result in significant potential risks, including failure of the systems to operate as designed, unexpected impacts on related systems or processes, potential loss or corruption of data, failures in security processes and internal controls, cost overruns, implementation delays or errors, disruption of operations and the potential inability to meet business and reporting requirements, any of which could materially and adversely affect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Indebtedness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Covenants in the indentures and agreements governing our current and future indebtedness could restrict our operating flexibility.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substantial indebtedness could have a material adverse effect on our financial condition and prevent us from fulfilling our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substantial amount of debt, and the terms of the agreements governing our indebtedness allow us and our subsidiaries to incur more debt, subject to certain limitations. As of March 31, 2026, our total debt balance was $1,414.2 million, of which $157.0 million was classified as a current liability and $924.5 million was collateralized indebtedness. We may consider investments in joint ventures, increased capital expenditures, refinancings or acquisitions which may increase our indebtedness. If new debt is added to our consolidated debt level, the related risks that we face could increase.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substantial indebtedness could: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make it more difficult for us to satisfy our obligations with respect to our indebtedness, including our obligations under our indentures to purchase notes tendered as a result of a change in control of Amkor;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ability to fund future working capital, capital expenditures, research and development and other business opportunities, including joint ventures and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the volatility of the price of our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flexibility to react to changes in our business and the industry in which we operate;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place us at a competitive disadvantage to any of our competitors that have less debt;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along with the financial and other covenants in our indebtedness, our ability to borrow additional funds;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ability to refinance our existing indebtedness, particularly during periods of adverse credit market conditions when refinancing indebtedness may not be available under interest rates and other terms acceptable to us or at all;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our cost of borrowing.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interest rates increase, our debt service obligations under our variable rate indebtedness would increase, which could have a material adverse effect on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Borrowings under our credit facility, including the outstanding term loan, are at variable rates of interest and as a result expose us to interest rate risk. Interest rates increased throughout 2022 and 2023. While interest rates stabilized and have begun to decrease since 2024, if interest rates increase, our debt service obligations on the variable rate indebtedness would increase even though the amount borrowed remained the same, and our net income and cash flows, including cash available for servicing our indebtedness, will correspondingly decrease. We currently do not maintain interest rate swaps with respect to all of our variable rate indebtedness, and any swaps we enter into may not fully mitigate our interest rate risk. To the extent the risk materializes and is not fully mitigated, the resulting increase in interest expense could have a material adverse effect on our results of operations. Further, significant changes in our credit rating, disruptions in the global financial markets, including bank failures, or incurrence of new or refinancing of existing indebtedness at higher interest rates could have a material and adverse effect on our access to and cost of capital for future financings,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are exposed to fluctuations in interest rates and changes in credit risk, which could have a material adverse impact on our earnings as it relates to the market value of our investment portfolio.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Susan Y. Kim and members of her family can effectively determine or substantially influence the outcome of all matters requiring stockholder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Susan Y. Kim, the Chairman of our Board of Directors, and members of the Kim family and affiliates owned approximately 122.1 million shares, or approximately 49.3%, of our outstanding common stock. The Kim family also has options to acquire approximately 0.6 million shares. If the options are exercised, the Kim family’s total ownership would be an aggregate of approximately 122.7 million shares, or approximately 49.4% of our outstanding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2013, the Kim family exchanged convertible notes issued by Amkor in 2009 for approximately 49.6 million shares of common stock (the “Convert Shares”). As of March 31, 2026, the Kim family owns approximately 29.6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Ms. Kim and her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ownership. Also, the sale or the prospect of the sale of a substantial portion of the Kim family shares may cause the market price of our stock to decline significantly.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decrease or suspend our quarterly dividend, and any decrease in or suspension of the dividend could cause our stock price to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Related to Human Capital and Management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risks trying to attract, retain or replace qualified employees to support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Regulatory, Legal and Tax Challenges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we may not be able to accurately report financial results or prevent fraud.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enacted laws based on the Pillar Two Model Rules, which has adversely affected our effective tax rate, expected tax payments and conditional reduced tax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OECD’s 2026 introduction of the Side-by-Side (“SbS”) framework may impact our future tax obligations and compliance requirements. Although the United States has been designated as a qualified SbS jurisdiction, enabling U.S.-parented companies to elect relief from certain provisions of the Pillar Two Model Rules beginning in 2026, many jurisdictions continue to require QDMTT and may adopt additional administrative rules that affect our operations. There remains significant uncertainty regarding the pace and consistency of global implementation. Our ability to accurately forecast tax obligations and the impact on our financial results may be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OBBBA was enacted in the United States, which includes significant provisions such as modifications to the international tax framework and the investment tax credit rate under the CHIPS Act, and restoration of tax treatment for certain business provisions. The legislation has multiple effective dates, with certain provisions effective in 2025 and others implemented through 2027. Changes in U.S. or foreign tax laws, including new or modified guidance with respect to existing tax laws, could have a material adverse impact on our liquidity, results of operations, financial condition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Environmental, health and safety liabilities and expenditures could have a material adverse effect on our business, results of operation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pStyle w:val="TextBody"/>
        <w:bidi w:val="0"/>
        <w:spacing w:lineRule="auto" w:line="276" w:before="0" w:after="180"/>
        <w:jc w:val="both"/>
        <w:rPr>
          <w:rFonts w:ascii="Times New Roman;serif" w:hAnsi="Times New Roman;serif"/>
          <w:b/>
          <w:i/>
          <w:color w:val="000000"/>
          <w:sz w:val="20"/>
        </w:rPr>
      </w:pPr>
      <w:r>
        <w:rPr>
          <w:rFonts w:ascii="Times New Roman;serif" w:hAnsi="Times New Roman;serif"/>
          <w:b/>
          <w:i/>
          <w:color w:val="000000"/>
          <w:sz w:val="20"/>
        </w:rPr>
        <w:t>The awards and incentives from the agreement with the Commerce Department pursuant to the CHIPS Act might not materialize as such awards and incentives are conditional upon achieving or maintaining certain outcomes and compliance with other obligations, are subject to reduction, termination, or clawback and would impose certain restrictions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2024, the Commerce Department awarded us up to $407 million in direct funding pursuant to the CHIPS Act for the Arizona Facility. This award requires us to achieve construction and production milestones and restricts us from undertaking certain activities. We cannot guarantee that we will successfully achieve and maintain outcomes or be able to comply with other obligations required to qualify for this award or that the Commerce Department will provide or continue to provide such funding. The award arrangements provide the Commerce Department with rights to audit our compliance with their terms and obligations, and such audits could result in modifications to, or termination of, the award. To a lesser extent, we also receive incentives from state and local governments for the Arizona Facility, which have similar terms and conditions. Any awards or incentives we receive could be subject to reduction, termination, or clawback, and any decrease, termination, or clawback of such government awards and incentives could have a material adverse effect on our business, results of operations or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and financial condition has been adversely affected, and could be adversely affected in the future, by natural disasters and other calamities, health conditions or pandemics, political instability, hostilities or other disruptions.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significant packaging and test services and other operations in China, Japan, Korea, Malaysia, the Philippines, Portugal, Singapore, Taiwan and Vietnam, and the Arizona Facility is a new factory under construction in the United States. Such operations are or could be subject to: natural disasters, such as earthquakes, tsunamis, typhoons, floods,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droughts, extreme heat,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including electricity and water; political events or instability; sanctions imposed by the U.S. and other countries in connection with geopolitical tensions; changes in trade policies, including the imposition of tariffs, export controls or other trade barriers; acts of war or armed conflict (such as ongoing war between Russia and Ukraine, conflicts in the Middle East, tensions between China and Taiwan and recent U.S. military action in Venezuela); terrorist incidents and other hostilities in regions where we have facilities; and industrial accidents and other events, that could disrupt or even shut down our operations. While our global manufacturing footprint may allow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some of the processes that we utilize in our operations place us at risk of fire and other damage. For example, highly flammable gases are used in the preparation of wafers holding semiconductor devices for flip chip packaging.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2.         </w:t>
      </w:r>
      <w:r>
        <w:rPr>
          <w:rFonts w:ascii="Times New Roman;serif" w:hAnsi="Times New Roman;serif"/>
          <w:b/>
          <w:i/>
          <w:color w:val="000000"/>
          <w:sz w:val="20"/>
        </w:rPr>
        <w:t xml:space="preserve">Unregistered Sales of Equity Securities and Use of Proceeds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Issuer Repurchase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our common stock during the three months ended March 31, 2026.</w:t>
      </w:r>
    </w:p>
    <w:tbl>
      <w:tblPr>
        <w:tblW w:w="10205" w:type="dxa"/>
        <w:jc w:val="center"/>
        <w:tblInd w:w="0" w:type="dxa"/>
        <w:tblLayout w:type="fixed"/>
        <w:tblCellMar>
          <w:top w:w="28" w:type="dxa"/>
          <w:left w:w="28" w:type="dxa"/>
          <w:bottom w:w="28" w:type="dxa"/>
          <w:right w:w="28" w:type="dxa"/>
        </w:tblCellMar>
      </w:tblPr>
      <w:tblGrid>
        <w:gridCol w:w="489"/>
        <w:gridCol w:w="371"/>
        <w:gridCol w:w="375"/>
        <w:gridCol w:w="109"/>
        <w:gridCol w:w="109"/>
        <w:gridCol w:w="109"/>
        <w:gridCol w:w="646"/>
        <w:gridCol w:w="453"/>
        <w:gridCol w:w="455"/>
        <w:gridCol w:w="109"/>
        <w:gridCol w:w="109"/>
        <w:gridCol w:w="109"/>
        <w:gridCol w:w="243"/>
        <w:gridCol w:w="710"/>
        <w:gridCol w:w="125"/>
        <w:gridCol w:w="109"/>
        <w:gridCol w:w="109"/>
        <w:gridCol w:w="109"/>
        <w:gridCol w:w="771"/>
        <w:gridCol w:w="771"/>
        <w:gridCol w:w="774"/>
        <w:gridCol w:w="109"/>
        <w:gridCol w:w="109"/>
        <w:gridCol w:w="109"/>
        <w:gridCol w:w="740"/>
        <w:gridCol w:w="1425"/>
        <w:gridCol w:w="549"/>
      </w:tblGrid>
      <w:tr>
        <w:trPr/>
        <w:tc>
          <w:tcPr>
            <w:tcW w:w="48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w:t>
              <w:br/>
              <w:t>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 (b)</w:t>
            </w:r>
          </w:p>
        </w:tc>
      </w:tr>
      <w:tr>
        <w:trPr/>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90,948 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112,870 </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shares of common stock surrendered to us to satisfy tax withholding obligations associated with the shares issued to employees in connection with share-based compensation.</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3.        </w:t>
      </w:r>
      <w:r>
        <w:rPr>
          <w:rFonts w:ascii="Times New Roman;serif" w:hAnsi="Times New Roman;serif"/>
          <w:b/>
          <w:i/>
          <w:color w:val="000000"/>
          <w:sz w:val="20"/>
        </w:rPr>
        <w:t>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17, 2026, Megan Faust, Amkor’s Executive Vice President, Chief Financial Officer and Treasurer adopted a “Rule 10b5-1 trading arrangement” as such term is defined in paragraph (a) of Item 408 of Regulation S-K promulgated under the Securities Act, which is intended to satisfy the affirmative defense of Rule 10b5-1(c). Ms. Faust’s Rule 10b5-1 trading arrangement will terminate on the earliest of: (a) February 26, 2027; (b) the first date on which all trades have been executed or all trading orders relating to such trades have expired; and (c) the date on which Ms. Faust gives notice to terminate her Rule 10b5-1 trading arrangement. 10,000 shares of our common stock are to be sold under Ms. Faust’s 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32"/>
        <w:gridCol w:w="260"/>
        <w:gridCol w:w="262"/>
        <w:gridCol w:w="109"/>
        <w:gridCol w:w="109"/>
        <w:gridCol w:w="109"/>
        <w:gridCol w:w="1507"/>
        <w:gridCol w:w="1252"/>
        <w:gridCol w:w="1204"/>
        <w:gridCol w:w="109"/>
        <w:gridCol w:w="109"/>
        <w:gridCol w:w="109"/>
        <w:gridCol w:w="170"/>
        <w:gridCol w:w="170"/>
        <w:gridCol w:w="171"/>
        <w:gridCol w:w="109"/>
        <w:gridCol w:w="109"/>
        <w:gridCol w:w="109"/>
        <w:gridCol w:w="239"/>
        <w:gridCol w:w="239"/>
        <w:gridCol w:w="240"/>
        <w:gridCol w:w="109"/>
        <w:gridCol w:w="109"/>
        <w:gridCol w:w="109"/>
        <w:gridCol w:w="210"/>
        <w:gridCol w:w="210"/>
        <w:gridCol w:w="211"/>
        <w:gridCol w:w="109"/>
        <w:gridCol w:w="109"/>
        <w:gridCol w:w="109"/>
        <w:gridCol w:w="200"/>
        <w:gridCol w:w="200"/>
        <w:gridCol w:w="201"/>
        <w:gridCol w:w="109"/>
        <w:gridCol w:w="109"/>
        <w:gridCol w:w="109"/>
        <w:gridCol w:w="280"/>
        <w:gridCol w:w="280"/>
        <w:gridCol w:w="405"/>
      </w:tblGrid>
      <w:tr>
        <w:trPr/>
        <w:tc>
          <w:tcPr>
            <w:tcW w:w="3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Included Herewith</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Underwriting Agreement, dated as of February 12, 2026, by and among Amkor Technology, Inc., 915 Investments, LP, and Goldman Sachs &amp; Co. LLC, as the underwriter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3312026ex311.htm">
              <w:r>
                <w:rPr>
                  <w:rStyle w:val="InternetLink"/>
                  <w:rFonts w:ascii="Times New Roman;serif" w:hAnsi="Times New Roman;serif"/>
                  <w:b w:val="false"/>
                  <w:color w:val="000080"/>
                  <w:sz w:val="20"/>
                  <w:u w:val="single"/>
                </w:rPr>
                <w:t xml:space="preserve">Certification of </w:t>
              </w:r>
            </w:hyperlink>
            <w:hyperlink w:anchor="amkr3312026ex311.htm">
              <w:r>
                <w:rPr>
                  <w:rStyle w:val="InternetLink"/>
                  <w:rFonts w:ascii="Times New Roman;serif" w:hAnsi="Times New Roman;serif"/>
                  <w:b w:val="false"/>
                  <w:color w:val="000080"/>
                  <w:sz w:val="20"/>
                  <w:u w:val="single"/>
                </w:rPr>
                <w:t>Kevin K. Engel</w:t>
              </w:r>
            </w:hyperlink>
            <w:hyperlink w:anchor="amkr3312026ex311.htm">
              <w:r>
                <w:rPr>
                  <w:rStyle w:val="InternetLink"/>
                  <w:rFonts w:ascii="Times New Roman;serif" w:hAnsi="Times New Roman;serif"/>
                  <w:b w:val="false"/>
                  <w:color w:val="000080"/>
                  <w:sz w:val="20"/>
                  <w:u w:val="single"/>
                </w:rPr>
                <w:t>, Chief Executive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3312026ex312.htm">
              <w:r>
                <w:rPr>
                  <w:rStyle w:val="InternetLink"/>
                  <w:rFonts w:ascii="Times New Roman;serif" w:hAnsi="Times New Roman;serif"/>
                  <w:b w:val="false"/>
                  <w:color w:val="0000FF"/>
                  <w:sz w:val="20"/>
                  <w:u w:val="single"/>
                </w:rPr>
                <w:t>Certification of Megan Faust, Chief Financial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3312026ex32.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jc w:val="left"/>
        <w:rPr/>
      </w:pPr>
      <w:r>
        <w:rPr/>
      </w:r>
    </w:p>
    <w:p>
      <w:pPr>
        <w:pStyle w:val="TextBody"/>
        <w:bidi w:val="0"/>
        <w:spacing w:lineRule="auto" w:line="247" w:before="0" w:after="1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69817c53ebf4d3ca51518a34a55e638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AMKOR TECHNOLOGY, INC.</w:t>
      </w:r>
    </w:p>
    <w:tbl>
      <w:tblPr>
        <w:tblW w:w="389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20"/>
        <w:gridCol w:w="920"/>
        <w:gridCol w:w="1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40" w:after="283"/>
        <w:jc w:val="left"/>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28,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302 CERTIFICATION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Kevin K. Engel, certify that: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Amkor Technology, Inc.;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551" w:type="dxa"/>
        <w:jc w:val="center"/>
        <w:tblInd w:w="0" w:type="dxa"/>
        <w:tblLayout w:type="fixed"/>
        <w:tblCellMar>
          <w:top w:w="28" w:type="dxa"/>
          <w:left w:w="28" w:type="dxa"/>
          <w:bottom w:w="28" w:type="dxa"/>
          <w:right w:w="28" w:type="dxa"/>
        </w:tblCellMar>
      </w:tblPr>
      <w:tblGrid>
        <w:gridCol w:w="124"/>
        <w:gridCol w:w="109"/>
        <w:gridCol w:w="109"/>
        <w:gridCol w:w="936"/>
        <w:gridCol w:w="936"/>
        <w:gridCol w:w="13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Kevin K. 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Kevin K. 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April 28,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Megan Faust, certify that: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Amkor Technology, Inc.;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492" w:type="dxa"/>
        <w:jc w:val="center"/>
        <w:tblInd w:w="0" w:type="dxa"/>
        <w:tblLayout w:type="fixed"/>
        <w:tblCellMar>
          <w:top w:w="28" w:type="dxa"/>
          <w:left w:w="28" w:type="dxa"/>
          <w:bottom w:w="28" w:type="dxa"/>
          <w:right w:w="28" w:type="dxa"/>
        </w:tblCellMar>
      </w:tblPr>
      <w:tblGrid>
        <w:gridCol w:w="124"/>
        <w:gridCol w:w="109"/>
        <w:gridCol w:w="109"/>
        <w:gridCol w:w="919"/>
        <w:gridCol w:w="919"/>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April 28,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556"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pPr>
      <w:r>
        <w:rPr>
          <w:rFonts w:ascii="Times New Roman;serif" w:hAnsi="Times New Roman;serif"/>
          <w:b/>
          <w:color w:val="000000"/>
          <w:sz w:val="20"/>
        </w:rPr>
        <w:t>PURSUANT TO 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March 31, 2026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020" w:type="dxa"/>
        <w:jc w:val="right"/>
        <w:tblInd w:w="0" w:type="dxa"/>
        <w:tblLayout w:type="fixed"/>
        <w:tblCellMar>
          <w:top w:w="28" w:type="dxa"/>
          <w:left w:w="28" w:type="dxa"/>
          <w:bottom w:w="28" w:type="dxa"/>
          <w:right w:w="28" w:type="dxa"/>
        </w:tblCellMar>
      </w:tblPr>
      <w:tblGrid>
        <w:gridCol w:w="294"/>
        <w:gridCol w:w="258"/>
        <w:gridCol w:w="258"/>
        <w:gridCol w:w="935"/>
        <w:gridCol w:w="935"/>
        <w:gridCol w:w="134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40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K. Engel</w:t>
            </w:r>
          </w:p>
        </w:tc>
      </w:tr>
      <w:tr>
        <w:trPr/>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K. Engel</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28, 2026</w:t>
            </w:r>
          </w:p>
        </w:tc>
      </w:tr>
    </w:tbl>
    <w:p>
      <w:pPr>
        <w:pStyle w:val="TextBody"/>
        <w:bidi w:val="0"/>
        <w:spacing w:lineRule="auto" w:line="288" w:before="0" w:after="0"/>
        <w:jc w:val="left"/>
        <w:rPr>
          <w:color w:val="000000"/>
        </w:rPr>
      </w:pPr>
      <w:r>
        <w:rPr>
          <w:color w:val="000000"/>
        </w:rPr>
        <w:t> </w:t>
      </w:r>
    </w:p>
    <w:tbl>
      <w:tblPr>
        <w:tblW w:w="3846" w:type="dxa"/>
        <w:jc w:val="right"/>
        <w:tblInd w:w="0" w:type="dxa"/>
        <w:tblLayout w:type="fixed"/>
        <w:tblCellMar>
          <w:top w:w="28" w:type="dxa"/>
          <w:left w:w="28" w:type="dxa"/>
          <w:bottom w:w="28" w:type="dxa"/>
          <w:right w:w="28" w:type="dxa"/>
        </w:tblCellMar>
      </w:tblPr>
      <w:tblGrid>
        <w:gridCol w:w="252"/>
        <w:gridCol w:w="222"/>
        <w:gridCol w:w="222"/>
        <w:gridCol w:w="922"/>
        <w:gridCol w:w="922"/>
        <w:gridCol w:w="1306"/>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46" w:type="dxa"/>
            <w:gridSpan w:val="6"/>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28, 2026</w:t>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7127/000104712726000011/amkr8-kfebruary2026ex1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27800</Words>
  <Characters>157666</Characters>
  <CharactersWithSpaces>184240</CharactersWithSpaces>
  <Paragraphs>2642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